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00" w:after="60" w:line="276" w:lineRule="auto"/>
      </w:pPr>
      <w:r>
        <w:rPr>
          <w:b/>
          <w:color w:val="EA580C"/>
          <w:sz w:val="24"/>
        </w:rPr>
        <w:t xml:space="preserve">ENGINEERING SPECIFICATION SHEET</w:t>
      </w:r>
    </w:p>
    <w:p>
      <w:pPr>
        <w:spacing w:before="40" w:after="100" w:line="276" w:lineRule="auto"/>
      </w:pPr>
      <w:r>
        <w:rPr>
          <w:b/>
          <w:color w:val="1E40AF"/>
          <w:sz w:val="36"/>
        </w:rPr>
        <w:t xml:space="preserve">Dhrishti — AI-Driven Semiconductor Burn-In &amp; Anomaly Screening System</w:t>
      </w:r>
    </w:p>
    <w:p>
      <w:pPr>
        <w:spacing w:before="0" w:after="80" w:line="276" w:lineRule="auto"/>
      </w:pPr>
      <w:r>
        <w:rPr>
          <w:b/>
          <w:color w:val="046A38"/>
          <w:sz w:val="22"/>
        </w:rPr>
        <w:t xml:space="preserve">Smart India Hackathon (SIH 2026) • Problem Statement ID: SIH26170</w:t>
      </w:r>
    </w:p>
    <w:p>
      <w:pPr>
        <w:spacing w:before="0" w:after="240" w:line="276" w:lineRule="auto"/>
      </w:pPr>
      <w:r>
        <w:rPr>
          <w:i/>
          <w:color w:val="64748B"/>
          <w:sz w:val="20"/>
        </w:rPr>
        <w:t xml:space="preserve">Organization: Symbiosis Institute of Technology (SIT), Pune | Team: Dhrishti (Insightful Vision)</w:t>
      </w:r>
    </w:p>
    <w:p>
      <w:pPr>
        <w:spacing w:before="120" w:after="120"/>
        <w:pBdr>
          <w:left w:val="single" w:sz="24" w:space="12" w:color="EA580C"/>
        </w:pBdr>
        <w:shd w:val="clear" w:color="auto" w:fill="FFF7ED"/>
      </w:pPr>
      <w:r>
        <w:rPr>
          <w:b/>
          <w:color w:val="EA580C"/>
          <w:sz w:val="22"/>
        </w:rPr>
        <w:t xml:space="preserve">MISSION OBJECTIVE
</w:t>
      </w:r>
      <w:r>
        <w:rPr>
          <w:color w:val="7C2D12"/>
          <w:sz w:val="21"/>
        </w:rPr>
        <w:t xml:space="preserve">Develop an end-to-end AI/ML predictive environmental stress screening (ESS) system that detects subtle, population-relative latent defects in semiconductor components (IGBTs/MOSFETs) during 125°C Burn-In testing across 0h, 24h, 96h, and 168h before catastrophic mission failure.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1. Executive Summary &amp; Problem Formulation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In high-reliability sectors such as space and aerospace, electronic components undergo rigorous Environmental Stress Screening (ESS), including Burn-In testing at elevated temperatures (e.g., 125°C for extended durations). Traditional manufacturing quality assurance relies strictly on static parametric pass/fail limits defined in component datasheets. However, 'latent defects'—components that pass the absolute limits but exhibit anomalous drift over time—often escape into final space payloads, resulting in catastrophic field failures.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The Latent Defect Dilemma: </w:t>
      </w:r>
      <w:r>
        <w:rPr>
          <w:color w:val="334155"/>
        </w:rPr>
        <w:t xml:space="preserve">Consider a semiconductor lot with a mean leakage current of 10 μA and a static datasheet upper limit of 50 μA. A component exhibiting 45 μA technically passes traditional screening, yet represents a 4.5x population deviation indicating localized barrier degradation or dielectric micro-cracking.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Dhrishti Core Purpose: </w:t>
      </w:r>
      <w:r>
        <w:rPr>
          <w:color w:val="334155"/>
        </w:rPr>
        <w:t xml:space="preserve">Provides dynamic population-relative outlier detection, time-series drift forecasting, feature auto-scaling, and natural language physics explainability powered by Groq Llama 3.3.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2. Fullstack System Architecture &amp; Technology Stack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system is engineered as a unified, zero-dependency fullstack application adhering to strict enterprise and laboratory deployment requirements. All networking, ML math, database transactions, and AI communications run natively on standard Python 3.8+ libraries.</w:t>
      </w:r>
    </w:p>
    <w:tbl>
      <w:tblPr>
        <w:tblW w:w="90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Layer</w:t>
            </w:r>
          </w:p>
        </w:tc>
        <w:tc>
          <w:tcPr>
            <w:tcW w:w="28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Technology / Framework</w:t>
            </w:r>
          </w:p>
        </w:tc>
        <w:tc>
          <w:tcPr>
            <w:tcW w:w="44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Primary Engineering Responsibility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Frontend UI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HTML5, CSS3 Modern Flex/Grid, Vanilla JS, Chart.js 4.4.1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SPA Navigation, Draggable Scatterplots, Line Curves, Real-time Sliders, Indian Flag Accents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REST Server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Python 3 Standard Library (http.server, socketserver)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Zero-dependency HTTP server serving static assets and JSON REST endpoints on port 5000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Auto-Scaler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Custom Z-Score Standardization (scaler.py)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Normalizes raw physical voltages (X_raw -&gt; X_scaled) and inverse-scales predictions (Y_scaled -&gt; Y_phys)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ML Engine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Physics-Informed Linear &amp; Polynomial Models (model_engine.py)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Executes scaled parameter inference based on NASA accelerated aging regression curves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Explainability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Groq Llama 3.3 (70B Versatile) + Built-in Rule Engine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Translates mathematical deviations into 3-point concise physics failure reports &amp; verdicts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Database</w:t>
            </w:r>
          </w:p>
        </w:tc>
        <w:tc>
          <w:tcPr>
            <w:tcW w:w="2800" w:type="dxa"/>
          </w:tcPr>
          <w:p>
            <w:pPr>
              <w:spacing w:before="60" w:after="60"/>
            </w:pPr>
            <w:r>
              <w:rPr>
                <w:sz w:val="20"/>
              </w:rPr>
              <w:t>SQLite3 (backend/data/screening.db)</w:t>
            </w:r>
          </w:p>
        </w:tc>
        <w:tc>
          <w:tcPr>
            <w:tcW w:w="4400" w:type="dxa"/>
          </w:tcPr>
          <w:p>
            <w:pPr>
              <w:spacing w:before="60" w:after="60"/>
            </w:pPr>
            <w:r>
              <w:rPr>
                <w:sz w:val="20"/>
              </w:rPr>
              <w:t>Persists all screening transactions, deviations, AI reports, and timestamps for QA auditing</w:t>
            </w:r>
          </w:p>
        </w:tc>
      </w:tr>
    </w:tbl>
    <w:p>
      <w:pPr>
        <w:spacing w:after="140"/>
      </w:pP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3. Frontend Architecture &amp; Human Interface (UX/UI)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human interface is designed around clean white ergonomics with Indian Flag inspired accent colors (Saffron Orange #EA580C, Chakra Navy Blue #1E40AF, and India Green #15803D), minimal functional typography, and interactive canvas graphics.</w:t>
      </w: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3.1 Core User Interface Views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Landing Page (4 Executive Cards): </w:t>
      </w:r>
      <w:r>
        <w:rPr>
          <w:color w:val="334155"/>
        </w:rPr>
        <w:t xml:space="preserve">Features 4 dedicated cards: 1) About Us (Team Dhrishti &amp; SIH26170 specifications), 2) Breakdown Model (Vce vs Ic), 3) Leakage IV Model (Applied Voltage vs Leakage), and 4) Turn-On Model (Vge vs Ic).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Split-Screen Diagnostic Workspace: </w:t>
      </w:r>
      <w:r>
        <w:rPr>
          <w:color w:val="334155"/>
        </w:rPr>
        <w:t xml:space="preserve">Left Column: Model controls, raw voltage inputs, live logarithmic/linear sliders, NASA presets, and real-time AI Chatbot. Right Column: Dedicated data visualizations strictly positioned on the right side.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Right-Aligned Compliance Footer: </w:t>
      </w:r>
      <w:r>
        <w:rPr>
          <w:color w:val="334155"/>
        </w:rPr>
        <w:t xml:space="preserve">Features a clean, subtle footer styled with font-size strictly &lt; 11px (10px): 'This website is vibecoded with assistance from - Google Antigravity'.</w:t>
      </w: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3.2 Interactive Graph Movement &amp; Manipulation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graphs are fully interactive and adaptable to personal engineering needs: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🎯 Direct Canvas Dragging: </w:t>
      </w:r>
      <w:r>
        <w:rPr>
          <w:color w:val="334155"/>
        </w:rPr>
        <w:t xml:space="preserve">Clicking or dragging anywhere across the Scatterplot or Line Chart immediately repositions the live test point to that exact (X, Y) coordinate, simultaneously updating the form inputs and triggering real-time re-screening.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🖐️ Pan View Mode: </w:t>
      </w:r>
      <w:r>
        <w:rPr>
          <w:color w:val="334155"/>
        </w:rPr>
        <w:t xml:space="preserve">Activating Pan Mode allows engineers to click and drag the canvas axes in 2D space to explore specific sub-breakdown knees, saturation regions, or high-voltage leakage tails.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🔍 Zoom In / Out &amp; Mouse Wheel: </w:t>
      </w:r>
      <w:r>
        <w:rPr>
          <w:color w:val="334155"/>
        </w:rPr>
        <w:t xml:space="preserve">Engineers can zoom with toolbar buttons or use the mouse scroll wheel centered at the cursor. A 'Reset View' button instantly restores default axis boundaries.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🎛️ Real-Time Sliders: </w:t>
      </w:r>
      <w:r>
        <w:rPr>
          <w:color w:val="334155"/>
        </w:rPr>
        <w:t xml:space="preserve">Smooth input voltage and current sliders allow dynamic parameter sweeping with debounced ML model evaluation.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4. Backend Engineering &amp; Auto-Scaling Pipeline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A critical engineering requirement is dealing with raw, unscaled user input (e.g. 550.0 V, 1.25e-5 A) and mapping it into the scaled feature space required by machine learning models.</w:t>
      </w: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4.1 Mathematical Formulation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1. Feature Standardization: X_scaled = (X_raw - μ_x) / σ_x
2. Scaled Forward Inference: Y_scaled = w · X_scaled + b
3. Target Inverse Transformation: Y_phys = Y_scaled · σ_y + μ_y
4. Quantitative Deviation: Δ% = ((Y_user - Y_model) / Y_model) · 100
5. Magnitude Ratio: Ratio = Y_user / Y_model</w:t>
      </w:r>
    </w:p>
    <w:p>
      <w:pPr>
        <w:pStyle w:val="Heading2"/>
        <w:spacing w:before="0" w:after="140" w:line="276" w:lineRule="auto"/>
      </w:pPr>
      <w:r>
        <w:rPr>
          <w:color w:val="1F2937"/>
          <w:sz w:val="22"/>
        </w:rPr>
        <w:t xml:space="preserve">4.2 NASA Dataset Calibration Statistics</w:t>
      </w:r>
    </w:p>
    <w:tbl>
      <w:tblPr>
        <w:tblW w:w="90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12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Model Name</w:t>
            </w:r>
          </w:p>
        </w:tc>
        <w:tc>
          <w:tcPr>
            <w:tcW w:w="15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Input Feature</w:t>
            </w:r>
          </w:p>
        </w:tc>
        <w:tc>
          <w:tcPr>
            <w:tcW w:w="11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Mean X (μ_x)</w:t>
            </w:r>
          </w:p>
        </w:tc>
        <w:tc>
          <w:tcPr>
            <w:tcW w:w="11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Std X (σ_x)</w:t>
            </w:r>
          </w:p>
        </w:tc>
        <w:tc>
          <w:tcPr>
            <w:tcW w:w="14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Target Feature</w:t>
            </w:r>
          </w:p>
        </w:tc>
        <w:tc>
          <w:tcPr>
            <w:tcW w:w="13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Mean Y (μ_y)</w:t>
            </w:r>
          </w:p>
        </w:tc>
        <w:tc>
          <w:tcPr>
            <w:tcW w:w="14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Std Y (σ_y)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20"/>
              </w:rPr>
              <w:t>Breakdown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20"/>
              </w:rPr>
              <w:t>Collector-Emitter Voltage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3.883881 V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0.999395 V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Leakage Current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20"/>
              </w:rPr>
              <w:t>7.1072e-5 A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1.0731e-4 A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20"/>
              </w:rPr>
              <w:t>Leakage IV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20"/>
              </w:rPr>
              <w:t>Applied Voltage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301.3095 V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173.3395 V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Leakage Current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20"/>
              </w:rPr>
              <w:t>1.8449e-6 A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1.3856e-6 A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20"/>
              </w:rPr>
              <w:t>Turn-On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sz w:val="20"/>
              </w:rPr>
              <w:t>Gate Voltage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3.883881 V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20"/>
              </w:rPr>
              <w:t>0.999395 V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Collector Current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20"/>
              </w:rPr>
              <w:t>7.1072e-5 A</w:t>
            </w:r>
          </w:p>
        </w:tc>
        <w:tc>
          <w:tcPr>
            <w:tcW w:w="1400" w:type="dxa"/>
          </w:tcPr>
          <w:p>
            <w:pPr>
              <w:spacing w:before="60" w:after="60"/>
            </w:pPr>
            <w:r>
              <w:rPr>
                <w:sz w:val="20"/>
              </w:rPr>
              <w:t>1.0731e-4 A</w:t>
            </w:r>
          </w:p>
        </w:tc>
      </w:tr>
    </w:tbl>
    <w:p>
      <w:pPr>
        <w:spacing w:after="140"/>
      </w:pP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5. REST API Specifications &amp; Integration Protocols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backend exposes a clean REST API running on http://localhost:5000:</w:t>
      </w:r>
    </w:p>
    <w:tbl>
      <w:tblPr>
        <w:tblW w:w="90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18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Endpoint</w:t>
            </w:r>
          </w:p>
        </w:tc>
        <w:tc>
          <w:tcPr>
            <w:tcW w:w="9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Method</w:t>
            </w:r>
          </w:p>
        </w:tc>
        <w:tc>
          <w:tcPr>
            <w:tcW w:w="27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Request Payload</w:t>
            </w:r>
          </w:p>
        </w:tc>
        <w:tc>
          <w:tcPr>
            <w:tcW w:w="36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Response Summary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/api/health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GET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None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Health status, active AI engine, and database connection status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/api/models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GET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None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Metadata, parameters, units, and typical ranges for all 3 models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/api/dataset-sample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GET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model (str), limit (int)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Sampled (X, Y) dataset points from NASA CSV files for scatterplot rendering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/api/pipeline/run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POST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{model_type, raw_input, user_said_output, component_id}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Auto-scales input, runs inference, inverse-scales output, analyzes discrepancy, generates Groq explanation, logs to DB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/api/chat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POST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{message: string}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Answers questions regarding IGBT physics, failure modes, and screening criteria using Groq Llama 3.3</w:t>
            </w:r>
          </w:p>
        </w:tc>
      </w:tr>
      <w:tr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/api/screenings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20"/>
              </w:rPr>
              <w:t>GET</w:t>
            </w:r>
          </w:p>
        </w:tc>
        <w:tc>
          <w:tcPr>
            <w:tcW w:w="2700" w:type="dxa"/>
          </w:tcPr>
          <w:p>
            <w:pPr>
              <w:spacing w:before="60" w:after="60"/>
            </w:pPr>
            <w:r>
              <w:rPr>
                <w:sz w:val="20"/>
              </w:rPr>
              <w:t>limit (int), model (str)</w:t>
            </w:r>
          </w:p>
        </w:tc>
        <w:tc>
          <w:tcPr>
            <w:tcW w:w="3600" w:type="dxa"/>
          </w:tcPr>
          <w:p>
            <w:pPr>
              <w:spacing w:before="60" w:after="60"/>
            </w:pPr>
            <w:r>
              <w:rPr>
                <w:sz w:val="20"/>
              </w:rPr>
              <w:t>Retrieves historical screening audit logs from SQLite database</w:t>
            </w:r>
          </w:p>
        </w:tc>
      </w:tr>
    </w:tbl>
    <w:p>
      <w:pPr>
        <w:spacing w:after="140"/>
      </w:pP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6. Semiconductor Failure Physics &amp; AI Explainability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The explainability system bridges raw ML predictions with physical device dynamics. Groq Llama 3.3 produces concise 3-point structured reports strictly under 100 words: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1. Quantitative Deviation: </w:t>
      </w:r>
      <w:r>
        <w:rPr>
          <w:color w:val="334155"/>
        </w:rPr>
        <w:t xml:space="preserve">Reports the exact percentage drift (Δ%) and magnitude scaling ratio (e.g. +223.0% drift, 3.23x baseline).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2. Semiconductor Failure Physics: </w:t>
      </w:r>
      <w:r>
        <w:rPr>
          <w:color w:val="334155"/>
        </w:rPr>
        <w:t xml:space="preserve">Identifies root causes such as: Premature Avalanche Breakdown &amp; impact ionization in high electric fields; Shockley-Read-Hall (SRH) generation-recombination in the space-charge region; Gate oxide electron trapping causing positive threshold voltage shift (+ΔVth); Die-attach solder fatigue and thermal runaway.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3. SIH-26 Actionable Verdict: </w:t>
      </w:r>
      <w:r>
        <w:rPr>
          <w:color w:val="334155"/>
        </w:rPr>
        <w:t xml:space="preserve">Assigns 🟢 PASS (normal baseline, |Δ%| &lt;= 10%), 🟡 HOLD (moderate drift, requires 125°C curve tracing), or 🔴 REJECT (high latent defect risk, immediate flight payload quarantine).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7. Quality Assurance &amp; Evaluation Metrics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Anomaly Detection Score: </w:t>
      </w:r>
      <w:r>
        <w:rPr>
          <w:color w:val="334155"/>
        </w:rPr>
        <w:t xml:space="preserve">Zero-tolerance policy for False Negatives. In aerospace screening, letting a defective component escape into space payloads is catastrophic.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Drift Prediction Accuracy: </w:t>
      </w:r>
      <w:r>
        <w:rPr>
          <w:color w:val="334155"/>
        </w:rPr>
        <w:t xml:space="preserve">Minimizes Mean Absolute Error (MAE) between predicted Value_168h and hidden ground-truth laboratory values.</w:t>
      </w:r>
    </w:p>
    <w:p>
      <w:pPr>
        <w:pStyle w:val="ListParagraph"/>
        <w:spacing w:before="40" w:after="80" w:line="276" w:lineRule="auto"/>
        <w:ind w:left="360" w:hanging="180"/>
      </w:pPr>
      <w:r>
        <w:rPr>
          <w:b/>
          <w:color w:val="1E40AF"/>
        </w:rPr>
        <w:t>• </w:t>
      </w:r>
      <w:r>
        <w:rPr>
          <w:b/>
          <w:color w:val="0F2B5C"/>
        </w:rPr>
        <w:t xml:space="preserve">High-Availability Fallback Guarantee: </w:t>
      </w:r>
      <w:r>
        <w:rPr>
          <w:color w:val="334155"/>
        </w:rPr>
        <w:t xml:space="preserve">If Groq API experiences rate limits or network disconnects, the system instantly switches to its built-in rule-based physics engine, ensuring 100% uptime without user-facing errors.</w:t>
      </w:r>
    </w:p>
    <w:p>
      <w:pPr>
        <w:pStyle w:val="Heading1"/>
        <w:spacing w:before="0" w:after="140" w:line="276" w:lineRule="auto"/>
      </w:pPr>
      <w:r>
        <w:rPr>
          <w:color w:val="1F2937"/>
          <w:sz w:val="22"/>
        </w:rPr>
        <w:t xml:space="preserve">8. Team Dhrishti Roster &amp; Institutional Stamp</w:t>
      </w:r>
    </w:p>
    <w:p>
      <w:pPr>
        <w:spacing w:before="0" w:after="140" w:line="276" w:lineRule="auto"/>
      </w:pPr>
      <w:r>
        <w:rPr>
          <w:color w:val="1F2937"/>
          <w:sz w:val="22"/>
        </w:rPr>
        <w:t xml:space="preserve">Project developed for Smart India Hackathon (SIH 2026) by Team Dhrishti at Symbiosis Institute of Technology (SIT), Pune:</w:t>
      </w:r>
    </w:p>
    <w:tbl>
      <w:tblPr>
        <w:tblW w:w="90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w:tr>
        <w:trPr>
          <w:tblHeader/>
        </w:trPr>
        <w:tc>
          <w:tcPr>
            <w:tcW w:w="5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#</w:t>
            </w:r>
          </w:p>
        </w:tc>
        <w:tc>
          <w:tcPr>
            <w:tcW w:w="25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Member Name</w:t>
            </w:r>
          </w:p>
        </w:tc>
        <w:tc>
          <w:tcPr>
            <w:tcW w:w="18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PRN / Student ID</w:t>
            </w:r>
          </w:p>
        </w:tc>
        <w:tc>
          <w:tcPr>
            <w:tcW w:w="4200" w:type="dxa"/>
            <w:shd w:val="clear" w:color="auto" w:fill="EFF6FF"/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Engineering Role / Specialization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Samarth Buchake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25070126151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Machine Learning &amp; Fullstack Architecture Lead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Vibhuti Patil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25070126193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Physics of Failure &amp; Semiconductor Model Specialist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Maitreyee Kulkarni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24070123058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Data Preprocessing &amp; Statistical Calibration Engineer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Varija Korti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24070123165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Time-Series Regression &amp; Drift Prediction Specialist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Kaushal Sidhpura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25070127093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Dynamic Outlier Detection &amp; Anomaly Scoring Lead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w="2500" w:type="dxa"/>
          </w:tcPr>
          <w:p>
            <w:pPr>
              <w:spacing w:before="60" w:after="60"/>
            </w:pPr>
            <w:r>
              <w:rPr>
                <w:sz w:val="20"/>
              </w:rPr>
              <w:t>Prachi Hirve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sz w:val="20"/>
              </w:rPr>
              <w:t>26070126090</w:t>
            </w:r>
          </w:p>
        </w:tc>
        <w:tc>
          <w:tcPr>
            <w:tcW w:w="4200" w:type="dxa"/>
          </w:tcPr>
          <w:p>
            <w:pPr>
              <w:spacing w:before="60" w:after="60"/>
            </w:pPr>
            <w:r>
              <w:rPr>
                <w:sz w:val="20"/>
              </w:rPr>
              <w:t>Explainability Engine &amp; QA Diagnostics Engineer</w:t>
            </w:r>
          </w:p>
        </w:tc>
      </w:tr>
    </w:tbl>
    <w:p>
      <w:pPr>
        <w:spacing w:after="140"/>
      </w:pPr>
    </w:p>
    <w:p>
      <w:pPr>
        <w:jc w:val="center"/>
        <w:spacing w:before="180" w:after="60" w:line="276" w:lineRule="auto"/>
      </w:pPr>
      <w:r>
        <w:rPr>
          <w:i/>
          <w:color w:val="64748B"/>
          <w:sz w:val="18"/>
        </w:rPr>
        <w:t xml:space="preserve">Document compiled and verified for SIH26170. All rights reserved by Team Dhrishti (SIT Pune).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F2937"/>
      </w:rPr>
    </w:rPrDefault>
    <w:pPrDefault>
      <w:pPr>
        <w:spacing w:after="140" w:line="276" w:lineRule="auto"/>
      </w:pPr>
    </w:pPrDefault>
  </w:docDefaults>
  <w:style w:type="paragraph" w:styleId="Heading1">
    <w:name w:val="heading 1"/>
    <w:rPr>
      <w:rFonts w:ascii="Calibri Light" w:hAnsi="Calibri Light"/>
      <w:b/>
      <w:sz w:val="34"/>
      <w:color w:val="1E40AF"/>
    </w:rPr>
    <w:pPr>
      <w:spacing w:before="300" w:after="120"/>
    </w:pPr>
  </w:style>
  <w:style w:type="paragraph" w:styleId="Heading2">
    <w:name w:val="heading 2"/>
    <w:rPr>
      <w:rFonts w:ascii="Calibri" w:hAnsi="Calibri"/>
      <w:b/>
      <w:sz w:val="28"/>
      <w:color w:val="EA580C"/>
    </w:rPr>
    <w:pPr>
      <w:spacing w:before="240" w:after="100"/>
    </w:pPr>
  </w:style>
  <w:style w:type="paragraph" w:styleId="Heading3">
    <w:name w:val="heading 3"/>
    <w:rPr>
      <w:rFonts w:ascii="Calibri" w:hAnsi="Calibri"/>
      <w:b/>
      <w:sz w:val="24"/>
      <w:color w:val="0F2B5C"/>
    </w:rPr>
    <w:pPr>
      <w:spacing w:before="180"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