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7E385" w14:textId="77777777" w:rsidR="002C3910" w:rsidRPr="00E81D97" w:rsidRDefault="002C3910" w:rsidP="00A90276">
      <w:pPr>
        <w:pStyle w:val="Text"/>
        <w:ind w:firstLine="0"/>
        <w:rPr>
          <w:sz w:val="4"/>
          <w:szCs w:val="4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7B5027ED" w14:textId="13981031" w:rsidR="002C3910" w:rsidRDefault="00E22A17">
      <w:pPr>
        <w:pStyle w:val="Title"/>
        <w:framePr w:wrap="notBeside"/>
      </w:pPr>
      <w:r>
        <w:t>Credit Card Fraud Detection</w:t>
      </w:r>
    </w:p>
    <w:p w14:paraId="4D189B4B" w14:textId="20982C49" w:rsidR="002C3910" w:rsidRDefault="00E22A17">
      <w:pPr>
        <w:pStyle w:val="Authors"/>
        <w:framePr w:wrap="notBeside"/>
      </w:pPr>
      <w:r>
        <w:t>Samarth Jain</w:t>
      </w:r>
      <w:r w:rsidR="009933C7">
        <w:br/>
      </w:r>
      <w:r w:rsidR="009933C7" w:rsidRPr="009933C7">
        <w:rPr>
          <w:i/>
          <w:iCs/>
          <w:sz w:val="20"/>
          <w:szCs w:val="20"/>
        </w:rPr>
        <w:t>Data Science and Artificial Intelligence</w:t>
      </w:r>
      <w:r w:rsidR="009933C7" w:rsidRPr="009933C7">
        <w:rPr>
          <w:i/>
          <w:iCs/>
          <w:sz w:val="20"/>
          <w:szCs w:val="20"/>
        </w:rPr>
        <w:br/>
        <w:t>Indian Institute of Technology Roorkee</w:t>
      </w:r>
    </w:p>
    <w:p w14:paraId="5FA49886" w14:textId="6ABF064F" w:rsidR="002C3910" w:rsidRDefault="002C3910" w:rsidP="00D9183E">
      <w:pPr>
        <w:pStyle w:val="Abstract"/>
      </w:pPr>
      <w:r>
        <w:rPr>
          <w:i/>
          <w:iCs/>
        </w:rPr>
        <w:t>Abstract</w:t>
      </w:r>
      <w:r>
        <w:t>—</w:t>
      </w:r>
      <w:r w:rsidR="00E54C8B">
        <w:t xml:space="preserve"> </w:t>
      </w:r>
      <w:r w:rsidR="00D9183E">
        <w:t xml:space="preserve">In this evolving </w:t>
      </w:r>
      <w:r w:rsidR="00304B04">
        <w:t xml:space="preserve">world </w:t>
      </w:r>
      <w:r w:rsidR="00D9183E">
        <w:t>c</w:t>
      </w:r>
      <w:r w:rsidR="00E54C8B">
        <w:t>redit card fraud poses a significant threat to financial institutions and consumers alike, necessitating</w:t>
      </w:r>
      <w:r w:rsidR="003825E2">
        <w:t xml:space="preserve"> </w:t>
      </w:r>
      <w:r w:rsidR="00E54C8B">
        <w:t xml:space="preserve">fraud detection systems. In this project, we explore the </w:t>
      </w:r>
      <w:r w:rsidR="00E54C8B">
        <w:t>efficiency</w:t>
      </w:r>
      <w:r w:rsidR="00E54C8B">
        <w:t xml:space="preserve"> of various machine learning algorithms in detecting credit card fraud</w:t>
      </w:r>
      <w:r w:rsidR="00E54C8B">
        <w:t xml:space="preserve"> , namely,</w:t>
      </w:r>
      <w:r w:rsidR="00E54C8B">
        <w:t xml:space="preserve"> XGBoost, Random Forest, K-Nearest Neighbors (KNN), Support Vector Machines (SVM), Logistic Regression, </w:t>
      </w:r>
      <w:r w:rsidR="00E54C8B" w:rsidRPr="00473D83">
        <w:t>AdaBoost, Gradient Boosting, and Artificial Neural Network</w:t>
      </w:r>
      <w:r w:rsidR="00E54C8B">
        <w:t xml:space="preserve"> (ANN) algorithms.</w:t>
      </w:r>
      <w:r w:rsidR="00E54C8B">
        <w:t xml:space="preserve"> </w:t>
      </w:r>
      <w:r w:rsidR="00E54C8B">
        <w:t xml:space="preserve">Our study utilizes a comprehensive dataset containing labeled instances of fraudulent and legitimate credit card transactions. We </w:t>
      </w:r>
      <w:r w:rsidR="00E54C8B">
        <w:t xml:space="preserve">have </w:t>
      </w:r>
      <w:r w:rsidR="00E54C8B">
        <w:t>employ</w:t>
      </w:r>
      <w:r w:rsidR="00E54C8B">
        <w:t>ed</w:t>
      </w:r>
      <w:r w:rsidR="00E54C8B">
        <w:t xml:space="preserve"> the F1 score, precision, and recall as evaluation metrics to assess the effectiveness of each model in identifying fraudulent transactions</w:t>
      </w:r>
      <w:r w:rsidR="00E54C8B">
        <w:t xml:space="preserve">. </w:t>
      </w:r>
      <w:r w:rsidR="00E54C8B">
        <w:t xml:space="preserve">Through extensive experimentation and analysis, we identify the strengths and weaknesses of each machine learning technique in the context of credit card fraud detection. </w:t>
      </w:r>
    </w:p>
    <w:p w14:paraId="6B8E75EA" w14:textId="77777777" w:rsidR="00D9183E" w:rsidRPr="00D9183E" w:rsidRDefault="00D9183E" w:rsidP="00D9183E"/>
    <w:p w14:paraId="487C29F7" w14:textId="4C79A518" w:rsidR="002C3910" w:rsidRDefault="002C3910" w:rsidP="00A90276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r w:rsidR="00E54C8B" w:rsidRPr="00E54C8B">
        <w:t xml:space="preserve"> </w:t>
      </w:r>
      <w:r w:rsidR="00E54C8B">
        <w:t>XGBoost, Random Forest, K-Nearest Neighbors (KNN), Support Vector Machines (SVM), Logistic Regression, AdaBoost, Gradient Boosting,</w:t>
      </w:r>
      <w:r w:rsidR="00E54C8B">
        <w:t xml:space="preserve"> </w:t>
      </w:r>
      <w:r w:rsidR="00E54C8B">
        <w:t>Artificial Neural Network (ANN)</w:t>
      </w:r>
      <w:r w:rsidR="00E54C8B">
        <w:t>, F1-score, Precision, Recall.</w:t>
      </w:r>
      <w:r>
        <w:t xml:space="preserve"> </w:t>
      </w:r>
    </w:p>
    <w:p w14:paraId="5E62C80A" w14:textId="77777777" w:rsidR="002C3910" w:rsidRDefault="002C3910"/>
    <w:bookmarkEnd w:id="0"/>
    <w:p w14:paraId="0EA10346" w14:textId="77777777" w:rsidR="002C3910" w:rsidRDefault="002C3910">
      <w:pPr>
        <w:pStyle w:val="Heading1"/>
      </w:pPr>
      <w:r>
        <w:t>I</w:t>
      </w:r>
      <w:r>
        <w:rPr>
          <w:sz w:val="16"/>
          <w:szCs w:val="16"/>
        </w:rPr>
        <w:t>NTRODUCTION</w:t>
      </w:r>
    </w:p>
    <w:p w14:paraId="52074D86" w14:textId="7A70E3EA" w:rsidR="002C3910" w:rsidRDefault="001B7DC3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I</w:t>
      </w:r>
    </w:p>
    <w:p w14:paraId="7C5065D2" w14:textId="01095771" w:rsidR="001B7DC3" w:rsidRDefault="001B7DC3" w:rsidP="001B7DC3">
      <w:pPr>
        <w:pStyle w:val="Text"/>
        <w:ind w:firstLine="0"/>
      </w:pPr>
      <w:r>
        <w:t>n an increasing</w:t>
      </w:r>
      <w:r w:rsidR="00D9183E">
        <w:t>ly evolving</w:t>
      </w:r>
      <w:r>
        <w:t xml:space="preserve"> world, where cashless transactions</w:t>
      </w:r>
      <w:r>
        <w:t xml:space="preserve"> </w:t>
      </w:r>
      <w:r>
        <w:t>have become the</w:t>
      </w:r>
      <w:r w:rsidR="00D9183E">
        <w:t xml:space="preserve"> new normal</w:t>
      </w:r>
      <w:r>
        <w:t>, the</w:t>
      </w:r>
      <w:r w:rsidR="00D9183E">
        <w:t xml:space="preserve"> constant</w:t>
      </w:r>
      <w:r>
        <w:t xml:space="preserve"> threat of credit card fraud </w:t>
      </w:r>
      <w:r w:rsidR="00D9183E">
        <w:t>have</w:t>
      </w:r>
      <w:r>
        <w:t xml:space="preserve"> pos</w:t>
      </w:r>
      <w:r w:rsidR="00D9183E">
        <w:t>ed</w:t>
      </w:r>
      <w:r>
        <w:t xml:space="preserve"> significant challenges to financial institutions and consumers alike.</w:t>
      </w:r>
      <w:r w:rsidR="00BE6816">
        <w:t xml:space="preserve"> </w:t>
      </w:r>
      <w:r>
        <w:t>Detecting and thwarting credit card fraud is not just a matter of financial prudence but also a critical aspect of safeguarding individuals' and businesses' financial well-being.</w:t>
      </w:r>
    </w:p>
    <w:p w14:paraId="335F2E96" w14:textId="77777777" w:rsidR="001B7DC3" w:rsidRDefault="001B7DC3" w:rsidP="001B7DC3">
      <w:pPr>
        <w:pStyle w:val="Text"/>
      </w:pPr>
    </w:p>
    <w:p w14:paraId="22E7273E" w14:textId="553791AF" w:rsidR="001B7DC3" w:rsidRDefault="001B7DC3" w:rsidP="001B7DC3">
      <w:pPr>
        <w:pStyle w:val="Text"/>
      </w:pPr>
      <w:r>
        <w:t xml:space="preserve">This study </w:t>
      </w:r>
      <w:r w:rsidR="00BE6816">
        <w:t>focusses</w:t>
      </w:r>
      <w:r>
        <w:t xml:space="preserve"> into the </w:t>
      </w:r>
      <w:r w:rsidR="00BE6816">
        <w:t>domain</w:t>
      </w:r>
      <w:r>
        <w:t xml:space="preserve"> of credit card fraud detection, </w:t>
      </w:r>
      <w:r w:rsidR="00BE6816">
        <w:t>using</w:t>
      </w:r>
      <w:r>
        <w:t xml:space="preserve"> a </w:t>
      </w:r>
      <w:r w:rsidR="00BE6816">
        <w:t>number</w:t>
      </w:r>
      <w:r>
        <w:t xml:space="preserve"> of machine learning techniques to </w:t>
      </w:r>
      <w:r w:rsidR="00BE6816">
        <w:t>achieve this goal</w:t>
      </w:r>
      <w:r>
        <w:t xml:space="preserve">. </w:t>
      </w:r>
    </w:p>
    <w:p w14:paraId="654C9778" w14:textId="77777777" w:rsidR="00BE6816" w:rsidRDefault="00BE6816" w:rsidP="001B7DC3">
      <w:pPr>
        <w:pStyle w:val="Text"/>
      </w:pPr>
    </w:p>
    <w:p w14:paraId="18D932BE" w14:textId="6E953A67" w:rsidR="001B7DC3" w:rsidRDefault="001B7DC3" w:rsidP="001B7DC3">
      <w:pPr>
        <w:pStyle w:val="Text"/>
      </w:pPr>
      <w:r>
        <w:t xml:space="preserve">The </w:t>
      </w:r>
      <w:r w:rsidR="00BE6816">
        <w:t>e</w:t>
      </w:r>
      <w:r>
        <w:t xml:space="preserve">xisting fraud detection mechanisms often struggle to keep pace with the evolving </w:t>
      </w:r>
      <w:r w:rsidR="00BE6816">
        <w:t xml:space="preserve">new </w:t>
      </w:r>
      <w:r>
        <w:t xml:space="preserve">tactics of fraudsters, resulting in </w:t>
      </w:r>
      <w:r w:rsidR="00BE6816">
        <w:t xml:space="preserve">increasing </w:t>
      </w:r>
      <w:r>
        <w:t>financial losses and compromis</w:t>
      </w:r>
      <w:r w:rsidR="00BE6816">
        <w:t>ing</w:t>
      </w:r>
      <w:r>
        <w:t xml:space="preserve"> security. Thus, there exists an urgent </w:t>
      </w:r>
      <w:r w:rsidR="00BE6816">
        <w:t>need</w:t>
      </w:r>
      <w:r>
        <w:t xml:space="preserve"> to </w:t>
      </w:r>
      <w:r w:rsidR="00BE6816">
        <w:t>find</w:t>
      </w:r>
      <w:r>
        <w:t xml:space="preserve"> advanced machine learning algorithms that can </w:t>
      </w:r>
      <w:r w:rsidR="00BE6816">
        <w:t>look into</w:t>
      </w:r>
      <w:r>
        <w:t xml:space="preserve"> the accuracy and efficacy of fraud detection sys</w:t>
      </w:r>
      <w:r w:rsidR="00BE6816">
        <w:t>tem.</w:t>
      </w:r>
    </w:p>
    <w:p w14:paraId="5F7C65DC" w14:textId="77777777" w:rsidR="001B7DC3" w:rsidRDefault="001B7DC3" w:rsidP="001B7DC3">
      <w:pPr>
        <w:pStyle w:val="Text"/>
      </w:pPr>
    </w:p>
    <w:p w14:paraId="6D5154AB" w14:textId="68D33972" w:rsidR="002C3910" w:rsidRPr="001B7DC3" w:rsidRDefault="001B7DC3" w:rsidP="001B7DC3">
      <w:pPr>
        <w:pStyle w:val="Text"/>
        <w:ind w:firstLine="0"/>
      </w:pPr>
      <w:r>
        <w:t xml:space="preserve">Firstly, by </w:t>
      </w:r>
      <w:r w:rsidR="00BE6816">
        <w:t>using</w:t>
      </w:r>
      <w:r>
        <w:t xml:space="preserve"> a </w:t>
      </w:r>
      <w:r w:rsidR="00BE6816">
        <w:t>number</w:t>
      </w:r>
      <w:r>
        <w:t xml:space="preserve"> of machine learning algorithms—including XGBoost, Random Forest, K-Nearest Neighbors (KNN), Support Vector Machines (SVM), Logistic Regression, AdaBoost, Gradient Boosting, and Artificial Neural Network (ANN)—to rigorous evaluation, we </w:t>
      </w:r>
      <w:r w:rsidR="00BE6816">
        <w:t>try</w:t>
      </w:r>
      <w:r>
        <w:t xml:space="preserve"> to </w:t>
      </w:r>
      <w:r w:rsidR="00BE6816">
        <w:t>find</w:t>
      </w:r>
      <w:r>
        <w:t xml:space="preserve"> the </w:t>
      </w:r>
      <w:r w:rsidR="00BE6816">
        <w:t>best</w:t>
      </w:r>
      <w:r>
        <w:t xml:space="preserve"> approaches for identifying fraudulent transactions. Secondly, by assessing the performance of these models using metrics such as F1 score, precision, and recall, we </w:t>
      </w:r>
      <w:r w:rsidR="009B4ED3">
        <w:t>find the</w:t>
      </w:r>
      <w:r>
        <w:t xml:space="preserve"> insights into the strengths and limitations of each algorithm in real-world scenarios.</w:t>
      </w:r>
      <w:r w:rsidR="006114EF">
        <w:t xml:space="preserve"> </w:t>
      </w:r>
      <w:r w:rsidR="002C3910" w:rsidRPr="006114EF">
        <w:rPr>
          <w:color w:val="FF0000"/>
        </w:rPr>
        <w:t xml:space="preserve"> </w:t>
      </w:r>
    </w:p>
    <w:p w14:paraId="642A102A" w14:textId="77777777" w:rsidR="002C3910" w:rsidRDefault="002C3910">
      <w:pPr>
        <w:pStyle w:val="Text"/>
      </w:pPr>
    </w:p>
    <w:p w14:paraId="70B1D431" w14:textId="509DB6E1" w:rsidR="006114EF" w:rsidRPr="009B4ED3" w:rsidRDefault="002C3910" w:rsidP="009B4ED3">
      <w:pPr>
        <w:pStyle w:val="Heading1"/>
      </w:pPr>
      <w:r>
        <w:t xml:space="preserve">Procedure </w:t>
      </w:r>
    </w:p>
    <w:p w14:paraId="71265675" w14:textId="2C529EC6" w:rsidR="002C3910" w:rsidRPr="00454090" w:rsidRDefault="00473D83">
      <w:pPr>
        <w:pStyle w:val="Heading2"/>
      </w:pPr>
      <w:r w:rsidRPr="00454090">
        <w:t>Data Exploration and Preparation</w:t>
      </w:r>
    </w:p>
    <w:p w14:paraId="50D1D742" w14:textId="4FADEF5F" w:rsidR="00473D83" w:rsidRPr="00454090" w:rsidRDefault="009B4ED3" w:rsidP="009B4ED3">
      <w:pPr>
        <w:ind w:firstLine="144"/>
      </w:pPr>
      <w:r>
        <w:t xml:space="preserve"> For</w:t>
      </w:r>
      <w:r w:rsidR="00473D83" w:rsidRPr="00454090">
        <w:t xml:space="preserve"> our study w</w:t>
      </w:r>
      <w:r>
        <w:t>e utilize credit card fraud detection</w:t>
      </w:r>
      <w:r w:rsidR="00473D83" w:rsidRPr="00454090">
        <w:t xml:space="preserve"> dataset</w:t>
      </w:r>
      <w:r>
        <w:t xml:space="preserve"> , which is available on Kaggle</w:t>
      </w:r>
      <w:r w:rsidR="00473D83" w:rsidRPr="00454090">
        <w:t xml:space="preserve">. </w:t>
      </w:r>
      <w:r>
        <w:t xml:space="preserve">We conduct thorough </w:t>
      </w:r>
      <w:r w:rsidR="00473D83" w:rsidRPr="00454090">
        <w:t xml:space="preserve">examination of the dataset's dimensions, attribute types, and summary statistics, </w:t>
      </w:r>
      <w:r>
        <w:t>getting a good</w:t>
      </w:r>
      <w:r w:rsidR="00473D83" w:rsidRPr="00454090">
        <w:t xml:space="preserve"> understanding of its composition. Additionally, </w:t>
      </w:r>
      <w:r>
        <w:t>we perform</w:t>
      </w:r>
      <w:r w:rsidR="00473D83" w:rsidRPr="00454090">
        <w:t xml:space="preserve"> checks for missing values within the dataset to ensure data integrity.</w:t>
      </w:r>
    </w:p>
    <w:p w14:paraId="682850B4" w14:textId="040E3060" w:rsidR="002C3910" w:rsidRPr="00454090" w:rsidRDefault="00473D83">
      <w:pPr>
        <w:pStyle w:val="Heading2"/>
      </w:pPr>
      <w:r w:rsidRPr="00454090">
        <w:t>Data Pre-proces</w:t>
      </w:r>
      <w:r w:rsidR="002C3910" w:rsidRPr="00454090">
        <w:t>s</w:t>
      </w:r>
      <w:r w:rsidRPr="00454090">
        <w:t>ing</w:t>
      </w:r>
    </w:p>
    <w:p w14:paraId="6DACF210" w14:textId="11E572B0" w:rsidR="002C3910" w:rsidRPr="00454090" w:rsidRDefault="009B4ED3">
      <w:pPr>
        <w:pStyle w:val="Text"/>
      </w:pPr>
      <w:r>
        <w:t xml:space="preserve"> </w:t>
      </w:r>
      <w:r w:rsidR="00473D83" w:rsidRPr="00454090">
        <w:t xml:space="preserve">Recognizing the importance of addressing class imbalance, we </w:t>
      </w:r>
      <w:r>
        <w:t>increase the minority dataset by duplicating the values</w:t>
      </w:r>
      <w:r w:rsidR="00473D83" w:rsidRPr="00454090">
        <w:t>. Furthermore, to standardize the dataset for model training, numerical features such as Time and Amount are normalized to a uniform scale relative to other features.</w:t>
      </w:r>
      <w:r w:rsidR="002C3910" w:rsidRPr="00454090">
        <w:t xml:space="preserve"> </w:t>
      </w:r>
    </w:p>
    <w:p w14:paraId="1ECF4680" w14:textId="72187A5C" w:rsidR="002C3910" w:rsidRPr="00454090" w:rsidRDefault="00473D83">
      <w:pPr>
        <w:pStyle w:val="Heading2"/>
      </w:pPr>
      <w:r w:rsidRPr="00454090">
        <w:t>Model Building</w:t>
      </w:r>
    </w:p>
    <w:p w14:paraId="672D21ED" w14:textId="36D0B00C" w:rsidR="00473D83" w:rsidRPr="00BB00F2" w:rsidRDefault="009B4ED3" w:rsidP="00BB00F2">
      <w:pPr>
        <w:pStyle w:val="Text"/>
      </w:pPr>
      <w:r>
        <w:t xml:space="preserve"> </w:t>
      </w:r>
      <w:r w:rsidR="00473D83" w:rsidRPr="00454090">
        <w:t xml:space="preserve">Our study </w:t>
      </w:r>
      <w:r w:rsidR="00E62005">
        <w:t xml:space="preserve">uses </w:t>
      </w:r>
      <w:r w:rsidR="00473D83" w:rsidRPr="00454090">
        <w:t>the implementation of a di</w:t>
      </w:r>
      <w:r w:rsidR="00E62005">
        <w:t>fferent</w:t>
      </w:r>
      <w:r w:rsidR="00473D83" w:rsidRPr="00454090">
        <w:t xml:space="preserve"> machine learning models, </w:t>
      </w:r>
      <w:r w:rsidR="00E62005">
        <w:t xml:space="preserve">the details of which are as follows. </w:t>
      </w:r>
      <w:r w:rsidR="00473D83" w:rsidRPr="00454090">
        <w:t xml:space="preserve">Artificial Neural Network (ANN) architecture </w:t>
      </w:r>
      <w:r w:rsidR="00E62005">
        <w:t>is a 2</w:t>
      </w:r>
      <w:r w:rsidR="00473D83" w:rsidRPr="00454090">
        <w:t xml:space="preserve"> layer</w:t>
      </w:r>
      <w:r w:rsidR="00E62005">
        <w:t xml:space="preserve"> neural network imlemeted using TensorFlow and keras</w:t>
      </w:r>
      <w:r w:rsidR="00473D83" w:rsidRPr="00454090">
        <w:t>,</w:t>
      </w:r>
      <w:r w:rsidR="00E62005">
        <w:t xml:space="preserve"> and sigmoid </w:t>
      </w:r>
      <w:r w:rsidR="00473D83" w:rsidRPr="00454090">
        <w:t>activation function.</w:t>
      </w:r>
      <w:r w:rsidR="00FD3F77">
        <w:t xml:space="preserve"> The</w:t>
      </w:r>
      <w:r w:rsidR="00473D83" w:rsidRPr="00454090">
        <w:t xml:space="preserve"> </w:t>
      </w:r>
      <w:r w:rsidR="00FD3F77">
        <w:t>b</w:t>
      </w:r>
      <w:r w:rsidR="00473D83" w:rsidRPr="00454090">
        <w:t xml:space="preserve">atch normalization and dropout layers are </w:t>
      </w:r>
      <w:r w:rsidR="00FD3F77">
        <w:t>included</w:t>
      </w:r>
      <w:r w:rsidR="00473D83" w:rsidRPr="00454090">
        <w:t xml:space="preserve"> to </w:t>
      </w:r>
      <w:r w:rsidR="00E62005">
        <w:t>prevent</w:t>
      </w:r>
      <w:r w:rsidR="00473D83" w:rsidRPr="00454090">
        <w:t xml:space="preserve"> overfitting.</w:t>
      </w:r>
      <w:r w:rsidR="00E62005">
        <w:t xml:space="preserve"> </w:t>
      </w:r>
      <w:r w:rsidR="00473D83" w:rsidRPr="00454090">
        <w:t>XGBoost</w:t>
      </w:r>
      <w:r w:rsidR="00E62005">
        <w:t xml:space="preserve"> </w:t>
      </w:r>
      <w:r w:rsidR="00473D83" w:rsidRPr="00454090">
        <w:t>model consist</w:t>
      </w:r>
      <w:r w:rsidR="00E62005">
        <w:t>ing</w:t>
      </w:r>
      <w:r w:rsidR="00473D83" w:rsidRPr="00454090">
        <w:t xml:space="preserve"> of</w:t>
      </w:r>
      <w:r w:rsidR="00E62005">
        <w:t xml:space="preserve"> array of</w:t>
      </w:r>
      <w:r w:rsidR="00473D83" w:rsidRPr="00454090">
        <w:t xml:space="preserve"> decision trees, </w:t>
      </w:r>
      <w:r w:rsidR="00E62005">
        <w:t xml:space="preserve">is </w:t>
      </w:r>
      <w:r w:rsidR="00473D83" w:rsidRPr="00454090">
        <w:t>trained to minimize the gradient of a chosen objective function. Comprising multiple decision trees trained on random subsets of the data with replacement, the Random Forest model aggregates individual tree predictions to reduce variance and improve generalization.</w:t>
      </w:r>
      <w:r w:rsidR="00E62005">
        <w:t xml:space="preserve"> The</w:t>
      </w:r>
      <w:r w:rsidR="00473D83" w:rsidRPr="00454090">
        <w:t xml:space="preserve"> KNN classifies each data point based on the majority class of its k nearest neighbors in feature space.</w:t>
      </w:r>
      <w:r w:rsidR="00E62005">
        <w:t xml:space="preserve"> </w:t>
      </w:r>
      <w:r w:rsidR="00BB00F2">
        <w:t xml:space="preserve">The </w:t>
      </w:r>
      <w:r w:rsidR="00473D83" w:rsidRPr="00454090">
        <w:t>SVM maximizes the margin between support vectors</w:t>
      </w:r>
      <w:r w:rsidR="00BB00F2">
        <w:t xml:space="preserve"> and f</w:t>
      </w:r>
      <w:r w:rsidR="00473D83" w:rsidRPr="00454090">
        <w:t xml:space="preserve">ine-tuning of kernel parameters and regularization techniques </w:t>
      </w:r>
      <w:r w:rsidR="00BB00F2">
        <w:t>for increasing</w:t>
      </w:r>
      <w:r w:rsidR="00473D83" w:rsidRPr="00454090">
        <w:t xml:space="preserve"> classification accuracy.</w:t>
      </w:r>
      <w:r w:rsidR="00BB00F2">
        <w:t xml:space="preserve"> The </w:t>
      </w:r>
      <w:r w:rsidR="00473D83" w:rsidRPr="00454090">
        <w:t xml:space="preserve">logistic regression </w:t>
      </w:r>
      <w:r w:rsidR="00BB00F2">
        <w:t xml:space="preserve">is used to </w:t>
      </w:r>
      <w:r w:rsidR="00473D83" w:rsidRPr="00454090">
        <w:t>estimate probabilities using a logistic function</w:t>
      </w:r>
      <w:r w:rsidR="00BB00F2">
        <w:t xml:space="preserve"> by using</w:t>
      </w:r>
      <w:r w:rsidR="00473D83" w:rsidRPr="00454090">
        <w:t xml:space="preserve"> regularization techniques such as L1 and L2 regularization </w:t>
      </w:r>
      <w:r w:rsidR="00BB00F2">
        <w:t xml:space="preserve">to </w:t>
      </w:r>
      <w:r w:rsidR="00473D83" w:rsidRPr="00454090">
        <w:t>prevent overfitting</w:t>
      </w:r>
      <w:r w:rsidR="00BB00F2">
        <w:t xml:space="preserve">. </w:t>
      </w:r>
      <w:r w:rsidR="00473D83" w:rsidRPr="00454090">
        <w:t>AdaBoo</w:t>
      </w:r>
      <w:r w:rsidR="00BB00F2">
        <w:t xml:space="preserve">st is used </w:t>
      </w:r>
      <w:r w:rsidR="00473D83" w:rsidRPr="00454090">
        <w:t xml:space="preserve"> train a series of weak learners, with each subsequent learner focusing on instances </w:t>
      </w:r>
      <w:r w:rsidR="00BB00F2">
        <w:t xml:space="preserve">which were </w:t>
      </w:r>
      <w:r w:rsidR="00473D83" w:rsidRPr="00454090">
        <w:t xml:space="preserve">misclassified by </w:t>
      </w:r>
      <w:r w:rsidR="00BB00F2">
        <w:t>the previous one</w:t>
      </w:r>
      <w:r w:rsidR="00473D83" w:rsidRPr="00454090">
        <w:t>.</w:t>
      </w:r>
      <w:r w:rsidR="00BB00F2">
        <w:t xml:space="preserve"> G</w:t>
      </w:r>
      <w:r w:rsidR="00473D83" w:rsidRPr="00454090">
        <w:t>radient boosti</w:t>
      </w:r>
      <w:r w:rsidR="00BB00F2">
        <w:t>ng is sued to</w:t>
      </w:r>
      <w:r w:rsidR="00473D83" w:rsidRPr="00454090">
        <w:t xml:space="preserve"> construct an ensemble of weak learners, </w:t>
      </w:r>
      <w:r w:rsidR="00BB00F2">
        <w:t>improving on</w:t>
      </w:r>
      <w:r w:rsidR="00473D83" w:rsidRPr="00454090">
        <w:t xml:space="preserve"> errors of previous models using gradient descent </w:t>
      </w:r>
      <w:r w:rsidR="00473D83" w:rsidRPr="00454090">
        <w:lastRenderedPageBreak/>
        <w:t>optimization.</w:t>
      </w:r>
    </w:p>
    <w:p w14:paraId="7D910C8F" w14:textId="04CF9CA6" w:rsidR="002C3910" w:rsidRPr="00454090" w:rsidRDefault="002C3910">
      <w:pPr>
        <w:pStyle w:val="Text"/>
      </w:pPr>
      <w:r w:rsidRPr="00454090">
        <w:rPr>
          <w:i/>
          <w:iCs/>
        </w:rPr>
        <w:t>.</w:t>
      </w:r>
    </w:p>
    <w:p w14:paraId="409BB639" w14:textId="5EAAC014" w:rsidR="002C3910" w:rsidRPr="00454090" w:rsidRDefault="00473D83">
      <w:pPr>
        <w:pStyle w:val="Heading2"/>
      </w:pPr>
      <w:r w:rsidRPr="00454090">
        <w:t>Model Comparison</w:t>
      </w:r>
    </w:p>
    <w:p w14:paraId="1556E974" w14:textId="37CE9741" w:rsidR="002C3910" w:rsidRPr="00454090" w:rsidRDefault="00BB00F2">
      <w:pPr>
        <w:pStyle w:val="Text"/>
      </w:pPr>
      <w:r>
        <w:t>We</w:t>
      </w:r>
      <w:r w:rsidR="00473D83" w:rsidRPr="00454090">
        <w:t xml:space="preserve"> compare the performance</w:t>
      </w:r>
      <w:r>
        <w:t>s</w:t>
      </w:r>
      <w:r w:rsidR="00473D83" w:rsidRPr="00454090">
        <w:t xml:space="preserve"> of </w:t>
      </w:r>
      <w:r w:rsidR="00E72E23">
        <w:t>different</w:t>
      </w:r>
      <w:r w:rsidR="00473D83" w:rsidRPr="00454090">
        <w:t xml:space="preserve"> machine learning models for credit card fraud detection</w:t>
      </w:r>
      <w:r>
        <w:t xml:space="preserve"> using </w:t>
      </w:r>
      <w:r w:rsidR="00473D83" w:rsidRPr="00454090">
        <w:t>metrics like F1 score, precision, and recall</w:t>
      </w:r>
      <w:r>
        <w:t xml:space="preserve"> to find the analysis in</w:t>
      </w:r>
      <w:r w:rsidR="00473D83" w:rsidRPr="00454090">
        <w:t xml:space="preserve"> training and testing datasets. </w:t>
      </w:r>
    </w:p>
    <w:p w14:paraId="4246BA51" w14:textId="77777777" w:rsidR="002C3910" w:rsidRDefault="00474CA5">
      <w:pPr>
        <w:pStyle w:val="Heading1"/>
      </w:pPr>
      <w:r>
        <w:t>Results</w:t>
      </w:r>
    </w:p>
    <w:p w14:paraId="724361CA" w14:textId="4B6D2A94" w:rsidR="0010462E" w:rsidRDefault="0010462E" w:rsidP="0010462E">
      <w:pPr>
        <w:pStyle w:val="Text"/>
      </w:pPr>
      <w:r>
        <w:t>Our analysis reveals performance profiles a</w:t>
      </w:r>
      <w:r w:rsidR="00BB00F2">
        <w:t>long</w:t>
      </w:r>
      <w:r>
        <w:t xml:space="preserve"> a</w:t>
      </w:r>
      <w:r w:rsidR="00BB00F2">
        <w:t xml:space="preserve"> number</w:t>
      </w:r>
      <w:r>
        <w:t xml:space="preserve"> of machine learning algorithms. Among the models evaluated, Random Forest </w:t>
      </w:r>
      <w:r w:rsidR="00BB00F2">
        <w:t>provides the best with</w:t>
      </w:r>
      <w:r>
        <w:t xml:space="preserve"> F1 scores of 0.9999 on the training set and 0.9984 on the testing set. Following</w:t>
      </w:r>
      <w:r w:rsidR="00BB00F2">
        <w:t xml:space="preserve"> which</w:t>
      </w:r>
      <w:r>
        <w:t xml:space="preserve"> XGBoost </w:t>
      </w:r>
      <w:r w:rsidR="00BB00F2">
        <w:t xml:space="preserve">also finds the </w:t>
      </w:r>
      <w:r>
        <w:t>F1 scores of 0.9103 and 0.9123 on the training and testing sets,.</w:t>
      </w:r>
    </w:p>
    <w:p w14:paraId="1E0B7720" w14:textId="77777777" w:rsidR="0010462E" w:rsidRDefault="0010462E" w:rsidP="0010462E">
      <w:pPr>
        <w:pStyle w:val="Text"/>
      </w:pPr>
    </w:p>
    <w:p w14:paraId="38E5BA1A" w14:textId="1632D1AA" w:rsidR="0010462E" w:rsidRDefault="0010462E" w:rsidP="0010462E">
      <w:pPr>
        <w:pStyle w:val="Text"/>
      </w:pPr>
      <w:r>
        <w:t xml:space="preserve">Moreover, K-Nearest Neighbors (KNN) and Support Vector Machines (SVM) exhibit F1 scores </w:t>
      </w:r>
      <w:r w:rsidR="00BB00F2">
        <w:t xml:space="preserve">above </w:t>
      </w:r>
      <w:r>
        <w:t xml:space="preserve">0.95 on both training and testing datasets. Logistic Regression, AdaBoost, and Gradient Boosting models also </w:t>
      </w:r>
      <w:r w:rsidR="00BB00F2">
        <w:t>have</w:t>
      </w:r>
      <w:r>
        <w:t xml:space="preserve"> F1 scores ranging from 0.8887 to 0.9078 on the testing set.</w:t>
      </w:r>
      <w:r w:rsidR="00BB00F2">
        <w:t xml:space="preserve"> While the ANN model</w:t>
      </w:r>
      <w:r w:rsidR="0071669D">
        <w:t xml:space="preserve"> returns the F1 score of 0.8864 and 0.8885.</w:t>
      </w:r>
    </w:p>
    <w:p w14:paraId="2E669197" w14:textId="3D8234F8" w:rsidR="00474CA5" w:rsidRDefault="00474CA5" w:rsidP="0071669D">
      <w:pPr>
        <w:pStyle w:val="Text"/>
        <w:ind w:firstLine="0"/>
      </w:pPr>
    </w:p>
    <w:p w14:paraId="657A6FAF" w14:textId="77777777" w:rsidR="0010462E" w:rsidRDefault="0010462E">
      <w:pPr>
        <w:pStyle w:val="Text"/>
      </w:pPr>
    </w:p>
    <w:tbl>
      <w:tblPr>
        <w:tblW w:w="4638" w:type="dxa"/>
        <w:tblInd w:w="123" w:type="dxa"/>
        <w:tblLook w:val="04A0" w:firstRow="1" w:lastRow="0" w:firstColumn="1" w:lastColumn="0" w:noHBand="0" w:noVBand="1"/>
      </w:tblPr>
      <w:tblGrid>
        <w:gridCol w:w="2235"/>
        <w:gridCol w:w="1103"/>
        <w:gridCol w:w="1300"/>
      </w:tblGrid>
      <w:tr w:rsidR="0010462E" w:rsidRPr="0010462E" w14:paraId="0D0927D6" w14:textId="77777777" w:rsidTr="0010462E">
        <w:trPr>
          <w:trHeight w:val="312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1EEA85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Algorithm</w:t>
            </w:r>
          </w:p>
        </w:tc>
        <w:tc>
          <w:tcPr>
            <w:tcW w:w="110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17D82C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Train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CCBA06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Test</w:t>
            </w:r>
          </w:p>
        </w:tc>
      </w:tr>
      <w:tr w:rsidR="0010462E" w:rsidRPr="0010462E" w14:paraId="2C56A309" w14:textId="77777777" w:rsidTr="0010462E">
        <w:trPr>
          <w:trHeight w:val="312"/>
        </w:trPr>
        <w:tc>
          <w:tcPr>
            <w:tcW w:w="22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4A044D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ANN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93C35B" w14:textId="37DA4C55" w:rsidR="0010462E" w:rsidRPr="0010462E" w:rsidRDefault="00D9183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0.8864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BA5B8A" w14:textId="30A8DDB2" w:rsidR="0010462E" w:rsidRPr="0010462E" w:rsidRDefault="00D9183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0.8885</w:t>
            </w:r>
          </w:p>
        </w:tc>
      </w:tr>
      <w:tr w:rsidR="0010462E" w:rsidRPr="0010462E" w14:paraId="088B3178" w14:textId="77777777" w:rsidTr="0010462E">
        <w:trPr>
          <w:trHeight w:val="312"/>
        </w:trPr>
        <w:tc>
          <w:tcPr>
            <w:tcW w:w="22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B96B4F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XGBoost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5683C6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0.9103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0A271D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0.9123</w:t>
            </w:r>
          </w:p>
        </w:tc>
      </w:tr>
      <w:tr w:rsidR="0010462E" w:rsidRPr="0010462E" w14:paraId="5C802BD7" w14:textId="77777777" w:rsidTr="0010462E">
        <w:trPr>
          <w:trHeight w:val="312"/>
        </w:trPr>
        <w:tc>
          <w:tcPr>
            <w:tcW w:w="22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F58955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Random Forest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A25953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0.9999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4977A7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0.9984</w:t>
            </w:r>
          </w:p>
        </w:tc>
      </w:tr>
      <w:tr w:rsidR="0010462E" w:rsidRPr="0010462E" w14:paraId="36337846" w14:textId="77777777" w:rsidTr="0010462E">
        <w:trPr>
          <w:trHeight w:val="312"/>
        </w:trPr>
        <w:tc>
          <w:tcPr>
            <w:tcW w:w="22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1EBFB5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KNN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AD4C1D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0.9912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4DA157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0.9896</w:t>
            </w:r>
          </w:p>
        </w:tc>
      </w:tr>
      <w:tr w:rsidR="0010462E" w:rsidRPr="0010462E" w14:paraId="33A95F1A" w14:textId="77777777" w:rsidTr="0010462E">
        <w:trPr>
          <w:trHeight w:val="312"/>
        </w:trPr>
        <w:tc>
          <w:tcPr>
            <w:tcW w:w="22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99F4F6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SVM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5771EA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0.9597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B9CAE4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0.958</w:t>
            </w:r>
          </w:p>
        </w:tc>
      </w:tr>
      <w:tr w:rsidR="0010462E" w:rsidRPr="0010462E" w14:paraId="04971BF8" w14:textId="77777777" w:rsidTr="0010462E">
        <w:trPr>
          <w:trHeight w:val="312"/>
        </w:trPr>
        <w:tc>
          <w:tcPr>
            <w:tcW w:w="22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B23B3F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Logistic Regression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978859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0.9041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569B78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0.9078</w:t>
            </w:r>
          </w:p>
        </w:tc>
      </w:tr>
      <w:tr w:rsidR="0010462E" w:rsidRPr="0010462E" w14:paraId="6FC2A59F" w14:textId="77777777" w:rsidTr="0010462E">
        <w:trPr>
          <w:trHeight w:val="312"/>
        </w:trPr>
        <w:tc>
          <w:tcPr>
            <w:tcW w:w="22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18B69C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AdaBoost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225D62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0.8887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6542DB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0.8931</w:t>
            </w:r>
          </w:p>
        </w:tc>
      </w:tr>
      <w:tr w:rsidR="0010462E" w:rsidRPr="0010462E" w14:paraId="20B250F9" w14:textId="77777777" w:rsidTr="0010462E">
        <w:trPr>
          <w:trHeight w:val="312"/>
        </w:trPr>
        <w:tc>
          <w:tcPr>
            <w:tcW w:w="22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58AB57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Gradient Boosting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B1F5B4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0.9086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2BF712" w14:textId="77777777" w:rsidR="0010462E" w:rsidRPr="0010462E" w:rsidRDefault="0010462E" w:rsidP="0010462E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0462E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0.9111</w:t>
            </w:r>
          </w:p>
        </w:tc>
      </w:tr>
    </w:tbl>
    <w:p w14:paraId="69DC2517" w14:textId="77777777" w:rsidR="002C3910" w:rsidRDefault="002C3910">
      <w:pPr>
        <w:pStyle w:val="Heading1"/>
      </w:pPr>
      <w:r>
        <w:t>Conclusion</w:t>
      </w:r>
    </w:p>
    <w:p w14:paraId="3D87E4C2" w14:textId="56B8EAE0" w:rsidR="002C3910" w:rsidRDefault="0071669D">
      <w:pPr>
        <w:pStyle w:val="Text"/>
      </w:pPr>
      <w:r>
        <w:t>T</w:t>
      </w:r>
      <w:r w:rsidR="0010462E" w:rsidRPr="0010462E">
        <w:t xml:space="preserve">he </w:t>
      </w:r>
      <w:r>
        <w:t>paper finds the accuracy</w:t>
      </w:r>
      <w:r w:rsidR="0010462E" w:rsidRPr="0010462E">
        <w:t xml:space="preserve"> of </w:t>
      </w:r>
      <w:r>
        <w:t>different</w:t>
      </w:r>
      <w:r w:rsidR="0010462E" w:rsidRPr="0010462E">
        <w:t xml:space="preserve"> algorithms for credit card fraud detection. Random Forest </w:t>
      </w:r>
      <w:r>
        <w:t>shows the best accuracy</w:t>
      </w:r>
      <w:r w:rsidR="0010462E" w:rsidRPr="0010462E">
        <w:t xml:space="preserve"> a</w:t>
      </w:r>
      <w:r>
        <w:t>mong all</w:t>
      </w:r>
      <w:r w:rsidR="0010462E" w:rsidRPr="0010462E">
        <w:t>, followed by XGBoost, KNN, and SVM.</w:t>
      </w:r>
      <w:r>
        <w:t xml:space="preserve"> This study will indeed help the consumer and banking system to develop fraud prevention machanisms.</w:t>
      </w:r>
      <w:r w:rsidR="002C3910">
        <w:t xml:space="preserve"> </w:t>
      </w:r>
    </w:p>
    <w:p w14:paraId="4E0A8B30" w14:textId="77777777" w:rsidR="00E72E23" w:rsidRDefault="00E72E23">
      <w:pPr>
        <w:pStyle w:val="Text"/>
      </w:pPr>
    </w:p>
    <w:p w14:paraId="31E43511" w14:textId="77777777" w:rsidR="00E72E23" w:rsidRDefault="00E72E23">
      <w:pPr>
        <w:pStyle w:val="Text"/>
      </w:pPr>
    </w:p>
    <w:p w14:paraId="67B9BCEC" w14:textId="77777777" w:rsidR="00E72E23" w:rsidRDefault="00E72E23">
      <w:pPr>
        <w:pStyle w:val="Text"/>
      </w:pPr>
    </w:p>
    <w:p w14:paraId="79ADA1D8" w14:textId="77777777" w:rsidR="00E72E23" w:rsidRDefault="00E72E23">
      <w:pPr>
        <w:pStyle w:val="Text"/>
      </w:pPr>
    </w:p>
    <w:p w14:paraId="0FC31BDB" w14:textId="3CA14FBD" w:rsidR="00E72E23" w:rsidRDefault="001E472B">
      <w:pPr>
        <w:pStyle w:val="Text"/>
      </w:pPr>
      <w:r>
        <w:rPr>
          <w:noProof/>
        </w:rPr>
        <w:drawing>
          <wp:inline distT="0" distB="0" distL="0" distR="0" wp14:anchorId="3DCBBE29" wp14:editId="0966824C">
            <wp:extent cx="2762885" cy="840295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84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CFF334E" w14:textId="77777777" w:rsidR="006469F1" w:rsidRDefault="006469F1" w:rsidP="00E11B7C">
      <w:pPr>
        <w:pStyle w:val="FigureCaption"/>
      </w:pPr>
    </w:p>
    <w:sectPr w:rsidR="006469F1" w:rsidSect="00E11B7C">
      <w:headerReference w:type="default" r:id="rId11"/>
      <w:type w:val="continuous"/>
      <w:pgSz w:w="12240" w:h="15840" w:code="1"/>
      <w:pgMar w:top="1009" w:right="936" w:bottom="1009" w:left="936" w:header="431" w:footer="431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664A9" w14:textId="77777777" w:rsidR="003E0882" w:rsidRDefault="003E0882">
      <w:r>
        <w:separator/>
      </w:r>
    </w:p>
  </w:endnote>
  <w:endnote w:type="continuationSeparator" w:id="0">
    <w:p w14:paraId="68D76506" w14:textId="77777777" w:rsidR="003E0882" w:rsidRDefault="003E0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515E7" w14:textId="77777777" w:rsidR="003E0882" w:rsidRDefault="003E0882"/>
  </w:footnote>
  <w:footnote w:type="continuationSeparator" w:id="0">
    <w:p w14:paraId="748E8986" w14:textId="77777777" w:rsidR="003E0882" w:rsidRDefault="003E0882">
      <w:r>
        <w:continuationSeparator/>
      </w:r>
    </w:p>
  </w:footnote>
  <w:footnote w:id="1">
    <w:p w14:paraId="16F6333E" w14:textId="77777777" w:rsidR="002C3910" w:rsidRDefault="002C391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96003" w14:textId="77777777" w:rsidR="002C3910" w:rsidRDefault="002C3910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EFCEB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 w16cid:durableId="1975141294">
    <w:abstractNumId w:val="1"/>
  </w:num>
  <w:num w:numId="2" w16cid:durableId="500657479">
    <w:abstractNumId w:val="5"/>
  </w:num>
  <w:num w:numId="3" w16cid:durableId="214390162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28338981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82465597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1830250769">
    <w:abstractNumId w:val="8"/>
  </w:num>
  <w:num w:numId="7" w16cid:durableId="185296993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67804798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1576355953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161331600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97992302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518039300">
    <w:abstractNumId w:val="6"/>
  </w:num>
  <w:num w:numId="13" w16cid:durableId="2013678692">
    <w:abstractNumId w:val="2"/>
  </w:num>
  <w:num w:numId="14" w16cid:durableId="1485852869">
    <w:abstractNumId w:val="10"/>
  </w:num>
  <w:num w:numId="15" w16cid:durableId="1459490351">
    <w:abstractNumId w:val="9"/>
  </w:num>
  <w:num w:numId="16" w16cid:durableId="1347488607">
    <w:abstractNumId w:val="12"/>
  </w:num>
  <w:num w:numId="17" w16cid:durableId="1904901092">
    <w:abstractNumId w:val="4"/>
  </w:num>
  <w:num w:numId="18" w16cid:durableId="741833231">
    <w:abstractNumId w:val="3"/>
  </w:num>
  <w:num w:numId="19" w16cid:durableId="1710295299">
    <w:abstractNumId w:val="11"/>
  </w:num>
  <w:num w:numId="20" w16cid:durableId="1757894729">
    <w:abstractNumId w:val="7"/>
  </w:num>
  <w:num w:numId="21" w16cid:durableId="94650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E0"/>
    <w:rsid w:val="00053EA0"/>
    <w:rsid w:val="000B4217"/>
    <w:rsid w:val="000B64B7"/>
    <w:rsid w:val="0010462E"/>
    <w:rsid w:val="001B7DC3"/>
    <w:rsid w:val="001E472B"/>
    <w:rsid w:val="002A0C13"/>
    <w:rsid w:val="002C3910"/>
    <w:rsid w:val="00304B04"/>
    <w:rsid w:val="00306854"/>
    <w:rsid w:val="003825E2"/>
    <w:rsid w:val="003D71C2"/>
    <w:rsid w:val="003E0882"/>
    <w:rsid w:val="00442857"/>
    <w:rsid w:val="00454090"/>
    <w:rsid w:val="004605CC"/>
    <w:rsid w:val="00473D83"/>
    <w:rsid w:val="00474CA5"/>
    <w:rsid w:val="00492AF8"/>
    <w:rsid w:val="0050214A"/>
    <w:rsid w:val="00532358"/>
    <w:rsid w:val="00537466"/>
    <w:rsid w:val="005A1D16"/>
    <w:rsid w:val="006114EF"/>
    <w:rsid w:val="006323DB"/>
    <w:rsid w:val="006469F1"/>
    <w:rsid w:val="00671343"/>
    <w:rsid w:val="006A4A8E"/>
    <w:rsid w:val="0071669D"/>
    <w:rsid w:val="007804EA"/>
    <w:rsid w:val="007A11C9"/>
    <w:rsid w:val="00827399"/>
    <w:rsid w:val="008C36E0"/>
    <w:rsid w:val="008D62F5"/>
    <w:rsid w:val="00970B2B"/>
    <w:rsid w:val="0097463F"/>
    <w:rsid w:val="009933C7"/>
    <w:rsid w:val="009B4ED3"/>
    <w:rsid w:val="00A10304"/>
    <w:rsid w:val="00A721DB"/>
    <w:rsid w:val="00A90276"/>
    <w:rsid w:val="00B5467A"/>
    <w:rsid w:val="00BB00F2"/>
    <w:rsid w:val="00BE6816"/>
    <w:rsid w:val="00C9113F"/>
    <w:rsid w:val="00CA7327"/>
    <w:rsid w:val="00D179EC"/>
    <w:rsid w:val="00D9183E"/>
    <w:rsid w:val="00E11B7C"/>
    <w:rsid w:val="00E22A17"/>
    <w:rsid w:val="00E54C8B"/>
    <w:rsid w:val="00E62005"/>
    <w:rsid w:val="00E72E23"/>
    <w:rsid w:val="00E81D97"/>
    <w:rsid w:val="00FC1CEC"/>
    <w:rsid w:val="00FD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3040C4"/>
  <w15:chartTrackingRefBased/>
  <w15:docId w15:val="{33DD1266-588A-4E39-B62B-E0FB5F42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">
    <w:name w:val="Body Text Indent"/>
    <w:basedOn w:val="Normal"/>
    <w:semiHidden/>
    <w:pPr>
      <w:ind w:left="630" w:hanging="630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463F"/>
    <w:rPr>
      <w:rFonts w:ascii="Tahoma" w:hAnsi="Tahoma" w:cs="Tahoma"/>
      <w:sz w:val="16"/>
      <w:szCs w:val="16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646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9F1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6469F1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9F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6469F1"/>
    <w:rPr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A66C4FCA44F4495BFDA313ED8A454" ma:contentTypeVersion="13" ma:contentTypeDescription="Create a new document." ma:contentTypeScope="" ma:versionID="d0c6605e36885f4b906532435b285217">
  <xsd:schema xmlns:xsd="http://www.w3.org/2001/XMLSchema" xmlns:xs="http://www.w3.org/2001/XMLSchema" xmlns:p="http://schemas.microsoft.com/office/2006/metadata/properties" xmlns:ns3="d1fe9780-2572-4b59-98ed-c9eb7ed8d0d9" xmlns:ns4="230ee525-3db3-40f1-9400-358566b1106b" targetNamespace="http://schemas.microsoft.com/office/2006/metadata/properties" ma:root="true" ma:fieldsID="e6cff6895ef97591bc9da53900758319" ns3:_="" ns4:_="">
    <xsd:import namespace="d1fe9780-2572-4b59-98ed-c9eb7ed8d0d9"/>
    <xsd:import namespace="230ee525-3db3-40f1-9400-358566b110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e9780-2572-4b59-98ed-c9eb7ed8d0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e525-3db3-40f1-9400-358566b110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fe9780-2572-4b59-98ed-c9eb7ed8d0d9" xsi:nil="true"/>
  </documentManagement>
</p:properties>
</file>

<file path=customXml/itemProps1.xml><?xml version="1.0" encoding="utf-8"?>
<ds:datastoreItem xmlns:ds="http://schemas.openxmlformats.org/officeDocument/2006/customXml" ds:itemID="{D1EE3C57-32F0-4D7E-9973-82A3F1AF5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fe9780-2572-4b59-98ed-c9eb7ed8d0d9"/>
    <ds:schemaRef ds:uri="230ee525-3db3-40f1-9400-358566b110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5E460-5508-4660-BC17-B527819CD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25936-C4EC-46FF-8F25-CF6767235ABD}">
  <ds:schemaRefs>
    <ds:schemaRef ds:uri="230ee525-3db3-40f1-9400-358566b1106b"/>
    <ds:schemaRef ds:uri="http://schemas.microsoft.com/office/2006/documentManagement/types"/>
    <ds:schemaRef ds:uri="http://purl.org/dc/terms/"/>
    <ds:schemaRef ds:uri="http://purl.org/dc/elements/1.1/"/>
    <ds:schemaRef ds:uri="d1fe9780-2572-4b59-98ed-c9eb7ed8d0d9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SAMARTH JAIN</cp:lastModifiedBy>
  <cp:revision>2</cp:revision>
  <cp:lastPrinted>2013-12-18T07:06:00Z</cp:lastPrinted>
  <dcterms:created xsi:type="dcterms:W3CDTF">2024-05-13T18:11:00Z</dcterms:created>
  <dcterms:modified xsi:type="dcterms:W3CDTF">2024-05-13T18:11:00Z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0x010100EF5A66C4FCA44F4495BFDA313ED8A454</vt:lpwstr>
  </property>
</Properties>
</file>