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460"/>
        <w:jc w:val="center"/>
      </w:pPr>
      <w:r>
        <w:rPr>
          <w:rFonts w:ascii="Times New Roman" w:cs="Times New Roman" w:eastAsia="Times New Roman" w:hAnsi="Times New Roman"/>
          <w:b w:val="false"/>
          <w:bCs w:val="false"/>
          <w:i w:val="false"/>
          <w:iCs w:val="false"/>
          <w:caps w:val="false"/>
          <w:sz w:val="40"/>
          <w:szCs w:val="40"/>
        </w:rPr>
        <w:t xml:space="preserve">A Single-Asset, Edge-First Digital Twin for Non-Invasive Condition Monitoring of Legacy MSME Machinery</w:t>
      </w:r>
    </w:p>
    <w:p>
      <w:pPr>
        <w:spacing w:after="60" w:line="240"/>
        <w:jc w:val="center"/>
      </w:pPr>
      <w:r>
        <w:rPr>
          <w:rFonts w:ascii="Times New Roman" w:cs="Times New Roman" w:eastAsia="Times New Roman" w:hAnsi="Times New Roman"/>
          <w:b w:val="false"/>
          <w:bCs w:val="false"/>
          <w:i w:val="false"/>
          <w:iCs w:val="false"/>
          <w:caps w:val="false"/>
          <w:sz w:val="22"/>
          <w:szCs w:val="22"/>
        </w:rPr>
        <w:t xml:space="preserve">Samarth D Kolur, Manoj C, Yashaswini R, Dr. Ramandeep Kaur, and Dr. Danthuluri Sudha</w:t>
      </w:r>
    </w:p>
    <w:p>
      <w:pPr>
        <w:spacing w:after="240" w:line="240"/>
        <w:jc w:val="center"/>
        <w:sectPr>
          <w:pgSz w:w="12240" w:h="15840" w:orient="portrait"/>
          <w:pgMar w:top="1080" w:right="1080" w:bottom="1080" w:left="1080" w:header="708" w:footer="708" w:gutter="0"/>
          <w:pgNumType/>
          <w:docGrid w:linePitch="360"/>
        </w:sectPr>
      </w:pPr>
      <w:r>
        <w:rPr>
          <w:rFonts w:ascii="Times New Roman" w:cs="Times New Roman" w:eastAsia="Times New Roman" w:hAnsi="Times New Roman"/>
          <w:b w:val="false"/>
          <w:bCs w:val="false"/>
          <w:i/>
          <w:iCs/>
          <w:caps w:val="false"/>
          <w:sz w:val="19"/>
          <w:szCs w:val="19"/>
        </w:rPr>
        <w:t xml:space="preserve">Dept. of Computer Science and Technology, Dayananda Sagar University, Bengaluru, India samarthdkolur1@gmail.com, manojchandrashekhar.058@gmail.com, rygowda1703@gmail.com, ramandeep-ct@dsu.edu.in, danthulurisudha15@gmail.com</w:t>
      </w:r>
    </w:p>
    <w:p>
      <w:pPr>
        <w:spacing w:after="120" w:line="240"/>
        <w:jc w:val="both"/>
      </w:pPr>
      <w:r>
        <w:rPr>
          <w:rFonts w:ascii="Times New Roman" w:cs="Times New Roman" w:eastAsia="Times New Roman" w:hAnsi="Times New Roman"/>
          <w:b/>
          <w:bCs/>
          <w:i/>
          <w:iCs/>
          <w:caps w:val="false"/>
          <w:sz w:val="19"/>
          <w:szCs w:val="19"/>
        </w:rPr>
        <w:t xml:space="preserve">Abstract—</w:t>
      </w:r>
      <w:r>
        <w:rPr>
          <w:rFonts w:ascii="Times New Roman" w:cs="Times New Roman" w:eastAsia="Times New Roman" w:hAnsi="Times New Roman"/>
          <w:b/>
          <w:bCs/>
          <w:i w:val="false"/>
          <w:iCs w:val="false"/>
          <w:caps w:val="false"/>
          <w:sz w:val="19"/>
          <w:szCs w:val="19"/>
        </w:rPr>
        <w:t xml:space="preserve">Micro, Small and Medium Enterprises (MSMEs) contribute 30.1% of India's gross domestic product and 45.73% of its exports, yet most of their production assets are legacy machines with no industrial data interface of the kind commercial digital twin platforms presuppose. This paper presents Digital Cousin, a twin formalised as a three-property paradigm — single-asset in scope, edge-first in execution and natural-language accessible in interface — and reports Phase 1, its monitoring foundation. One rotary machine is retrofitted non-invasively with a MEMS accelerometer and a 1-Wire temperature probe. A 64-sample burst at a configured 800 Hz output data rate is reduced on-device to four AC-coupled statistical features, and a single five-second publish cycle persists both sensor channels at a measured 0.2 Hz into two separate SQLite tables. The resulting state object has exactly one writer and leaves its model-derived fields explicitly null, so Phase 2 populates them without a schema migration. A local REST service and an offline-capable dashboard render live telemetry and deterministic threshold alerts with no network egress. Deployment costs approximately INR 20,000 in one-time hardware, with no licence and no cloud dependency. We report the architecture, the retrofit protocol, the evaluation plan and the bring-up findings that amended it.</w:t>
      </w:r>
    </w:p>
    <w:p>
      <w:pPr>
        <w:spacing w:after="200" w:line="240"/>
        <w:jc w:val="both"/>
      </w:pPr>
      <w:r>
        <w:rPr>
          <w:rFonts w:ascii="Times New Roman" w:cs="Times New Roman" w:eastAsia="Times New Roman" w:hAnsi="Times New Roman"/>
          <w:b/>
          <w:bCs/>
          <w:i/>
          <w:iCs/>
          <w:caps w:val="false"/>
          <w:sz w:val="19"/>
          <w:szCs w:val="19"/>
        </w:rPr>
        <w:t xml:space="preserve">Index Terms—</w:t>
      </w:r>
      <w:r>
        <w:rPr>
          <w:rFonts w:ascii="Times New Roman" w:cs="Times New Roman" w:eastAsia="Times New Roman" w:hAnsi="Times New Roman"/>
          <w:b/>
          <w:bCs/>
          <w:i w:val="false"/>
          <w:iCs w:val="false"/>
          <w:caps w:val="false"/>
          <w:sz w:val="19"/>
          <w:szCs w:val="19"/>
        </w:rPr>
        <w:t xml:space="preserve">digital twin, digital shadow, MSME, brownfield retrofit, edge computing, Internet of Things, MQTT, offline-first systems, vibration monitoring, Industry 4.0</w:t>
      </w:r>
    </w:p>
    <w:p>
      <w:pPr>
        <w:spacing w:after="120" w:line="240"/>
        <w:jc w:val="center"/>
      </w:pPr>
      <w:r>
        <w:rPr>
          <w:rFonts w:ascii="Times New Roman" w:cs="Times New Roman" w:eastAsia="Times New Roman" w:hAnsi="Times New Roman"/>
          <w:b w:val="false"/>
          <w:bCs w:val="false"/>
          <w:i w:val="false"/>
          <w:iCs w:val="false"/>
          <w:caps w:val="false"/>
          <w:sz w:val="20"/>
          <w:szCs w:val="20"/>
        </w:rPr>
        <w:t xml:space="preserve">I. INTRODUCTION</w:t>
      </w:r>
    </w:p>
    <w:p>
      <w:pPr>
        <w:spacing w:after="100" w:line="240"/>
        <w:ind w:firstLine="220"/>
        <w:jc w:val="both"/>
      </w:pPr>
      <w:r>
        <w:rPr>
          <w:rFonts w:ascii="Times New Roman" w:cs="Times New Roman" w:eastAsia="Times New Roman" w:hAnsi="Times New Roman"/>
          <w:b w:val="false"/>
          <w:bCs w:val="false"/>
          <w:i w:val="false"/>
          <w:iCs w:val="false"/>
          <w:caps w:val="false"/>
          <w:sz w:val="19"/>
          <w:szCs w:val="19"/>
        </w:rPr>
        <w:t xml:space="preserve">India's MSME sector is the structural base of the country's manufacturing output, contributing 30.1% of national GDP and 45.73% of exports [30]. It is also the least instrumented part of that economy: its capital stock is dominated by lathes, compressors, pumps and induction motors that predate any industrial data interface, and the headroom to replace them does not exist, with MSME credit demand at roughly INR 69.3 lakh crore against a formal supply near INR 14.5 lakh crore [31].</w:t>
      </w:r>
    </w:p>
    <w:p>
      <w:pPr>
        <w:spacing w:after="100" w:line="240"/>
        <w:ind w:firstLine="220"/>
        <w:jc w:val="both"/>
      </w:pPr>
      <w:r>
        <w:rPr>
          <w:rFonts w:ascii="Times New Roman" w:cs="Times New Roman" w:eastAsia="Times New Roman" w:hAnsi="Times New Roman"/>
          <w:b w:val="false"/>
          <w:bCs w:val="false"/>
          <w:i w:val="false"/>
          <w:iCs w:val="false"/>
          <w:caps w:val="false"/>
          <w:sz w:val="19"/>
          <w:szCs w:val="19"/>
        </w:rPr>
        <w:t xml:space="preserve">Digital twin technology has matured over the same period [1], with reference architectures for twin-based predictive maintenance [3] built on the five-level cyber-physical hierarchy [2]. These are sound and also inapplicable here, because each assumes structured telemetry over OPC-UA, MTConnect, Modbus or a vendor-native stack, and a legacy lathe emits none of these [4]. The barrier is not the price of the twin but the absence of anything for the twin to read.</w:t>
      </w:r>
    </w:p>
    <w:p>
      <w:pPr>
        <w:spacing w:after="100" w:line="240"/>
        <w:ind w:firstLine="220"/>
        <w:jc w:val="both"/>
      </w:pPr>
      <w:r>
        <w:rPr>
          <w:rFonts w:ascii="Times New Roman" w:cs="Times New Roman" w:eastAsia="Times New Roman" w:hAnsi="Times New Roman"/>
          <w:b w:val="false"/>
          <w:bCs w:val="false"/>
          <w:i w:val="false"/>
          <w:iCs w:val="false"/>
          <w:caps w:val="false"/>
          <w:sz w:val="19"/>
          <w:szCs w:val="19"/>
        </w:rPr>
        <w:t xml:space="preserve">Five structural barriers govern the setting, and the architecture of Section IV responds to each: the cost of a commercial suite's outlay and recurring licence; the brownfield absence of a protocol interface; the skill barrier, since a dashboard of kurtosis trends presumes a reader a ten-person workshop generally lacks; the scale mismatch of a whole-factory twin deployed against a firm depending on one asset; and the connectivity assumption of a reliable uplink such a workshop lacks. Adoption studies locate the binding constraint in the absence of an affordable implementation path [27] rather than in awareness [28]. Small language models now run usefully on commodity ARM hardware [18]–[20] and industrial work has begun to exploit them [6], [21]–[23], but places the model in the cloud or on server-class hardware — itself the obstacle for a firm with intermittent connectivity and no appetite for a metered bill.</w:t>
      </w:r>
    </w:p>
    <w:p>
      <w:pPr>
        <w:spacing w:after="100" w:line="240"/>
        <w:ind w:firstLine="220"/>
        <w:jc w:val="both"/>
      </w:pPr>
      <w:r>
        <w:rPr>
          <w:rFonts w:ascii="Times New Roman" w:cs="Times New Roman" w:eastAsia="Times New Roman" w:hAnsi="Times New Roman"/>
          <w:b w:val="false"/>
          <w:bCs w:val="false"/>
          <w:i w:val="false"/>
          <w:iCs w:val="false"/>
          <w:caps w:val="false"/>
          <w:sz w:val="19"/>
          <w:szCs w:val="19"/>
        </w:rPr>
        <w:t xml:space="preserve">The programme runs in two phases. Phase 1, reported here, establishes the retrofit, the edge acquisition path and the digital shadow that make the asset legible at all; Phase 2, scoped in Section IX, adds on-device analytics and the language interface. The contributions of Phase 1 are: a formal three-property paradigm, argued in Section III to be a distinct design point rather than a degraded enterprise twin; a four-layer architecture and retrofit protocol with a published bill of materials of approximately INR 20,000 and no recurring cost (Section IV); a deterministic acquisition and feature pipeline reducing a 64-sample burst at a configured 800 Hz to four AC-coupled features, persisted on a single publish cycle into separated raw and state tables; and a canonical state object as an immutable contract with one writer and model fields explicitly null, so no consumer can mistake an absent model output for a measurement (Section III-A).</w:t>
      </w:r>
    </w:p>
    <w:p>
      <w:pPr>
        <w:spacing w:after="120" w:line="240"/>
        <w:jc w:val="center"/>
      </w:pPr>
      <w:r>
        <w:rPr>
          <w:rFonts w:ascii="Times New Roman" w:cs="Times New Roman" w:eastAsia="Times New Roman" w:hAnsi="Times New Roman"/>
          <w:b w:val="false"/>
          <w:bCs w:val="false"/>
          <w:i w:val="false"/>
          <w:iCs w:val="false"/>
          <w:caps w:val="false"/>
          <w:sz w:val="20"/>
          <w:szCs w:val="20"/>
        </w:rPr>
        <w:t xml:space="preserve">II. RELATED WORK</w:t>
      </w:r>
    </w:p>
    <w:p>
      <w:pPr>
        <w:spacing w:after="100" w:line="240"/>
        <w:jc w:val="left"/>
      </w:pPr>
      <w:r>
        <w:rPr>
          <w:rFonts w:ascii="Times New Roman" w:cs="Times New Roman" w:eastAsia="Times New Roman" w:hAnsi="Times New Roman"/>
          <w:b w:val="false"/>
          <w:bCs w:val="false"/>
          <w:i/>
          <w:iCs/>
          <w:caps w:val="false"/>
          <w:sz w:val="19"/>
          <w:szCs w:val="19"/>
        </w:rPr>
        <w:t xml:space="preserve">A. Digital Twin Architectures for Constrained Settings</w:t>
      </w:r>
    </w:p>
    <w:p>
      <w:pPr>
        <w:spacing w:after="100" w:line="240"/>
        <w:ind w:firstLine="220"/>
        <w:jc w:val="both"/>
      </w:pPr>
      <w:r>
        <w:rPr>
          <w:rFonts w:ascii="Times New Roman" w:cs="Times New Roman" w:eastAsia="Times New Roman" w:hAnsi="Times New Roman"/>
          <w:b w:val="false"/>
          <w:bCs w:val="false"/>
          <w:i w:val="false"/>
          <w:iCs w:val="false"/>
          <w:caps w:val="false"/>
          <w:sz w:val="19"/>
          <w:szCs w:val="19"/>
        </w:rPr>
        <w:t xml:space="preserve">The literature is organised around physical–cyber integration [1] and the 5C hierarchy [2]. Van Dinter et al. synthesised 42 twin-based predictive maintenance studies into a reference architecture [3] whose applicability begins where structured telemetry already exists, and Leng et al. showed twin cost is compressible via open-architecture tools and REST middleware [4], though on tools designed to be read. Closest to this setting is Krommes and Tomaschko's framework for brownfield SME production [5]; it reaches monitoring but not predictive analytics or an operator-facing interface. Gautam et al. standardise legacy data through MTConnect under a four-agent LLM interface [6], but require an MTConnect-capable server and a cloud-hosted model.</w:t>
      </w:r>
    </w:p>
    <w:p>
      <w:pPr>
        <w:spacing w:after="100" w:line="240"/>
        <w:jc w:val="left"/>
      </w:pPr>
      <w:r>
        <w:rPr>
          <w:rFonts w:ascii="Times New Roman" w:cs="Times New Roman" w:eastAsia="Times New Roman" w:hAnsi="Times New Roman"/>
          <w:b w:val="false"/>
          <w:bCs w:val="false"/>
          <w:i/>
          <w:iCs/>
          <w:caps w:val="false"/>
          <w:sz w:val="19"/>
          <w:szCs w:val="19"/>
        </w:rPr>
        <w:t xml:space="preserve">B. Bearing Diagnostics and the Choice of Features</w:t>
      </w:r>
    </w:p>
    <w:p>
      <w:pPr>
        <w:spacing w:after="100" w:line="240"/>
        <w:ind w:firstLine="220"/>
        <w:jc w:val="both"/>
      </w:pPr>
      <w:r>
        <w:rPr>
          <w:rFonts w:ascii="Times New Roman" w:cs="Times New Roman" w:eastAsia="Times New Roman" w:hAnsi="Times New Roman"/>
          <w:b w:val="false"/>
          <w:bCs w:val="false"/>
          <w:i w:val="false"/>
          <w:iCs w:val="false"/>
          <w:caps w:val="false"/>
          <w:sz w:val="19"/>
          <w:szCs w:val="19"/>
        </w:rPr>
        <w:t xml:space="preserve">Rolling-element bearing diagnosis is the best-characterised failure mode in rotary machinery and sets the requirement the acquisition path must meet. Its signal-processing basis, including spectral kurtosis band selection and envelope analysis [9], also establishes what a low-rate path cannot see: RMS, kurtosis, crest factor and peak-to-peak are computable from a short burst and remain informative for low- and mid-frequency degradation, whereas envelope analysis of high-frequency signatures does not survive the rate reduction. Two datasets dominate and are named here as Phase 2 training sources: CWRU, whose benchmark study establishes that records differ in diagnosability and some are not reliably diagnosable at all [7], and the IMS run-to-failure set [8]. Deep architectures on them report very high accuracy [10], [11], [13], but at 12 kHz and above on server-class compute, neither of which a sub-INR-300 MEMS accelerometer on a Pi can supply. The Isolation Forest [12], cheap enough for a microcontroller and needing no fault history, is the baseline Phase 2 adopts.</w:t>
      </w:r>
    </w:p>
    <w:p>
      <w:pPr>
        <w:spacing w:after="100" w:line="240"/>
        <w:jc w:val="left"/>
      </w:pPr>
      <w:r>
        <w:rPr>
          <w:rFonts w:ascii="Times New Roman" w:cs="Times New Roman" w:eastAsia="Times New Roman" w:hAnsi="Times New Roman"/>
          <w:b w:val="false"/>
          <w:bCs w:val="false"/>
          <w:i/>
          <w:iCs/>
          <w:caps w:val="false"/>
          <w:sz w:val="19"/>
          <w:szCs w:val="19"/>
        </w:rPr>
        <w:t xml:space="preserve">C. Edge Inference and TinyML</w:t>
      </w:r>
    </w:p>
    <w:p>
      <w:pPr>
        <w:spacing w:after="100" w:line="240"/>
        <w:ind w:firstLine="220"/>
        <w:jc w:val="both"/>
      </w:pPr>
      <w:r>
        <w:rPr>
          <w:rFonts w:ascii="Times New Roman" w:cs="Times New Roman" w:eastAsia="Times New Roman" w:hAnsi="Times New Roman"/>
          <w:b w:val="false"/>
          <w:bCs w:val="false"/>
          <w:i w:val="false"/>
          <w:iCs w:val="false"/>
          <w:caps w:val="false"/>
          <w:sz w:val="19"/>
          <w:szCs w:val="19"/>
        </w:rPr>
        <w:t xml:space="preserve">Reviews of the TinyML stack for predictive maintenance find attention unevenly distributed, models well served while data optimisation and representative datasets are not [14], and conclude it is a plausible bridge for resource-constrained settings but lacks a demonstrated end-to-end MSME deployment [29]. Three systems bound the achievable envelope: an unsupervised Isolation Forest on an ESP32 inferring under 16 ms in 80 KB of RAM without labelled faults [15]; LOPdM, needing neither mains power nor a network [16]; and LiRUL, fitting prognostics into an edge budget at 0.15M parameters [17]. None provides an operator interface: each ends at an anomaly flag or a scalar, assuming a trained technician will read it. Industrial LLM work supplies one but moves the computation off the device [21]–[23], and Xia et al. caution that current models lack the deterministic fidelity autonomous intervention would require [24] — a constraint we honour by scoping the Phase 2 interface to be read-only.</w:t>
      </w:r>
    </w:p>
    <w:p>
      <w:pPr>
        <w:spacing w:after="100" w:line="240"/>
        <w:jc w:val="left"/>
      </w:pPr>
      <w:r>
        <w:rPr>
          <w:rFonts w:ascii="Times New Roman" w:cs="Times New Roman" w:eastAsia="Times New Roman" w:hAnsi="Times New Roman"/>
          <w:b w:val="false"/>
          <w:bCs w:val="false"/>
          <w:i/>
          <w:iCs/>
          <w:caps w:val="false"/>
          <w:sz w:val="19"/>
          <w:szCs w:val="19"/>
        </w:rPr>
        <w:t xml:space="preserve">D. Positioning</w:t>
      </w:r>
    </w:p>
    <w:p>
      <w:pPr>
        <w:spacing w:after="100" w:line="240"/>
        <w:ind w:firstLine="220"/>
        <w:jc w:val="both"/>
      </w:pPr>
      <w:r>
        <w:rPr>
          <w:rFonts w:ascii="Times New Roman" w:cs="Times New Roman" w:eastAsia="Times New Roman" w:hAnsi="Times New Roman"/>
          <w:b w:val="false"/>
          <w:bCs w:val="false"/>
          <w:i w:val="false"/>
          <w:iCs w:val="false"/>
          <w:caps w:val="false"/>
          <w:sz w:val="19"/>
          <w:szCs w:val="19"/>
        </w:rPr>
        <w:t xml:space="preserve">Table I scores representative prior work against the five properties this deployment requires. Several works satisfy three; we are not aware of any satisfying all five, and that unoccupied intersection is what the programme targets. Phase 1 demonstrates four, and P4 is the Phase 2 deliverable.</w:t>
      </w:r>
    </w:p>
    <w:p>
      <w:pPr>
        <w:spacing w:after="0" w:line="240"/>
        <w:jc w:val="center"/>
      </w:pPr>
      <w:r>
        <w:rPr>
          <w:rFonts w:ascii="Times New Roman" w:cs="Times New Roman" w:eastAsia="Times New Roman" w:hAnsi="Times New Roman"/>
          <w:b/>
          <w:bCs/>
          <w:i w:val="false"/>
          <w:iCs w:val="false"/>
          <w:caps w:val="false"/>
          <w:sz w:val="17"/>
          <w:szCs w:val="17"/>
        </w:rPr>
        <w:t xml:space="preserve">TABLE I</w:t>
      </w:r>
    </w:p>
    <w:p>
      <w:pPr>
        <w:spacing w:after="80" w:line="240"/>
        <w:jc w:val="center"/>
      </w:pPr>
      <w:r>
        <w:rPr>
          <w:rFonts w:ascii="Times New Roman" w:cs="Times New Roman" w:eastAsia="Times New Roman" w:hAnsi="Times New Roman"/>
          <w:b w:val="false"/>
          <w:bCs w:val="false"/>
          <w:i w:val="false"/>
          <w:iCs w:val="false"/>
          <w:caps/>
          <w:sz w:val="17"/>
          <w:szCs w:val="17"/>
        </w:rPr>
        <w:t xml:space="preserve">Representative Prior Work Against the Five Required Properties</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2160"/>
        <w:gridCol w:w="540"/>
        <w:gridCol w:w="540"/>
        <w:gridCol w:w="540"/>
        <w:gridCol w:w="540"/>
        <w:gridCol w:w="540"/>
      </w:tblGrid>
      <w:tr>
        <w:trPr>
          <w:tblHeader/>
        </w:trPr>
        <w:tc>
          <w:tcPr>
            <w:tcW w:type="dxa" w:w="2160"/>
            <w:tcBorders>
              <w:top w:val="single" w:color="000000" w:sz="2"/>
              <w:left w:val="single" w:color="000000" w:sz="2"/>
              <w:bottom w:val="single" w:color="000000" w:sz="2"/>
              <w:right w:val="single" w:color="000000" w:sz="2"/>
            </w:tcBorders>
            <w:shd w:fill="E8E8E8" w:val="clear"/>
            <w:vAlign w:val="center"/>
          </w:tcPr>
          <w:p>
            <w:pPr>
              <w:spacing w:after="0" w:line="240"/>
              <w:jc w:val="left"/>
            </w:pPr>
            <w:r>
              <w:rPr>
                <w:rFonts w:ascii="Times New Roman" w:cs="Times New Roman" w:eastAsia="Times New Roman" w:hAnsi="Times New Roman"/>
                <w:b/>
                <w:bCs/>
                <w:i w:val="false"/>
                <w:iCs w:val="false"/>
                <w:caps w:val="false"/>
                <w:sz w:val="17"/>
                <w:szCs w:val="17"/>
              </w:rPr>
              <w:t xml:space="preserve">Work</w:t>
            </w:r>
          </w:p>
        </w:tc>
        <w:tc>
          <w:tcPr>
            <w:tcW w:type="dxa" w:w="540"/>
            <w:tcBorders>
              <w:top w:val="single" w:color="000000" w:sz="2"/>
              <w:left w:val="single" w:color="000000" w:sz="2"/>
              <w:bottom w:val="single" w:color="000000" w:sz="2"/>
              <w:right w:val="single" w:color="000000" w:sz="2"/>
            </w:tcBorders>
            <w:shd w:fill="E8E8E8" w:val="clear"/>
            <w:vAlign w:val="center"/>
          </w:tcPr>
          <w:p>
            <w:pPr>
              <w:spacing w:after="0" w:line="240"/>
              <w:jc w:val="center"/>
            </w:pPr>
            <w:r>
              <w:rPr>
                <w:rFonts w:ascii="Times New Roman" w:cs="Times New Roman" w:eastAsia="Times New Roman" w:hAnsi="Times New Roman"/>
                <w:b/>
                <w:bCs/>
                <w:i w:val="false"/>
                <w:iCs w:val="false"/>
                <w:caps w:val="false"/>
                <w:sz w:val="17"/>
                <w:szCs w:val="17"/>
              </w:rPr>
              <w:t xml:space="preserve">P1</w:t>
            </w:r>
          </w:p>
        </w:tc>
        <w:tc>
          <w:tcPr>
            <w:tcW w:type="dxa" w:w="540"/>
            <w:tcBorders>
              <w:top w:val="single" w:color="000000" w:sz="2"/>
              <w:left w:val="single" w:color="000000" w:sz="2"/>
              <w:bottom w:val="single" w:color="000000" w:sz="2"/>
              <w:right w:val="single" w:color="000000" w:sz="2"/>
            </w:tcBorders>
            <w:shd w:fill="E8E8E8" w:val="clear"/>
            <w:vAlign w:val="center"/>
          </w:tcPr>
          <w:p>
            <w:pPr>
              <w:spacing w:after="0" w:line="240"/>
              <w:jc w:val="center"/>
            </w:pPr>
            <w:r>
              <w:rPr>
                <w:rFonts w:ascii="Times New Roman" w:cs="Times New Roman" w:eastAsia="Times New Roman" w:hAnsi="Times New Roman"/>
                <w:b/>
                <w:bCs/>
                <w:i w:val="false"/>
                <w:iCs w:val="false"/>
                <w:caps w:val="false"/>
                <w:sz w:val="17"/>
                <w:szCs w:val="17"/>
              </w:rPr>
              <w:t xml:space="preserve">P2</w:t>
            </w:r>
          </w:p>
        </w:tc>
        <w:tc>
          <w:tcPr>
            <w:tcW w:type="dxa" w:w="540"/>
            <w:tcBorders>
              <w:top w:val="single" w:color="000000" w:sz="2"/>
              <w:left w:val="single" w:color="000000" w:sz="2"/>
              <w:bottom w:val="single" w:color="000000" w:sz="2"/>
              <w:right w:val="single" w:color="000000" w:sz="2"/>
            </w:tcBorders>
            <w:shd w:fill="E8E8E8" w:val="clear"/>
            <w:vAlign w:val="center"/>
          </w:tcPr>
          <w:p>
            <w:pPr>
              <w:spacing w:after="0" w:line="240"/>
              <w:jc w:val="center"/>
            </w:pPr>
            <w:r>
              <w:rPr>
                <w:rFonts w:ascii="Times New Roman" w:cs="Times New Roman" w:eastAsia="Times New Roman" w:hAnsi="Times New Roman"/>
                <w:b/>
                <w:bCs/>
                <w:i w:val="false"/>
                <w:iCs w:val="false"/>
                <w:caps w:val="false"/>
                <w:sz w:val="17"/>
                <w:szCs w:val="17"/>
              </w:rPr>
              <w:t xml:space="preserve">P3</w:t>
            </w:r>
          </w:p>
        </w:tc>
        <w:tc>
          <w:tcPr>
            <w:tcW w:type="dxa" w:w="540"/>
            <w:tcBorders>
              <w:top w:val="single" w:color="000000" w:sz="2"/>
              <w:left w:val="single" w:color="000000" w:sz="2"/>
              <w:bottom w:val="single" w:color="000000" w:sz="2"/>
              <w:right w:val="single" w:color="000000" w:sz="2"/>
            </w:tcBorders>
            <w:shd w:fill="E8E8E8" w:val="clear"/>
            <w:vAlign w:val="center"/>
          </w:tcPr>
          <w:p>
            <w:pPr>
              <w:spacing w:after="0" w:line="240"/>
              <w:jc w:val="center"/>
            </w:pPr>
            <w:r>
              <w:rPr>
                <w:rFonts w:ascii="Times New Roman" w:cs="Times New Roman" w:eastAsia="Times New Roman" w:hAnsi="Times New Roman"/>
                <w:b/>
                <w:bCs/>
                <w:i w:val="false"/>
                <w:iCs w:val="false"/>
                <w:caps w:val="false"/>
                <w:sz w:val="17"/>
                <w:szCs w:val="17"/>
              </w:rPr>
              <w:t xml:space="preserve">P4</w:t>
            </w:r>
          </w:p>
        </w:tc>
        <w:tc>
          <w:tcPr>
            <w:tcW w:type="dxa" w:w="540"/>
            <w:tcBorders>
              <w:top w:val="single" w:color="000000" w:sz="2"/>
              <w:left w:val="single" w:color="000000" w:sz="2"/>
              <w:bottom w:val="single" w:color="000000" w:sz="2"/>
              <w:right w:val="single" w:color="000000" w:sz="2"/>
            </w:tcBorders>
            <w:shd w:fill="E8E8E8" w:val="clear"/>
            <w:vAlign w:val="center"/>
          </w:tcPr>
          <w:p>
            <w:pPr>
              <w:spacing w:after="0" w:line="240"/>
              <w:jc w:val="center"/>
            </w:pPr>
            <w:r>
              <w:rPr>
                <w:rFonts w:ascii="Times New Roman" w:cs="Times New Roman" w:eastAsia="Times New Roman" w:hAnsi="Times New Roman"/>
                <w:b/>
                <w:bCs/>
                <w:i w:val="false"/>
                <w:iCs w:val="false"/>
                <w:caps w:val="false"/>
                <w:sz w:val="17"/>
                <w:szCs w:val="17"/>
              </w:rPr>
              <w:t xml:space="preserve">P5</w:t>
            </w:r>
          </w:p>
        </w:tc>
      </w:tr>
      <w:tr>
        <w:trPr>
          <w:tblHeader w:val="off"/>
        </w:trPr>
        <w:tc>
          <w:tcPr>
            <w:tcW w:type="dxa" w:w="21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Reference twin architectures [1]–[3]</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N</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N</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N</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N</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N</w:t>
            </w:r>
          </w:p>
        </w:tc>
      </w:tr>
      <w:tr>
        <w:trPr>
          <w:tblHeader w:val="off"/>
        </w:trPr>
        <w:tc>
          <w:tcPr>
            <w:tcW w:type="dxa" w:w="21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Low-cost twin reconfiguration [4]</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N</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N</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N</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N</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P</w:t>
            </w:r>
          </w:p>
        </w:tc>
      </w:tr>
      <w:tr>
        <w:trPr>
          <w:tblHeader w:val="off"/>
        </w:trPr>
        <w:tc>
          <w:tcPr>
            <w:tcW w:type="dxa" w:w="21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Brownfield SME twin [5]</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N</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N</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P</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N</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P</w:t>
            </w:r>
          </w:p>
        </w:tc>
      </w:tr>
      <w:tr>
        <w:trPr>
          <w:tblHeader w:val="off"/>
        </w:trPr>
        <w:tc>
          <w:tcPr>
            <w:tcW w:type="dxa" w:w="21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Legacy twin with LLM [6]</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N</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N</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P</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Y</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N</w:t>
            </w:r>
          </w:p>
        </w:tc>
      </w:tr>
      <w:tr>
        <w:trPr>
          <w:tblHeader w:val="off"/>
        </w:trPr>
        <w:tc>
          <w:tcPr>
            <w:tcW w:type="dxa" w:w="21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Server-class diagnosis [10], [11], [13]</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Y</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P</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N</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N</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N</w:t>
            </w:r>
          </w:p>
        </w:tc>
      </w:tr>
      <w:tr>
        <w:trPr>
          <w:tblHeader w:val="off"/>
        </w:trPr>
        <w:tc>
          <w:tcPr>
            <w:tcW w:type="dxa" w:w="21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TinyML PdM reviews [14], [29]</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P</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Y</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P</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N</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Y</w:t>
            </w:r>
          </w:p>
        </w:tc>
      </w:tr>
      <w:tr>
        <w:trPr>
          <w:tblHeader w:val="off"/>
        </w:trPr>
        <w:tc>
          <w:tcPr>
            <w:tcW w:type="dxa" w:w="21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Edge monitors [15]–[17]</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Y</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Y</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N</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N</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Y</w:t>
            </w:r>
          </w:p>
        </w:tc>
      </w:tr>
      <w:tr>
        <w:trPr>
          <w:tblHeader w:val="off"/>
        </w:trPr>
        <w:tc>
          <w:tcPr>
            <w:tcW w:type="dxa" w:w="21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Edge SLM frameworks [20]</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N</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Y</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N</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P</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Y</w:t>
            </w:r>
          </w:p>
        </w:tc>
      </w:tr>
      <w:tr>
        <w:trPr>
          <w:tblHeader w:val="off"/>
        </w:trPr>
        <w:tc>
          <w:tcPr>
            <w:tcW w:type="dxa" w:w="21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Cloud industrial LLM [21]–[24]</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Y</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N</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N</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Y</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N</w:t>
            </w:r>
          </w:p>
        </w:tc>
      </w:tr>
      <w:tr>
        <w:trPr>
          <w:tblHeader w:val="off"/>
        </w:trPr>
        <w:tc>
          <w:tcPr>
            <w:tcW w:type="dxa" w:w="21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Digital Cousin (Phase 1)</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Y</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Y</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Y</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P</w:t>
            </w:r>
          </w:p>
        </w:tc>
        <w:tc>
          <w:tcPr>
            <w:tcW w:type="dxa" w:w="540"/>
            <w:tcBorders>
              <w:top w:val="single" w:color="000000" w:sz="2"/>
              <w:left w:val="single" w:color="000000" w:sz="2"/>
              <w:bottom w:val="single" w:color="000000" w:sz="2"/>
              <w:right w:val="single" w:color="000000" w:sz="2"/>
            </w:tcBorders>
            <w:vAlign w:val="center"/>
          </w:tcPr>
          <w:p>
            <w:pPr>
              <w:spacing w:after="0" w:line="240"/>
              <w:jc w:val="center"/>
            </w:pPr>
            <w:r>
              <w:rPr>
                <w:rFonts w:ascii="Times New Roman" w:cs="Times New Roman" w:eastAsia="Times New Roman" w:hAnsi="Times New Roman"/>
                <w:b w:val="false"/>
                <w:bCs w:val="false"/>
                <w:i w:val="false"/>
                <w:iCs w:val="false"/>
                <w:caps w:val="false"/>
                <w:sz w:val="17"/>
                <w:szCs w:val="17"/>
              </w:rPr>
              <w:t xml:space="preserve">Y</w:t>
            </w:r>
          </w:p>
        </w:tc>
      </w:tr>
    </w:tbl>
    <w:p>
      <w:pPr>
        <w:spacing w:after="160" w:line="240"/>
        <w:jc w:val="left"/>
      </w:pPr>
      <w:r>
        <w:rPr>
          <w:rFonts w:ascii="Times New Roman" w:cs="Times New Roman" w:eastAsia="Times New Roman" w:hAnsi="Times New Roman"/>
          <w:b w:val="false"/>
          <w:bCs w:val="false"/>
          <w:i w:val="false"/>
          <w:iCs w:val="false"/>
          <w:caps w:val="false"/>
          <w:sz w:val="15"/>
          <w:szCs w:val="15"/>
        </w:rPr>
        <w:t xml:space="preserve">Y demonstrated, P partially addressed or carrying a structural dependency that limits transfer, N not addressed. P1 single-asset scope; P2 edge-only execution; P3 MSME context; P4 natural-language interface; P5 low-cost hardware. Our P4 is P because Phase 1 delivers the state contract the interface consumes; the interface is Phase 2.</w:t>
      </w:r>
    </w:p>
    <w:p>
      <w:pPr>
        <w:spacing w:after="120" w:line="240"/>
        <w:jc w:val="center"/>
      </w:pPr>
      <w:r>
        <w:rPr>
          <w:rFonts w:ascii="Times New Roman" w:cs="Times New Roman" w:eastAsia="Times New Roman" w:hAnsi="Times New Roman"/>
          <w:b w:val="false"/>
          <w:bCs w:val="false"/>
          <w:i w:val="false"/>
          <w:iCs w:val="false"/>
          <w:caps w:val="false"/>
          <w:sz w:val="20"/>
          <w:szCs w:val="20"/>
        </w:rPr>
        <w:t xml:space="preserve">III. THE DIGITAL COUSIN PARADIGM</w:t>
      </w:r>
    </w:p>
    <w:p>
      <w:pPr>
        <w:spacing w:after="100" w:line="240"/>
        <w:ind w:firstLine="220"/>
        <w:jc w:val="both"/>
      </w:pPr>
      <w:r>
        <w:rPr>
          <w:rFonts w:ascii="Times New Roman" w:cs="Times New Roman" w:eastAsia="Times New Roman" w:hAnsi="Times New Roman"/>
          <w:b w:val="false"/>
          <w:bCs w:val="false"/>
          <w:i w:val="false"/>
          <w:iCs w:val="false"/>
          <w:caps w:val="false"/>
          <w:sz w:val="19"/>
          <w:szCs w:val="19"/>
        </w:rPr>
        <w:t xml:space="preserve">We use cousin rather than twin deliberately. A twin connotes fidelity — a replica close enough to substitute for its counterpart in simulation — and nothing here attempts that. What it offers is a partial, deliberately narrow relative of the asset, with enough shared structure to answer one question usefully and no pretence of completeness.</w:t>
      </w:r>
    </w:p>
    <w:p>
      <w:pPr>
        <w:spacing w:after="100" w:line="240"/>
        <w:ind w:firstLine="220"/>
        <w:jc w:val="both"/>
      </w:pPr>
      <w:r>
        <w:rPr>
          <w:rFonts w:ascii="Times New Roman" w:cs="Times New Roman" w:eastAsia="Times New Roman" w:hAnsi="Times New Roman"/>
          <w:b/>
          <w:bCs/>
          <w:i w:val="false"/>
          <w:iCs w:val="false"/>
          <w:caps w:val="false"/>
          <w:sz w:val="19"/>
          <w:szCs w:val="19"/>
        </w:rPr>
        <w:t xml:space="preserve">P1, single-asset scope. </w:t>
      </w:r>
      <w:r>
        <w:rPr>
          <w:rFonts w:ascii="Times New Roman" w:cs="Times New Roman" w:eastAsia="Times New Roman" w:hAnsi="Times New Roman"/>
          <w:b w:val="false"/>
          <w:bCs w:val="false"/>
          <w:i w:val="false"/>
          <w:iCs w:val="false"/>
          <w:caps w:val="false"/>
          <w:sz w:val="19"/>
          <w:szCs w:val="19"/>
        </w:rPr>
        <w:t xml:space="preserve">The unit of deployment is exactly one machine, the bottleneck or highest-consequence failure point — a positive design choice, not budget-driven truncation. Plant-wide architectures spend their complexity on topology, asset registries, cross-asset correlation and multi-tenant data models, all overhead for a firm whose production depends on one lathe. Narrowing to one asset collapses the state model to a single object, removes the asset ontology that makes knowledge-graph-driven twins expensive to maintain, and brings the compute budget inside a single-board computer.</w:t>
      </w:r>
    </w:p>
    <w:p>
      <w:pPr>
        <w:spacing w:after="100" w:line="240"/>
        <w:ind w:firstLine="220"/>
        <w:jc w:val="both"/>
      </w:pPr>
      <w:r>
        <w:rPr>
          <w:rFonts w:ascii="Times New Roman" w:cs="Times New Roman" w:eastAsia="Times New Roman" w:hAnsi="Times New Roman"/>
          <w:b/>
          <w:bCs/>
          <w:i w:val="false"/>
          <w:iCs w:val="false"/>
          <w:caps w:val="false"/>
          <w:sz w:val="19"/>
          <w:szCs w:val="19"/>
        </w:rPr>
        <w:t xml:space="preserve">P2, edge-first execution. </w:t>
      </w:r>
      <w:r>
        <w:rPr>
          <w:rFonts w:ascii="Times New Roman" w:cs="Times New Roman" w:eastAsia="Times New Roman" w:hAnsi="Times New Roman"/>
          <w:b w:val="false"/>
          <w:bCs w:val="false"/>
          <w:i w:val="false"/>
          <w:iCs w:val="false"/>
          <w:caps w:val="false"/>
          <w:sz w:val="19"/>
          <w:szCs w:val="19"/>
        </w:rPr>
        <w:t xml:space="preserve">Every function required for the system to be useful — acquisition, feature extraction, storage, alerting and dashboard — executes on the edge node with no network egress, cloud connectivity being an optional accelerator for the Phase 2 interface and never a dependency. This distinguishes the design from edge-assisted architectures that localise inference but retain the cloud for retraining or visualisation, which an intermittent industrial connection degrades to unavailability.</w:t>
      </w:r>
    </w:p>
    <w:p>
      <w:pPr>
        <w:spacing w:after="100" w:line="240"/>
        <w:ind w:firstLine="220"/>
        <w:jc w:val="both"/>
      </w:pPr>
      <w:r>
        <w:rPr>
          <w:rFonts w:ascii="Times New Roman" w:cs="Times New Roman" w:eastAsia="Times New Roman" w:hAnsi="Times New Roman"/>
          <w:b/>
          <w:bCs/>
          <w:i w:val="false"/>
          <w:iCs w:val="false"/>
          <w:caps w:val="false"/>
          <w:sz w:val="19"/>
          <w:szCs w:val="19"/>
        </w:rPr>
        <w:t xml:space="preserve">P3, natural-language accessibility. </w:t>
      </w:r>
      <w:r>
        <w:rPr>
          <w:rFonts w:ascii="Times New Roman" w:cs="Times New Roman" w:eastAsia="Times New Roman" w:hAnsi="Times New Roman"/>
          <w:b w:val="false"/>
          <w:bCs w:val="false"/>
          <w:i w:val="false"/>
          <w:iCs w:val="false"/>
          <w:caps w:val="false"/>
          <w:sz w:val="19"/>
          <w:szCs w:val="19"/>
        </w:rPr>
        <w:t xml:space="preserve">The operator's primary interface is intended to be a question in their own words, answered in plain language; the dashboard is retained for the owner and technician. This is the Phase 2 deliverable, and stating it here is not decoration, because it imposes two obligations Phase 1 must discharge in advance: machine state must be retrievable as structured data rather than reconstructed from a rendering, and an interface that cannot be cross-checked against a chart must never state a number it did not retrieve. Both are why the state object is the system's contract rather than an artefact of the dashboard, and why it distinguishes a null model field from a measured one at the schema level. An interface lacking these cannot be made trustworthy by prompting.</w:t>
      </w:r>
    </w:p>
    <w:p>
      <w:pPr>
        <w:spacing w:after="100" w:line="240"/>
        <w:jc w:val="left"/>
      </w:pPr>
      <w:r>
        <w:rPr>
          <w:rFonts w:ascii="Times New Roman" w:cs="Times New Roman" w:eastAsia="Times New Roman" w:hAnsi="Times New Roman"/>
          <w:b w:val="false"/>
          <w:bCs w:val="false"/>
          <w:i/>
          <w:iCs/>
          <w:caps w:val="false"/>
          <w:sz w:val="19"/>
          <w:szCs w:val="19"/>
        </w:rPr>
        <w:t xml:space="preserve">A. State Object</w:t>
      </w:r>
    </w:p>
    <w:p>
      <w:pPr>
        <w:spacing w:after="100" w:line="240"/>
        <w:ind w:firstLine="220"/>
        <w:jc w:val="both"/>
      </w:pPr>
      <w:r>
        <w:rPr>
          <w:rFonts w:ascii="Times New Roman" w:cs="Times New Roman" w:eastAsia="Times New Roman" w:hAnsi="Times New Roman"/>
          <w:b w:val="false"/>
          <w:bCs w:val="false"/>
          <w:i w:val="false"/>
          <w:iCs w:val="false"/>
          <w:caps w:val="false"/>
          <w:sz w:val="19"/>
          <w:szCs w:val="19"/>
        </w:rPr>
        <w:t xml:space="preserve">The twin is realised as a single structured state object, re-synchronised on a five-second publish cycle, with the fields of Table II. It is the sole source of truth: the edge layer is its only writer, and the dashboard and alert module are its readers in Phase 1, joined by the language interface in Phase 2 without a change to the contract. Model-derived fields are nullable and remain null throughout Phase 1, since no trained artefact is loaded, so the schema never carries a placeholder a consumer could mistake for a measurement.</w:t>
      </w:r>
    </w:p>
    <w:p>
      <w:pPr>
        <w:spacing w:after="0" w:line="240"/>
        <w:jc w:val="center"/>
      </w:pPr>
      <w:r>
        <w:rPr>
          <w:rFonts w:ascii="Times New Roman" w:cs="Times New Roman" w:eastAsia="Times New Roman" w:hAnsi="Times New Roman"/>
          <w:b/>
          <w:bCs/>
          <w:i w:val="false"/>
          <w:iCs w:val="false"/>
          <w:caps w:val="false"/>
          <w:sz w:val="17"/>
          <w:szCs w:val="17"/>
        </w:rPr>
        <w:t xml:space="preserve">TABLE II</w:t>
      </w:r>
    </w:p>
    <w:p>
      <w:pPr>
        <w:spacing w:after="80" w:line="240"/>
        <w:jc w:val="center"/>
      </w:pPr>
      <w:r>
        <w:rPr>
          <w:rFonts w:ascii="Times New Roman" w:cs="Times New Roman" w:eastAsia="Times New Roman" w:hAnsi="Times New Roman"/>
          <w:b w:val="false"/>
          <w:bCs w:val="false"/>
          <w:i w:val="false"/>
          <w:iCs w:val="false"/>
          <w:caps/>
          <w:sz w:val="17"/>
          <w:szCs w:val="17"/>
        </w:rPr>
        <w:t xml:space="preserve">Digital Twin State Object</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960"/>
      </w:tblGrid>
      <w:tr>
        <w:trPr>
          <w:tblHeader/>
        </w:trPr>
        <w:tc>
          <w:tcPr>
            <w:tcW w:type="dxa" w:w="2000"/>
            <w:tcBorders>
              <w:top w:val="single" w:color="000000" w:sz="2"/>
              <w:left w:val="single" w:color="000000" w:sz="2"/>
              <w:bottom w:val="single" w:color="000000" w:sz="2"/>
              <w:right w:val="single" w:color="000000" w:sz="2"/>
            </w:tcBorders>
            <w:shd w:fill="E8E8E8" w:val="clear"/>
            <w:vAlign w:val="center"/>
          </w:tcPr>
          <w:p>
            <w:pPr>
              <w:spacing w:after="0" w:line="240"/>
              <w:jc w:val="left"/>
            </w:pPr>
            <w:r>
              <w:rPr>
                <w:rFonts w:ascii="Times New Roman" w:cs="Times New Roman" w:eastAsia="Times New Roman" w:hAnsi="Times New Roman"/>
                <w:b/>
                <w:bCs/>
                <w:i w:val="false"/>
                <w:iCs w:val="false"/>
                <w:caps w:val="false"/>
                <w:sz w:val="17"/>
                <w:szCs w:val="17"/>
              </w:rPr>
              <w:t xml:space="preserve">Field</w:t>
            </w:r>
          </w:p>
        </w:tc>
        <w:tc>
          <w:tcPr>
            <w:tcW w:type="dxa" w:w="900"/>
            <w:tcBorders>
              <w:top w:val="single" w:color="000000" w:sz="2"/>
              <w:left w:val="single" w:color="000000" w:sz="2"/>
              <w:bottom w:val="single" w:color="000000" w:sz="2"/>
              <w:right w:val="single" w:color="000000" w:sz="2"/>
            </w:tcBorders>
            <w:shd w:fill="E8E8E8" w:val="clear"/>
            <w:vAlign w:val="center"/>
          </w:tcPr>
          <w:p>
            <w:pPr>
              <w:spacing w:after="0" w:line="240"/>
              <w:jc w:val="left"/>
            </w:pPr>
            <w:r>
              <w:rPr>
                <w:rFonts w:ascii="Times New Roman" w:cs="Times New Roman" w:eastAsia="Times New Roman" w:hAnsi="Times New Roman"/>
                <w:b/>
                <w:bCs/>
                <w:i w:val="false"/>
                <w:iCs w:val="false"/>
                <w:caps w:val="false"/>
                <w:sz w:val="17"/>
                <w:szCs w:val="17"/>
              </w:rPr>
              <w:t xml:space="preserve">Type</w:t>
            </w:r>
          </w:p>
        </w:tc>
        <w:tc>
          <w:tcPr>
            <w:tcW w:type="dxa" w:w="1960"/>
            <w:tcBorders>
              <w:top w:val="single" w:color="000000" w:sz="2"/>
              <w:left w:val="single" w:color="000000" w:sz="2"/>
              <w:bottom w:val="single" w:color="000000" w:sz="2"/>
              <w:right w:val="single" w:color="000000" w:sz="2"/>
            </w:tcBorders>
            <w:shd w:fill="E8E8E8" w:val="clear"/>
            <w:vAlign w:val="center"/>
          </w:tcPr>
          <w:p>
            <w:pPr>
              <w:spacing w:after="0" w:line="240"/>
              <w:jc w:val="left"/>
            </w:pPr>
            <w:r>
              <w:rPr>
                <w:rFonts w:ascii="Times New Roman" w:cs="Times New Roman" w:eastAsia="Times New Roman" w:hAnsi="Times New Roman"/>
                <w:b/>
                <w:bCs/>
                <w:i w:val="false"/>
                <w:iCs w:val="false"/>
                <w:caps w:val="false"/>
                <w:sz w:val="17"/>
                <w:szCs w:val="17"/>
              </w:rPr>
              <w:t xml:space="preserve">Source and meaning</w:t>
            </w:r>
          </w:p>
        </w:tc>
      </w:tr>
      <w:tr>
        <w:trPr>
          <w:tblHeader w:val="off"/>
        </w:trPr>
        <w:tc>
          <w:tcPr>
            <w:tcW w:type="dxa" w:w="20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asset_id</w:t>
            </w:r>
          </w:p>
        </w:tc>
        <w:tc>
          <w:tcPr>
            <w:tcW w:type="dxa" w:w="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string</w:t>
            </w:r>
          </w:p>
        </w:tc>
        <w:tc>
          <w:tcPr>
            <w:tcW w:type="dxa" w:w="19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Monitored machine identifier</w:t>
            </w:r>
          </w:p>
        </w:tc>
      </w:tr>
      <w:tr>
        <w:trPr>
          <w:tblHeader w:val="off"/>
        </w:trPr>
        <w:tc>
          <w:tcPr>
            <w:tcW w:type="dxa" w:w="20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timestamp</w:t>
            </w:r>
          </w:p>
        </w:tc>
        <w:tc>
          <w:tcPr>
            <w:tcW w:type="dxa" w:w="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ISO-8601</w:t>
            </w:r>
          </w:p>
        </w:tc>
        <w:tc>
          <w:tcPr>
            <w:tcW w:type="dxa" w:w="19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Acquisition time, UTC</w:t>
            </w:r>
          </w:p>
        </w:tc>
      </w:tr>
      <w:tr>
        <w:tc>
          <w:tcPr>
            <w:tcW w:type="dxa" w:w="4860"/>
            <w:gridSpan w:val="3"/>
            <w:tcBorders>
              <w:top w:val="single" w:color="000000" w:sz="2"/>
              <w:left w:val="single" w:color="000000" w:sz="2"/>
              <w:bottom w:val="single" w:color="000000" w:sz="2"/>
              <w:right w:val="single" w:color="000000" w:sz="2"/>
            </w:tcBorders>
            <w:shd w:fill="F2F2F2" w:val="clear"/>
          </w:tcPr>
          <w:p>
            <w:pPr>
              <w:spacing w:after="0" w:line="240"/>
              <w:jc w:val="left"/>
            </w:pPr>
            <w:r>
              <w:rPr>
                <w:rFonts w:ascii="Times New Roman" w:cs="Times New Roman" w:eastAsia="Times New Roman" w:hAnsi="Times New Roman"/>
                <w:b w:val="false"/>
                <w:bCs w:val="false"/>
                <w:i/>
                <w:iCs/>
                <w:caps w:val="false"/>
                <w:sz w:val="17"/>
                <w:szCs w:val="17"/>
              </w:rPr>
              <w:t xml:space="preserve">vibration — nested object</w:t>
            </w:r>
          </w:p>
        </w:tc>
      </w:tr>
      <w:tr>
        <w:trPr>
          <w:tblHeader w:val="off"/>
        </w:trPr>
        <w:tc>
          <w:tcPr>
            <w:tcW w:type="dxa" w:w="20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rms_g</w:t>
            </w:r>
          </w:p>
        </w:tc>
        <w:tc>
          <w:tcPr>
            <w:tcW w:type="dxa" w:w="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float</w:t>
            </w:r>
          </w:p>
        </w:tc>
        <w:tc>
          <w:tcPr>
            <w:tcW w:type="dxa" w:w="19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RMS of AC-coupled signal</w:t>
            </w:r>
          </w:p>
        </w:tc>
      </w:tr>
      <w:tr>
        <w:trPr>
          <w:tblHeader w:val="off"/>
        </w:trPr>
        <w:tc>
          <w:tcPr>
            <w:tcW w:type="dxa" w:w="20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kurtosis</w:t>
            </w:r>
          </w:p>
        </w:tc>
        <w:tc>
          <w:tcPr>
            <w:tcW w:type="dxa" w:w="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float</w:t>
            </w:r>
          </w:p>
        </w:tc>
        <w:tc>
          <w:tcPr>
            <w:tcW w:type="dxa" w:w="19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Fourth standardised moment</w:t>
            </w:r>
          </w:p>
        </w:tc>
      </w:tr>
      <w:tr>
        <w:trPr>
          <w:tblHeader w:val="off"/>
        </w:trPr>
        <w:tc>
          <w:tcPr>
            <w:tcW w:type="dxa" w:w="20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crest_factor</w:t>
            </w:r>
          </w:p>
        </w:tc>
        <w:tc>
          <w:tcPr>
            <w:tcW w:type="dxa" w:w="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float</w:t>
            </w:r>
          </w:p>
        </w:tc>
        <w:tc>
          <w:tcPr>
            <w:tcW w:type="dxa" w:w="19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Peak over RMS</w:t>
            </w:r>
          </w:p>
        </w:tc>
      </w:tr>
      <w:tr>
        <w:trPr>
          <w:tblHeader w:val="off"/>
        </w:trPr>
        <w:tc>
          <w:tcPr>
            <w:tcW w:type="dxa" w:w="20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peak_to_peak_g</w:t>
            </w:r>
          </w:p>
        </w:tc>
        <w:tc>
          <w:tcPr>
            <w:tcW w:type="dxa" w:w="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float</w:t>
            </w:r>
          </w:p>
        </w:tc>
        <w:tc>
          <w:tcPr>
            <w:tcW w:type="dxa" w:w="19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Window peak-to-peak</w:t>
            </w:r>
          </w:p>
        </w:tc>
      </w:tr>
      <w:tr>
        <w:trPr>
          <w:tblHeader w:val="off"/>
        </w:trPr>
        <w:tc>
          <w:tcPr>
            <w:tcW w:type="dxa" w:w="20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sampling_hz</w:t>
            </w:r>
          </w:p>
        </w:tc>
        <w:tc>
          <w:tcPr>
            <w:tcW w:type="dxa" w:w="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int</w:t>
            </w:r>
          </w:p>
        </w:tc>
        <w:tc>
          <w:tcPr>
            <w:tcW w:type="dxa" w:w="19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Configured burst ODR, 800 Hz</w:t>
            </w:r>
          </w:p>
        </w:tc>
      </w:tr>
      <w:tr>
        <w:trPr>
          <w:tblHeader w:val="off"/>
        </w:trPr>
        <w:tc>
          <w:tcPr>
            <w:tcW w:type="dxa" w:w="20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temperature_c</w:t>
            </w:r>
          </w:p>
        </w:tc>
        <w:tc>
          <w:tcPr>
            <w:tcW w:type="dxa" w:w="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float</w:t>
            </w:r>
          </w:p>
        </w:tc>
        <w:tc>
          <w:tcPr>
            <w:tcW w:type="dxa" w:w="19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1-Wire probe, °C</w:t>
            </w:r>
          </w:p>
        </w:tc>
      </w:tr>
      <w:tr>
        <w:trPr>
          <w:tblHeader w:val="off"/>
        </w:trPr>
        <w:tc>
          <w:tcPr>
            <w:tcW w:type="dxa" w:w="20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anomaly_score</w:t>
            </w:r>
          </w:p>
        </w:tc>
        <w:tc>
          <w:tcPr>
            <w:tcW w:type="dxa" w:w="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float?</w:t>
            </w:r>
          </w:p>
        </w:tc>
        <w:tc>
          <w:tcPr>
            <w:tcW w:type="dxa" w:w="19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Fused model output, 0 to 1</w:t>
            </w:r>
          </w:p>
        </w:tc>
      </w:tr>
      <w:tr>
        <w:trPr>
          <w:tblHeader w:val="off"/>
        </w:trPr>
        <w:tc>
          <w:tcPr>
            <w:tcW w:type="dxa" w:w="20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health_index</w:t>
            </w:r>
          </w:p>
        </w:tc>
        <w:tc>
          <w:tcPr>
            <w:tcW w:type="dxa" w:w="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float?</w:t>
            </w:r>
          </w:p>
        </w:tc>
        <w:tc>
          <w:tcPr>
            <w:tcW w:type="dxa" w:w="19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Calibrated scalar, 0 to 1</w:t>
            </w:r>
          </w:p>
        </w:tc>
      </w:tr>
      <w:tr>
        <w:trPr>
          <w:tblHeader w:val="off"/>
        </w:trPr>
        <w:tc>
          <w:tcPr>
            <w:tcW w:type="dxa" w:w="20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remaining_useful_life</w:t>
            </w:r>
          </w:p>
        </w:tc>
        <w:tc>
          <w:tcPr>
            <w:tcW w:type="dxa" w:w="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float?</w:t>
            </w:r>
          </w:p>
        </w:tc>
        <w:tc>
          <w:tcPr>
            <w:tcW w:type="dxa" w:w="19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Life-fraction proxy, 0 to 1</w:t>
            </w:r>
          </w:p>
        </w:tc>
      </w:tr>
      <w:tr>
        <w:trPr>
          <w:tblHeader w:val="off"/>
        </w:trPr>
        <w:tc>
          <w:tcPr>
            <w:tcW w:type="dxa" w:w="20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model_confidence</w:t>
            </w:r>
          </w:p>
        </w:tc>
        <w:tc>
          <w:tcPr>
            <w:tcW w:type="dxa" w:w="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enum?</w:t>
            </w:r>
          </w:p>
        </w:tc>
        <w:tc>
          <w:tcPr>
            <w:tcW w:type="dxa" w:w="19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high or low</w:t>
            </w:r>
          </w:p>
        </w:tc>
      </w:tr>
      <w:tr>
        <w:trPr>
          <w:tblHeader w:val="off"/>
        </w:trPr>
        <w:tc>
          <w:tcPr>
            <w:tcW w:type="dxa" w:w="20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alert_level</w:t>
            </w:r>
          </w:p>
        </w:tc>
        <w:tc>
          <w:tcPr>
            <w:tcW w:type="dxa" w:w="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enum?</w:t>
            </w:r>
          </w:p>
        </w:tc>
        <w:tc>
          <w:tcPr>
            <w:tcW w:type="dxa" w:w="19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normal, warning, critical</w:t>
            </w:r>
          </w:p>
        </w:tc>
      </w:tr>
    </w:tbl>
    <w:p>
      <w:pPr>
        <w:spacing w:after="160" w:line="240"/>
        <w:jc w:val="left"/>
        <w:sectPr>
          <w:type w:val="continuous"/>
          <w:pgSz w:w="11906" w:h="16838" w:orient="portrait"/>
          <w:pgMar w:top="1080" w:right="1080" w:bottom="1080" w:left="1080" w:header="708" w:footer="708" w:gutter="0"/>
          <w:pgNumType/>
          <w:cols w:space="360" w:num="2" w:equalWidth="true"/>
          <w:docGrid w:linePitch="360"/>
        </w:sectPr>
      </w:pPr>
      <w:r>
        <w:rPr>
          <w:rFonts w:ascii="Times New Roman" w:cs="Times New Roman" w:eastAsia="Times New Roman" w:hAnsi="Times New Roman"/>
          <w:b w:val="false"/>
          <w:bCs w:val="false"/>
          <w:i w:val="false"/>
          <w:iCs w:val="false"/>
          <w:caps w:val="false"/>
          <w:sz w:val="15"/>
          <w:szCs w:val="15"/>
        </w:rPr>
        <w:t xml:space="preserve">Types marked ? are nullable; all five are null throughout Phase 1 and are populated by the Phase 2 analytics without a schema change.</w:t>
      </w:r>
    </w:p>
    <w:p>
      <w:pPr>
        <w:spacing w:after="80" w:before="120"/>
        <w:jc w:val="center"/>
      </w:pPr>
      <w:r>
        <w:drawing>
          <wp:inline distT="0" distB="0" distL="0" distR="0">
            <wp:extent cx="62865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1819275"/>
                    </a:xfrm>
                    <a:prstGeom prst="rect">
                      <a:avLst/>
                    </a:prstGeom>
                  </pic:spPr>
                </pic:pic>
              </a:graphicData>
            </a:graphic>
          </wp:inline>
        </w:drawing>
      </w:r>
    </w:p>
    <w:p>
      <w:pPr>
        <w:spacing w:after="200" w:line="240"/>
        <w:jc w:val="both"/>
        <w:sectPr>
          <w:type w:val="continuous"/>
          <w:pgSz w:w="11906" w:h="16838" w:orient="portrait"/>
          <w:pgMar w:top="1080" w:right="1080" w:bottom="1080" w:left="1080" w:header="708" w:footer="708" w:gutter="0"/>
          <w:pgNumType/>
          <w:cols w:num="1"/>
          <w:docGrid w:linePitch="360"/>
        </w:sectPr>
      </w:pPr>
      <w:r>
        <w:rPr>
          <w:rFonts w:ascii="Times New Roman" w:cs="Times New Roman" w:eastAsia="Times New Roman" w:hAnsi="Times New Roman"/>
          <w:b/>
          <w:bCs/>
          <w:i w:val="false"/>
          <w:iCs w:val="false"/>
          <w:caps w:val="false"/>
          <w:sz w:val="17"/>
          <w:szCs w:val="17"/>
        </w:rPr>
        <w:t xml:space="preserve">Fig. 1. </w:t>
      </w:r>
      <w:r>
        <w:rPr>
          <w:rFonts w:ascii="Times New Roman" w:cs="Times New Roman" w:eastAsia="Times New Roman" w:hAnsi="Times New Roman"/>
          <w:b w:val="false"/>
          <w:bCs w:val="false"/>
          <w:i w:val="false"/>
          <w:iCs w:val="false"/>
          <w:caps w:val="false"/>
          <w:sz w:val="17"/>
          <w:szCs w:val="17"/>
        </w:rPr>
        <w:t xml:space="preserve">Four-layer Digital Cousin architecture. Every element shown executes on the single edge node or on the sensors attached to it. Solid borders mark what Phase 1 implements; the dashed copilot layer and the two italicised edge-layer items are Phase 2. The optional cloud path in the copilot layer is the only route that would ever leave the device, and the system is fully functional without it.</w:t>
      </w:r>
    </w:p>
    <w:p>
      <w:pPr>
        <w:spacing w:after="120" w:line="240"/>
        <w:jc w:val="center"/>
      </w:pPr>
      <w:r>
        <w:rPr>
          <w:rFonts w:ascii="Times New Roman" w:cs="Times New Roman" w:eastAsia="Times New Roman" w:hAnsi="Times New Roman"/>
          <w:b w:val="false"/>
          <w:bCs w:val="false"/>
          <w:i w:val="false"/>
          <w:iCs w:val="false"/>
          <w:caps w:val="false"/>
          <w:sz w:val="20"/>
          <w:szCs w:val="20"/>
        </w:rPr>
        <w:t xml:space="preserve">IV. SYSTEM ARCHITECTURE</w:t>
      </w:r>
    </w:p>
    <w:p>
      <w:pPr>
        <w:spacing w:after="100" w:line="240"/>
        <w:ind w:firstLine="220"/>
        <w:jc w:val="both"/>
      </w:pPr>
      <w:r>
        <w:rPr>
          <w:rFonts w:ascii="Times New Roman" w:cs="Times New Roman" w:eastAsia="Times New Roman" w:hAnsi="Times New Roman"/>
          <w:b w:val="false"/>
          <w:bCs w:val="false"/>
          <w:i w:val="false"/>
          <w:iCs w:val="false"/>
          <w:caps w:val="false"/>
          <w:sz w:val="19"/>
          <w:szCs w:val="19"/>
        </w:rPr>
        <w:t xml:space="preserve">Fig. 1 shows the four layers. We describe each in turn, emphasising the choices the MSME constraint forced.</w:t>
      </w:r>
    </w:p>
    <w:p>
      <w:pPr>
        <w:spacing w:after="100" w:line="240"/>
        <w:jc w:val="left"/>
      </w:pPr>
      <w:r>
        <w:rPr>
          <w:rFonts w:ascii="Times New Roman" w:cs="Times New Roman" w:eastAsia="Times New Roman" w:hAnsi="Times New Roman"/>
          <w:b w:val="false"/>
          <w:bCs w:val="false"/>
          <w:i/>
          <w:iCs/>
          <w:caps w:val="false"/>
          <w:sz w:val="19"/>
          <w:szCs w:val="19"/>
        </w:rPr>
        <w:t xml:space="preserve">A. Physical Layer and Retrofit</w:t>
      </w:r>
    </w:p>
    <w:p>
      <w:pPr>
        <w:spacing w:after="100" w:line="240"/>
        <w:ind w:firstLine="220"/>
        <w:jc w:val="both"/>
      </w:pPr>
      <w:r>
        <w:rPr>
          <w:rFonts w:ascii="Times New Roman" w:cs="Times New Roman" w:eastAsia="Times New Roman" w:hAnsi="Times New Roman"/>
          <w:b w:val="false"/>
          <w:bCs w:val="false"/>
          <w:i w:val="false"/>
          <w:iCs w:val="false"/>
          <w:caps w:val="false"/>
          <w:sz w:val="19"/>
          <w:szCs w:val="19"/>
        </w:rPr>
        <w:t xml:space="preserve">Vibration is sensed with an ADXL345 three-axis MEMS accelerometer on a GY-291 type breakout over SPI at 3.3 V; temperature with a waterproof DS18B20 on a 1-Wire bus. The probe shell contains no pull-up, so the data line requires one externally: a 4.7 kΩ resistor is the permanent solution, while the host's internal GPIO pull-up also enumerates the device but is lost on reboot, making it adequate for bench bring-up only. Both sensors mount non-invasively via a magnetic or clamp fixture on the bearing housing and a probe strapped to the motor casing, so no hole is drilled and no alignment is disturbed. Rigid mounting matters more than sensor grade, because a compliant mount low-pass-filters the very transients the system looks for.</w:t>
      </w:r>
    </w:p>
    <w:p>
      <w:pPr>
        <w:spacing w:after="100" w:line="240"/>
        <w:ind w:firstLine="220"/>
        <w:jc w:val="both"/>
      </w:pPr>
      <w:r>
        <w:rPr>
          <w:rFonts w:ascii="Times New Roman" w:cs="Times New Roman" w:eastAsia="Times New Roman" w:hAnsi="Times New Roman"/>
          <w:b w:val="false"/>
          <w:bCs w:val="false"/>
          <w:i w:val="false"/>
          <w:iCs w:val="false"/>
          <w:caps w:val="false"/>
          <w:sz w:val="19"/>
          <w:szCs w:val="19"/>
        </w:rPr>
        <w:t xml:space="preserve">Two assembly details earn a place in the protocol because they cost us bring-up time directly. The breakout's header pins must be soldered rather than press-fitted: a header resting in its holes makes and breaks every connection, power included, presenting as an intermittent rather than a dead fault. Second, the device-identity read localises this fault class, because a module with an unreliable bus connection returns an all-zero identity while the rails measure correct.</w:t>
      </w:r>
    </w:p>
    <w:p>
      <w:pPr>
        <w:spacing w:after="100" w:line="240"/>
        <w:ind w:firstLine="220"/>
        <w:jc w:val="both"/>
      </w:pPr>
      <w:r>
        <w:rPr>
          <w:rFonts w:ascii="Times New Roman" w:cs="Times New Roman" w:eastAsia="Times New Roman" w:hAnsi="Times New Roman"/>
          <w:b w:val="false"/>
          <w:bCs w:val="false"/>
          <w:i w:val="false"/>
          <w:iCs w:val="false"/>
          <w:caps w:val="false"/>
          <w:sz w:val="19"/>
          <w:szCs w:val="19"/>
        </w:rPr>
        <w:t xml:space="preserve">The register path is implemented against the datasheet with a 3.9 mg/LSB full-resolution scale factor and an explicit POWER_CTL, DATA_FORMAT and BW_RATE initialisation sequence, with the identity read as the installation smoke test. The acquisition rate warrants a precise statement, since it is easily misread as a shortfall. The ADXL345 supports output data rates to 3,200 Hz in SPI mode; this system configures 800 Hz by writing BW_RATE and takes a 64-sample burst paced at that rate. The figure is therefore a deliberate scoping decision, not a rate the implementation failed to reach. Continuous high-rate streaming is deferred because sustaining it reliably from a managed-runtime service is a real-time scheduling problem — buffering and jitter — better tuned against the pilot machine than claimed in advance. The consequence is stated in Section VIII: signatures above roughly 5 kHz, which envelope analysis [9] targets, need 10 kHz and above and are out of scope.</w:t>
      </w:r>
    </w:p>
    <w:p>
      <w:pPr>
        <w:spacing w:after="100" w:line="240"/>
        <w:ind w:firstLine="220"/>
        <w:jc w:val="both"/>
      </w:pPr>
      <w:r>
        <w:rPr>
          <w:rFonts w:ascii="Times New Roman" w:cs="Times New Roman" w:eastAsia="Times New Roman" w:hAnsi="Times New Roman"/>
          <w:b w:val="false"/>
          <w:bCs w:val="false"/>
          <w:i w:val="false"/>
          <w:iCs w:val="false"/>
          <w:caps w:val="false"/>
          <w:sz w:val="19"/>
          <w:szCs w:val="19"/>
        </w:rPr>
        <w:t xml:space="preserve">A battery-backed DS3231 real-time clock is specified for the layer and budgeted in Table III, though not yet fitted on the bench unit. The Raspberry Pi has no on-board clock and would otherwise restore a stale time at boot and depend on a network time source to correct it — a dependency incompatible with P2 that undermines the state object directly, since every record is keyed by timestamp. Fitting it is a prerequisite for any unattended deployment.</w:t>
      </w:r>
    </w:p>
    <w:p>
      <w:pPr>
        <w:spacing w:after="100" w:line="240"/>
        <w:jc w:val="left"/>
      </w:pPr>
      <w:r>
        <w:rPr>
          <w:rFonts w:ascii="Times New Roman" w:cs="Times New Roman" w:eastAsia="Times New Roman" w:hAnsi="Times New Roman"/>
          <w:b w:val="false"/>
          <w:bCs w:val="false"/>
          <w:i/>
          <w:iCs/>
          <w:caps w:val="false"/>
          <w:sz w:val="19"/>
          <w:szCs w:val="19"/>
        </w:rPr>
        <w:t xml:space="preserve">B. Edge Layer</w:t>
      </w:r>
    </w:p>
    <w:p>
      <w:pPr>
        <w:spacing w:after="100" w:line="240"/>
        <w:ind w:firstLine="220"/>
        <w:jc w:val="both"/>
      </w:pPr>
      <w:r>
        <w:rPr>
          <w:rFonts w:ascii="Times New Roman" w:cs="Times New Roman" w:eastAsia="Times New Roman" w:hAnsi="Times New Roman"/>
          <w:b w:val="false"/>
          <w:bCs w:val="false"/>
          <w:i w:val="false"/>
          <w:iCs w:val="false"/>
          <w:caps w:val="false"/>
          <w:sz w:val="19"/>
          <w:szCs w:val="19"/>
        </w:rPr>
        <w:t xml:space="preserve">A Raspberry Pi 4 with 4 GB of RAM hosts acquisition, feature extraction, persistence and messaging. Four features are computed per burst — RMS, kurtosis, crest factor and peak-to-peak — each over the AC-coupled signal. AC coupling is not incidental: the window mean is dominated by the roughly 1 g gravity component at any mount orientation, and subtracting it first is the difference between measuring vibration and measuring mount angle. Kurtosis follows Pearson's definition, so baseline sits near 3.0.</w:t>
      </w:r>
    </w:p>
    <w:p>
      <w:pPr>
        <w:spacing w:after="100" w:line="240"/>
        <w:ind w:firstLine="220"/>
        <w:jc w:val="both"/>
      </w:pPr>
      <w:r>
        <w:rPr>
          <w:rFonts w:ascii="Times New Roman" w:cs="Times New Roman" w:eastAsia="Times New Roman" w:hAnsi="Times New Roman"/>
          <w:b w:val="false"/>
          <w:bCs w:val="false"/>
          <w:i w:val="false"/>
          <w:iCs w:val="false"/>
          <w:caps w:val="false"/>
          <w:sz w:val="19"/>
          <w:szCs w:val="19"/>
        </w:rPr>
        <w:t xml:space="preserve">A single publish cycle, five seconds by default and configurable, reads both sensors in one call, so vibration features and temperature are persisted together at 0.2 Hz. There is no separate faster temperature path; one cycle writing one object keeps the state object atomic and its timestamp meaningful. Both the period and the burst are scheduled against running deadlines rather than slept for a fixed interval after each cycle, because acquisition is not instantaneous — the DS18B20 needs roughly 750 ms for a 12-bit conversion — and under the naive formulation that time is additive, measuring 6.00 s per cycle and 751 Hz per burst against configured values of 5 s and 800 Hz. Deadline scheduling removes the drift: 5.000 s (0.2000 Hz) and 799.4 Hz measured. Persistence uses SQLite in two deliberately separate tables: raw_readings records what the sensor reported, while state_history records the full state object including the fields that are null in this phase. Keeping them apart means the raw record never acquires placeholder values for quantities that did not exist when it was written. Two MQTT topics mirror the split on a local broker, so no consumer can mistake an unenriched reading for a complete state object; the publish path is implemented against both topics, while the bench results reported here were collected through the SQLite store with no broker resident.</w:t>
      </w:r>
    </w:p>
    <w:p>
      <w:pPr>
        <w:spacing w:after="100" w:line="240"/>
        <w:jc w:val="left"/>
      </w:pPr>
      <w:r>
        <w:rPr>
          <w:rFonts w:ascii="Times New Roman" w:cs="Times New Roman" w:eastAsia="Times New Roman" w:hAnsi="Times New Roman"/>
          <w:b w:val="false"/>
          <w:bCs w:val="false"/>
          <w:i/>
          <w:iCs/>
          <w:caps w:val="false"/>
          <w:sz w:val="19"/>
          <w:szCs w:val="19"/>
        </w:rPr>
        <w:t xml:space="preserve">C. Application Layer</w:t>
      </w:r>
    </w:p>
    <w:p>
      <w:pPr>
        <w:spacing w:after="100" w:line="240"/>
        <w:ind w:firstLine="220"/>
        <w:jc w:val="both"/>
      </w:pPr>
      <w:r>
        <w:rPr>
          <w:rFonts w:ascii="Times New Roman" w:cs="Times New Roman" w:eastAsia="Times New Roman" w:hAnsi="Times New Roman"/>
          <w:b w:val="false"/>
          <w:bCs w:val="false"/>
          <w:i w:val="false"/>
          <w:iCs w:val="false"/>
          <w:caps w:val="false"/>
          <w:sz w:val="19"/>
          <w:szCs w:val="19"/>
        </w:rPr>
        <w:t xml:space="preserve">A FastAPI service and a React single-page application compose the user-facing system, served from the Pi over the local network, with the production dashboard served by nginx rather than a development server. Two endpoints expose the twin: current state and bounded history. The dashboard renders a health gauge, vibration and temperature trends, an active-alert panel and a filterable history log, using inline SVG rather than a charting dependency to keep the offline bundle small. Alerting is deterministic in Phase 1, applying configurable upper and lower thresholds and surfacing breaches in the active-alert panel; a GPIO-driven piezo buzzer is specified and budgeted for the shop floor but is not part of the software reported here. The model's alert level joins the threshold path in Phase 2, surfaced alongside rather than replacing it. A client-side ROI estimator converts operator-supplied downtime cost and annual unplanned hours into a projected saving.</w:t>
      </w:r>
    </w:p>
    <w:p>
      <w:pPr>
        <w:spacing w:after="100" w:line="240"/>
        <w:ind w:firstLine="220"/>
        <w:jc w:val="both"/>
      </w:pPr>
      <w:r>
        <w:rPr>
          <w:rFonts w:ascii="Times New Roman" w:cs="Times New Roman" w:eastAsia="Times New Roman" w:hAnsi="Times New Roman"/>
          <w:b w:val="false"/>
          <w:bCs w:val="false"/>
          <w:i w:val="false"/>
          <w:iCs w:val="false"/>
          <w:caps w:val="false"/>
          <w:sz w:val="19"/>
          <w:szCs w:val="19"/>
        </w:rPr>
        <w:t xml:space="preserve">The memory budget is what makes the phase boundary credible. Phase 1 occupies roughly 750 MB resident — 400 MB for Raspberry Pi OS Lite, 150 MB for acquisition and the broker, 100 MB for SQLite and 100 MB for the API and dashboard — against 4 GB installed. Phase 2 reserves 200 MB more for the runtime and models and about 700 MB for a quantized SLM loaded on demand, a projected peak near 1,650 MB.</w:t>
      </w:r>
    </w:p>
    <w:p>
      <w:pPr>
        <w:spacing w:after="100" w:line="240"/>
        <w:jc w:val="left"/>
      </w:pPr>
      <w:r>
        <w:rPr>
          <w:rFonts w:ascii="Times New Roman" w:cs="Times New Roman" w:eastAsia="Times New Roman" w:hAnsi="Times New Roman"/>
          <w:b w:val="false"/>
          <w:bCs w:val="false"/>
          <w:i/>
          <w:iCs/>
          <w:caps w:val="false"/>
          <w:sz w:val="19"/>
          <w:szCs w:val="19"/>
        </w:rPr>
        <w:t xml:space="preserve">D. Bill of Materials</w:t>
      </w:r>
    </w:p>
    <w:p>
      <w:pPr>
        <w:spacing w:after="100" w:line="240"/>
        <w:ind w:firstLine="220"/>
        <w:jc w:val="both"/>
      </w:pPr>
      <w:r>
        <w:rPr>
          <w:rFonts w:ascii="Times New Roman" w:cs="Times New Roman" w:eastAsia="Times New Roman" w:hAnsi="Times New Roman"/>
          <w:b w:val="false"/>
          <w:bCs w:val="false"/>
          <w:i w:val="false"/>
          <w:iCs w:val="false"/>
          <w:caps w:val="false"/>
          <w:sz w:val="19"/>
          <w:szCs w:val="19"/>
        </w:rPr>
        <w:t xml:space="preserve">Table III gives the per-deployment bill of materials for the shop-floor configuration, approximately INR 20,000 including contingency. The figure is one-time: no licence, no subscription, no metered egress, so the five-year cost of ownership is the purchase price plus electricity, against a cloud alternative whose licence, cloud and connectivity charges are recurring and quote-based. It is also the full configuration — the sensing and compute core alone is roughly INR 7,600 and a headless variant approximately INR 12,200 — and we quote the larger figure throughout because the touchscreen is what makes P3 real on a floor where the operator has no laptop.</w:t>
      </w:r>
    </w:p>
    <w:p>
      <w:pPr>
        <w:spacing w:after="0" w:line="240"/>
        <w:jc w:val="center"/>
      </w:pPr>
      <w:r>
        <w:rPr>
          <w:rFonts w:ascii="Times New Roman" w:cs="Times New Roman" w:eastAsia="Times New Roman" w:hAnsi="Times New Roman"/>
          <w:b/>
          <w:bCs/>
          <w:i w:val="false"/>
          <w:iCs w:val="false"/>
          <w:caps w:val="false"/>
          <w:sz w:val="17"/>
          <w:szCs w:val="17"/>
        </w:rPr>
        <w:t xml:space="preserve">TABLE III</w:t>
      </w:r>
    </w:p>
    <w:p>
      <w:pPr>
        <w:spacing w:after="80" w:line="240"/>
        <w:jc w:val="center"/>
      </w:pPr>
      <w:r>
        <w:rPr>
          <w:rFonts w:ascii="Times New Roman" w:cs="Times New Roman" w:eastAsia="Times New Roman" w:hAnsi="Times New Roman"/>
          <w:b w:val="false"/>
          <w:bCs w:val="false"/>
          <w:i w:val="false"/>
          <w:iCs w:val="false"/>
          <w:caps/>
          <w:sz w:val="17"/>
          <w:szCs w:val="17"/>
        </w:rPr>
        <w:t xml:space="preserve">Per-Deployment Bill of Materials, Shop-Floor Configuration</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060"/>
      </w:tblGrid>
      <w:tr>
        <w:trPr>
          <w:tblHeader/>
        </w:trPr>
        <w:tc>
          <w:tcPr>
            <w:tcW w:type="dxa" w:w="1900"/>
            <w:tcBorders>
              <w:top w:val="single" w:color="000000" w:sz="2"/>
              <w:left w:val="single" w:color="000000" w:sz="2"/>
              <w:bottom w:val="single" w:color="000000" w:sz="2"/>
              <w:right w:val="single" w:color="000000" w:sz="2"/>
            </w:tcBorders>
            <w:shd w:fill="E8E8E8" w:val="clear"/>
            <w:vAlign w:val="center"/>
          </w:tcPr>
          <w:p>
            <w:pPr>
              <w:spacing w:after="0" w:line="240"/>
              <w:jc w:val="left"/>
            </w:pPr>
            <w:r>
              <w:rPr>
                <w:rFonts w:ascii="Times New Roman" w:cs="Times New Roman" w:eastAsia="Times New Roman" w:hAnsi="Times New Roman"/>
                <w:b/>
                <w:bCs/>
                <w:i w:val="false"/>
                <w:iCs w:val="false"/>
                <w:caps w:val="false"/>
                <w:sz w:val="17"/>
                <w:szCs w:val="17"/>
              </w:rPr>
              <w:t xml:space="preserve">Component</w:t>
            </w:r>
          </w:p>
        </w:tc>
        <w:tc>
          <w:tcPr>
            <w:tcW w:type="dxa" w:w="1900"/>
            <w:tcBorders>
              <w:top w:val="single" w:color="000000" w:sz="2"/>
              <w:left w:val="single" w:color="000000" w:sz="2"/>
              <w:bottom w:val="single" w:color="000000" w:sz="2"/>
              <w:right w:val="single" w:color="000000" w:sz="2"/>
            </w:tcBorders>
            <w:shd w:fill="E8E8E8" w:val="clear"/>
            <w:vAlign w:val="center"/>
          </w:tcPr>
          <w:p>
            <w:pPr>
              <w:spacing w:after="0" w:line="240"/>
              <w:jc w:val="left"/>
            </w:pPr>
            <w:r>
              <w:rPr>
                <w:rFonts w:ascii="Times New Roman" w:cs="Times New Roman" w:eastAsia="Times New Roman" w:hAnsi="Times New Roman"/>
                <w:b/>
                <w:bCs/>
                <w:i w:val="false"/>
                <w:iCs w:val="false"/>
                <w:caps w:val="false"/>
                <w:sz w:val="17"/>
                <w:szCs w:val="17"/>
              </w:rPr>
              <w:t xml:space="preserve">Part or specification</w:t>
            </w:r>
          </w:p>
        </w:tc>
        <w:tc>
          <w:tcPr>
            <w:tcW w:type="dxa" w:w="1060"/>
            <w:tcBorders>
              <w:top w:val="single" w:color="000000" w:sz="2"/>
              <w:left w:val="single" w:color="000000" w:sz="2"/>
              <w:bottom w:val="single" w:color="000000" w:sz="2"/>
              <w:right w:val="single" w:color="000000" w:sz="2"/>
            </w:tcBorders>
            <w:shd w:fill="E8E8E8" w:val="clear"/>
            <w:vAlign w:val="center"/>
          </w:tcPr>
          <w:p>
            <w:pPr>
              <w:spacing w:after="0" w:line="240"/>
              <w:jc w:val="left"/>
            </w:pPr>
            <w:r>
              <w:rPr>
                <w:rFonts w:ascii="Times New Roman" w:cs="Times New Roman" w:eastAsia="Times New Roman" w:hAnsi="Times New Roman"/>
                <w:b/>
                <w:bCs/>
                <w:i w:val="false"/>
                <w:iCs w:val="false"/>
                <w:caps w:val="false"/>
                <w:sz w:val="17"/>
                <w:szCs w:val="17"/>
              </w:rPr>
              <w:t xml:space="preserve">INR</w:t>
            </w:r>
          </w:p>
        </w:tc>
      </w:tr>
      <w:tr>
        <w:trPr>
          <w:tblHeader w:val="off"/>
        </w:trPr>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Vibration sensor</w:t>
            </w:r>
          </w:p>
        </w:tc>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ADXL345 breakout, SPI</w:t>
            </w:r>
          </w:p>
        </w:tc>
        <w:tc>
          <w:tcPr>
            <w:tcW w:type="dxa" w:w="10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250</w:t>
            </w:r>
          </w:p>
        </w:tc>
      </w:tr>
      <w:tr>
        <w:trPr>
          <w:tblHeader w:val="off"/>
        </w:trPr>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Temperature sensor</w:t>
            </w:r>
          </w:p>
        </w:tc>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DS18B20 waterproof</w:t>
            </w:r>
          </w:p>
        </w:tc>
        <w:tc>
          <w:tcPr>
            <w:tcW w:type="dxa" w:w="10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200</w:t>
            </w:r>
          </w:p>
        </w:tc>
      </w:tr>
      <w:tr>
        <w:trPr>
          <w:tblHeader w:val="off"/>
        </w:trPr>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Pull-up and passives</w:t>
            </w:r>
          </w:p>
        </w:tc>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4.7 kΩ, decoupling</w:t>
            </w:r>
          </w:p>
        </w:tc>
        <w:tc>
          <w:tcPr>
            <w:tcW w:type="dxa" w:w="10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50</w:t>
            </w:r>
          </w:p>
        </w:tc>
      </w:tr>
      <w:tr>
        <w:trPr>
          <w:tblHeader w:val="off"/>
        </w:trPr>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Edge compute</w:t>
            </w:r>
          </w:p>
        </w:tc>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Raspberry Pi 4, 4 GB</w:t>
            </w:r>
          </w:p>
        </w:tc>
        <w:tc>
          <w:tcPr>
            <w:tcW w:type="dxa" w:w="10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6,500</w:t>
            </w:r>
          </w:p>
        </w:tc>
      </w:tr>
      <w:tr>
        <w:trPr>
          <w:tblHeader w:val="off"/>
        </w:trPr>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Real-time clock</w:t>
            </w:r>
          </w:p>
        </w:tc>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DS3231, battery-backed</w:t>
            </w:r>
          </w:p>
        </w:tc>
        <w:tc>
          <w:tcPr>
            <w:tcW w:type="dxa" w:w="10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200</w:t>
            </w:r>
          </w:p>
        </w:tc>
      </w:tr>
      <w:tr>
        <w:trPr>
          <w:tblHeader w:val="off"/>
        </w:trPr>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Power supply</w:t>
            </w:r>
          </w:p>
        </w:tc>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5 V, 3 A USB-C</w:t>
            </w:r>
          </w:p>
        </w:tc>
        <w:tc>
          <w:tcPr>
            <w:tcW w:type="dxa" w:w="10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800</w:t>
            </w:r>
          </w:p>
        </w:tc>
      </w:tr>
      <w:tr>
        <w:trPr>
          <w:tblHeader w:val="off"/>
        </w:trPr>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Power buffering</w:t>
            </w:r>
          </w:p>
        </w:tc>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UPS HAT, 2 cells</w:t>
            </w:r>
          </w:p>
        </w:tc>
        <w:tc>
          <w:tcPr>
            <w:tcW w:type="dxa" w:w="10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1,600</w:t>
            </w:r>
          </w:p>
        </w:tc>
      </w:tr>
      <w:tr>
        <w:trPr>
          <w:tblHeader w:val="off"/>
        </w:trPr>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Storage</w:t>
            </w:r>
          </w:p>
        </w:tc>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32 GB Class-10 card</w:t>
            </w:r>
          </w:p>
        </w:tc>
        <w:tc>
          <w:tcPr>
            <w:tcW w:type="dxa" w:w="10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400</w:t>
            </w:r>
          </w:p>
        </w:tc>
      </w:tr>
      <w:tr>
        <w:trPr>
          <w:tblHeader w:val="off"/>
        </w:trPr>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Operator HMI</w:t>
            </w:r>
          </w:p>
        </w:tc>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7-inch touchscreen</w:t>
            </w:r>
          </w:p>
        </w:tc>
        <w:tc>
          <w:tcPr>
            <w:tcW w:type="dxa" w:w="10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4,800</w:t>
            </w:r>
          </w:p>
        </w:tc>
      </w:tr>
      <w:tr>
        <w:trPr>
          <w:tblHeader w:val="off"/>
        </w:trPr>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Enclosure</w:t>
            </w:r>
          </w:p>
        </w:tc>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IP54 box, DIN rail</w:t>
            </w:r>
          </w:p>
        </w:tc>
        <w:tc>
          <w:tcPr>
            <w:tcW w:type="dxa" w:w="10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1,200</w:t>
            </w:r>
          </w:p>
        </w:tc>
      </w:tr>
      <w:tr>
        <w:trPr>
          <w:tblHeader w:val="off"/>
        </w:trPr>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Sensor mounting</w:t>
            </w:r>
          </w:p>
        </w:tc>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Magnetic fixture</w:t>
            </w:r>
          </w:p>
        </w:tc>
        <w:tc>
          <w:tcPr>
            <w:tcW w:type="dxa" w:w="10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600</w:t>
            </w:r>
          </w:p>
        </w:tc>
      </w:tr>
      <w:tr>
        <w:trPr>
          <w:tblHeader w:val="off"/>
        </w:trPr>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Interconnect</w:t>
            </w:r>
          </w:p>
        </w:tc>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3 m shielded cable</w:t>
            </w:r>
          </w:p>
        </w:tc>
        <w:tc>
          <w:tcPr>
            <w:tcW w:type="dxa" w:w="10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500</w:t>
            </w:r>
          </w:p>
        </w:tc>
      </w:tr>
      <w:tr>
        <w:trPr>
          <w:tblHeader w:val="off"/>
        </w:trPr>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Audible alert</w:t>
            </w:r>
          </w:p>
        </w:tc>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Piezo buzzer, driver</w:t>
            </w:r>
          </w:p>
        </w:tc>
        <w:tc>
          <w:tcPr>
            <w:tcW w:type="dxa" w:w="10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150</w:t>
            </w:r>
          </w:p>
        </w:tc>
      </w:tr>
      <w:tr>
        <w:trPr>
          <w:tblHeader w:val="off"/>
        </w:trPr>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Thermal</w:t>
            </w:r>
          </w:p>
        </w:tc>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Heatsink case, fan</w:t>
            </w:r>
          </w:p>
        </w:tc>
        <w:tc>
          <w:tcPr>
            <w:tcW w:type="dxa" w:w="10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600</w:t>
            </w:r>
          </w:p>
        </w:tc>
      </w:tr>
      <w:tr>
        <w:trPr>
          <w:tblHeader w:val="off"/>
        </w:trPr>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Consumables</w:t>
            </w:r>
          </w:p>
        </w:tc>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Jumpers, fasteners</w:t>
            </w:r>
          </w:p>
        </w:tc>
        <w:tc>
          <w:tcPr>
            <w:tcW w:type="dxa" w:w="10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350</w:t>
            </w:r>
          </w:p>
        </w:tc>
      </w:tr>
      <w:tr>
        <w:trPr>
          <w:tblHeader w:val="off"/>
        </w:trPr>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Subtotal</w:t>
            </w:r>
          </w:p>
        </w:tc>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
            </w:r>
          </w:p>
        </w:tc>
        <w:tc>
          <w:tcPr>
            <w:tcW w:type="dxa" w:w="10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18,200</w:t>
            </w:r>
          </w:p>
        </w:tc>
      </w:tr>
      <w:tr>
        <w:trPr>
          <w:tblHeader w:val="off"/>
        </w:trPr>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Contingency and spares</w:t>
            </w:r>
          </w:p>
        </w:tc>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10%</w:t>
            </w:r>
          </w:p>
        </w:tc>
        <w:tc>
          <w:tcPr>
            <w:tcW w:type="dxa" w:w="10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1,820</w:t>
            </w:r>
          </w:p>
        </w:tc>
      </w:tr>
      <w:tr>
        <w:trPr>
          <w:tblHeader w:val="off"/>
        </w:trPr>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Total per deployment</w:t>
            </w:r>
          </w:p>
        </w:tc>
        <w:tc>
          <w:tcPr>
            <w:tcW w:type="dxa" w:w="19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
            </w:r>
          </w:p>
        </w:tc>
        <w:tc>
          <w:tcPr>
            <w:tcW w:type="dxa" w:w="10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20,020</w:t>
            </w:r>
          </w:p>
        </w:tc>
      </w:tr>
    </w:tbl>
    <w:p>
      <w:pPr>
        <w:spacing w:after="160" w:line="240"/>
        <w:jc w:val="left"/>
      </w:pPr>
      <w:r>
        <w:rPr>
          <w:rFonts w:ascii="Times New Roman" w:cs="Times New Roman" w:eastAsia="Times New Roman" w:hAnsi="Times New Roman"/>
          <w:b w:val="false"/>
          <w:bCs w:val="false"/>
          <w:i w:val="false"/>
          <w:iCs w:val="false"/>
          <w:caps w:val="false"/>
          <w:sz w:val="15"/>
          <w:szCs w:val="15"/>
        </w:rPr>
        <w:t xml:space="preserve">Indicative Indian retail prices at the procurement window, not quotations. Software cost is zero; the headless configuration is approximately INR 12,200 and the sensing and compute core INR 7,600.</w:t>
      </w:r>
    </w:p>
    <w:p>
      <w:pPr>
        <w:spacing w:after="120" w:line="240"/>
        <w:jc w:val="center"/>
      </w:pPr>
      <w:r>
        <w:rPr>
          <w:rFonts w:ascii="Times New Roman" w:cs="Times New Roman" w:eastAsia="Times New Roman" w:hAnsi="Times New Roman"/>
          <w:b w:val="false"/>
          <w:bCs w:val="false"/>
          <w:i w:val="false"/>
          <w:iCs w:val="false"/>
          <w:caps w:val="false"/>
          <w:sz w:val="20"/>
          <w:szCs w:val="20"/>
        </w:rPr>
        <w:t xml:space="preserve">V. EVALUATION METHODOLOGY</w:t>
      </w:r>
    </w:p>
    <w:p>
      <w:pPr>
        <w:spacing w:after="100" w:line="240"/>
        <w:ind w:firstLine="220"/>
        <w:jc w:val="both"/>
      </w:pPr>
      <w:r>
        <w:rPr>
          <w:rFonts w:ascii="Times New Roman" w:cs="Times New Roman" w:eastAsia="Times New Roman" w:hAnsi="Times New Roman"/>
          <w:b w:val="false"/>
          <w:bCs w:val="false"/>
          <w:i w:val="false"/>
          <w:iCs w:val="false"/>
          <w:caps w:val="false"/>
          <w:sz w:val="19"/>
          <w:szCs w:val="19"/>
        </w:rPr>
        <w:t xml:space="preserve">Table IV states every Phase 1 metric, its pre-registered target and its current status. We set targets out in full because a stated target later missed is informative, while one chosen after the fact is not. Rows depending on the pilot machine remain TBD; architectural and cost properties, determined by design rather than measurement, are reported as established.</w:t>
      </w:r>
    </w:p>
    <w:p>
      <w:pPr>
        <w:spacing w:after="0" w:line="240"/>
        <w:jc w:val="center"/>
      </w:pPr>
      <w:r>
        <w:rPr>
          <w:rFonts w:ascii="Times New Roman" w:cs="Times New Roman" w:eastAsia="Times New Roman" w:hAnsi="Times New Roman"/>
          <w:b/>
          <w:bCs/>
          <w:i w:val="false"/>
          <w:iCs w:val="false"/>
          <w:caps w:val="false"/>
          <w:sz w:val="17"/>
          <w:szCs w:val="17"/>
        </w:rPr>
        <w:t xml:space="preserve">TABLE IV</w:t>
      </w:r>
    </w:p>
    <w:p>
      <w:pPr>
        <w:spacing w:after="80" w:line="240"/>
        <w:jc w:val="center"/>
      </w:pPr>
      <w:r>
        <w:rPr>
          <w:rFonts w:ascii="Times New Roman" w:cs="Times New Roman" w:eastAsia="Times New Roman" w:hAnsi="Times New Roman"/>
          <w:b w:val="false"/>
          <w:bCs w:val="false"/>
          <w:i w:val="false"/>
          <w:iCs w:val="false"/>
          <w:caps/>
          <w:sz w:val="17"/>
          <w:szCs w:val="17"/>
        </w:rPr>
        <w:t xml:space="preserve">Phase 1 Metrics, Pre-Registered Targets and Status</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160"/>
      </w:tblGrid>
      <w:tr>
        <w:trPr>
          <w:tblHeader/>
        </w:trPr>
        <w:tc>
          <w:tcPr>
            <w:tcW w:type="dxa" w:w="2400"/>
            <w:tcBorders>
              <w:top w:val="single" w:color="000000" w:sz="2"/>
              <w:left w:val="single" w:color="000000" w:sz="2"/>
              <w:bottom w:val="single" w:color="000000" w:sz="2"/>
              <w:right w:val="single" w:color="000000" w:sz="2"/>
            </w:tcBorders>
            <w:shd w:fill="E8E8E8" w:val="clear"/>
            <w:vAlign w:val="center"/>
          </w:tcPr>
          <w:p>
            <w:pPr>
              <w:spacing w:after="0" w:line="240"/>
              <w:jc w:val="left"/>
            </w:pPr>
            <w:r>
              <w:rPr>
                <w:rFonts w:ascii="Times New Roman" w:cs="Times New Roman" w:eastAsia="Times New Roman" w:hAnsi="Times New Roman"/>
                <w:b/>
                <w:bCs/>
                <w:i w:val="false"/>
                <w:iCs w:val="false"/>
                <w:caps w:val="false"/>
                <w:sz w:val="17"/>
                <w:szCs w:val="17"/>
              </w:rPr>
              <w:t xml:space="preserve">Metric</w:t>
            </w:r>
          </w:p>
        </w:tc>
        <w:tc>
          <w:tcPr>
            <w:tcW w:type="dxa" w:w="1300"/>
            <w:tcBorders>
              <w:top w:val="single" w:color="000000" w:sz="2"/>
              <w:left w:val="single" w:color="000000" w:sz="2"/>
              <w:bottom w:val="single" w:color="000000" w:sz="2"/>
              <w:right w:val="single" w:color="000000" w:sz="2"/>
            </w:tcBorders>
            <w:shd w:fill="E8E8E8" w:val="clear"/>
            <w:vAlign w:val="center"/>
          </w:tcPr>
          <w:p>
            <w:pPr>
              <w:spacing w:after="0" w:line="240"/>
              <w:jc w:val="left"/>
            </w:pPr>
            <w:r>
              <w:rPr>
                <w:rFonts w:ascii="Times New Roman" w:cs="Times New Roman" w:eastAsia="Times New Roman" w:hAnsi="Times New Roman"/>
                <w:b/>
                <w:bCs/>
                <w:i w:val="false"/>
                <w:iCs w:val="false"/>
                <w:caps w:val="false"/>
                <w:sz w:val="17"/>
                <w:szCs w:val="17"/>
              </w:rPr>
              <w:t xml:space="preserve">Target</w:t>
            </w:r>
          </w:p>
        </w:tc>
        <w:tc>
          <w:tcPr>
            <w:tcW w:type="dxa" w:w="1160"/>
            <w:tcBorders>
              <w:top w:val="single" w:color="000000" w:sz="2"/>
              <w:left w:val="single" w:color="000000" w:sz="2"/>
              <w:bottom w:val="single" w:color="000000" w:sz="2"/>
              <w:right w:val="single" w:color="000000" w:sz="2"/>
            </w:tcBorders>
            <w:shd w:fill="E8E8E8" w:val="clear"/>
            <w:vAlign w:val="center"/>
          </w:tcPr>
          <w:p>
            <w:pPr>
              <w:spacing w:after="0" w:line="240"/>
              <w:jc w:val="left"/>
            </w:pPr>
            <w:r>
              <w:rPr>
                <w:rFonts w:ascii="Times New Roman" w:cs="Times New Roman" w:eastAsia="Times New Roman" w:hAnsi="Times New Roman"/>
                <w:b/>
                <w:bCs/>
                <w:i w:val="false"/>
                <w:iCs w:val="false"/>
                <w:caps w:val="false"/>
                <w:sz w:val="17"/>
                <w:szCs w:val="17"/>
              </w:rPr>
              <w:t xml:space="preserve">Status</w:t>
            </w:r>
          </w:p>
        </w:tc>
      </w:tr>
      <w:tr>
        <w:tc>
          <w:tcPr>
            <w:tcW w:type="dxa" w:w="4860"/>
            <w:gridSpan w:val="3"/>
            <w:tcBorders>
              <w:top w:val="single" w:color="000000" w:sz="2"/>
              <w:left w:val="single" w:color="000000" w:sz="2"/>
              <w:bottom w:val="single" w:color="000000" w:sz="2"/>
              <w:right w:val="single" w:color="000000" w:sz="2"/>
            </w:tcBorders>
            <w:shd w:fill="F2F2F2" w:val="clear"/>
          </w:tcPr>
          <w:p>
            <w:pPr>
              <w:spacing w:after="0" w:line="240"/>
              <w:jc w:val="left"/>
            </w:pPr>
            <w:r>
              <w:rPr>
                <w:rFonts w:ascii="Times New Roman" w:cs="Times New Roman" w:eastAsia="Times New Roman" w:hAnsi="Times New Roman"/>
                <w:b w:val="false"/>
                <w:bCs w:val="false"/>
                <w:i/>
                <w:iCs/>
                <w:caps w:val="false"/>
                <w:sz w:val="17"/>
                <w:szCs w:val="17"/>
              </w:rPr>
              <w:t xml:space="preserve">Retrofit and hardware</w:t>
            </w:r>
          </w:p>
        </w:tc>
      </w:tr>
      <w:tr>
        <w:trPr>
          <w:tblHeader w:val="off"/>
        </w:trPr>
        <w:tc>
          <w:tcPr>
            <w:tcW w:type="dxa" w:w="24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Device identity read</w:t>
            </w:r>
          </w:p>
        </w:tc>
        <w:tc>
          <w:tcPr>
            <w:tcW w:type="dxa" w:w="13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pass</w:t>
            </w:r>
          </w:p>
        </w:tc>
        <w:tc>
          <w:tcPr>
            <w:tcW w:type="dxa" w:w="11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pass</w:t>
            </w:r>
          </w:p>
        </w:tc>
      </w:tr>
      <w:tr>
        <w:trPr>
          <w:tblHeader w:val="off"/>
        </w:trPr>
        <w:tc>
          <w:tcPr>
            <w:tcW w:type="dxa" w:w="24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Retrofit with no host modification</w:t>
            </w:r>
          </w:p>
        </w:tc>
        <w:tc>
          <w:tcPr>
            <w:tcW w:type="dxa" w:w="13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pass or fail</w:t>
            </w:r>
          </w:p>
        </w:tc>
        <w:tc>
          <w:tcPr>
            <w:tcW w:type="dxa" w:w="11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TBD</w:t>
            </w:r>
          </w:p>
        </w:tc>
      </w:tr>
      <w:tr>
        <w:trPr>
          <w:tblHeader w:val="off"/>
        </w:trPr>
        <w:tc>
          <w:tcPr>
            <w:tcW w:type="dxa" w:w="24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Vibration RMS vs. reference instrument</w:t>
            </w:r>
          </w:p>
        </w:tc>
        <w:tc>
          <w:tcPr>
            <w:tcW w:type="dxa" w:w="13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within ± 10%</w:t>
            </w:r>
          </w:p>
        </w:tc>
        <w:tc>
          <w:tcPr>
            <w:tcW w:type="dxa" w:w="11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TBD</w:t>
            </w:r>
          </w:p>
        </w:tc>
      </w:tr>
      <w:tr>
        <w:trPr>
          <w:tblHeader w:val="off"/>
        </w:trPr>
        <w:tc>
          <w:tcPr>
            <w:tcW w:type="dxa" w:w="24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Temperature vs. traceable thermometer</w:t>
            </w:r>
          </w:p>
        </w:tc>
        <w:tc>
          <w:tcPr>
            <w:tcW w:type="dxa" w:w="13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within ± 1°C</w:t>
            </w:r>
          </w:p>
        </w:tc>
        <w:tc>
          <w:tcPr>
            <w:tcW w:type="dxa" w:w="11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TBD</w:t>
            </w:r>
          </w:p>
        </w:tc>
      </w:tr>
      <w:tr>
        <w:trPr>
          <w:tblHeader w:val="off"/>
        </w:trPr>
        <w:tc>
          <w:tcPr>
            <w:tcW w:type="dxa" w:w="24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Baseline recording duration</w:t>
            </w:r>
          </w:p>
        </w:tc>
        <w:tc>
          <w:tcPr>
            <w:tcW w:type="dxa" w:w="13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30 min</w:t>
            </w:r>
          </w:p>
        </w:tc>
        <w:tc>
          <w:tcPr>
            <w:tcW w:type="dxa" w:w="11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TBD</w:t>
            </w:r>
          </w:p>
        </w:tc>
      </w:tr>
      <w:tr>
        <w:trPr>
          <w:tblHeader w:val="off"/>
        </w:trPr>
        <w:tc>
          <w:tcPr>
            <w:tcW w:type="dxa" w:w="24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Second-installer reproduction</w:t>
            </w:r>
          </w:p>
        </w:tc>
        <w:tc>
          <w:tcPr>
            <w:tcW w:type="dxa" w:w="13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pass or fail</w:t>
            </w:r>
          </w:p>
        </w:tc>
        <w:tc>
          <w:tcPr>
            <w:tcW w:type="dxa" w:w="11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TBD</w:t>
            </w:r>
          </w:p>
        </w:tc>
      </w:tr>
      <w:tr>
        <w:tc>
          <w:tcPr>
            <w:tcW w:type="dxa" w:w="4860"/>
            <w:gridSpan w:val="3"/>
            <w:tcBorders>
              <w:top w:val="single" w:color="000000" w:sz="2"/>
              <w:left w:val="single" w:color="000000" w:sz="2"/>
              <w:bottom w:val="single" w:color="000000" w:sz="2"/>
              <w:right w:val="single" w:color="000000" w:sz="2"/>
            </w:tcBorders>
            <w:shd w:fill="F2F2F2" w:val="clear"/>
          </w:tcPr>
          <w:p>
            <w:pPr>
              <w:spacing w:after="0" w:line="240"/>
              <w:jc w:val="left"/>
            </w:pPr>
            <w:r>
              <w:rPr>
                <w:rFonts w:ascii="Times New Roman" w:cs="Times New Roman" w:eastAsia="Times New Roman" w:hAnsi="Times New Roman"/>
                <w:b w:val="false"/>
                <w:bCs w:val="false"/>
                <w:i/>
                <w:iCs/>
                <w:caps w:val="false"/>
                <w:sz w:val="17"/>
                <w:szCs w:val="17"/>
              </w:rPr>
              <w:t xml:space="preserve">Acquisition and runtime</w:t>
            </w:r>
          </w:p>
        </w:tc>
      </w:tr>
      <w:tr>
        <w:trPr>
          <w:tblHeader w:val="off"/>
        </w:trPr>
        <w:tc>
          <w:tcPr>
            <w:tcW w:type="dxa" w:w="24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Configured burst ODR</w:t>
            </w:r>
          </w:p>
        </w:tc>
        <w:tc>
          <w:tcPr>
            <w:tcW w:type="dxa" w:w="13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800 Hz</w:t>
            </w:r>
          </w:p>
        </w:tc>
        <w:tc>
          <w:tcPr>
            <w:tcW w:type="dxa" w:w="11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800 Hz</w:t>
            </w:r>
          </w:p>
        </w:tc>
      </w:tr>
      <w:tr>
        <w:trPr>
          <w:tblHeader w:val="off"/>
        </w:trPr>
        <w:tc>
          <w:tcPr>
            <w:tcW w:type="dxa" w:w="24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Publish period, both channels</w:t>
            </w:r>
          </w:p>
        </w:tc>
        <w:tc>
          <w:tcPr>
            <w:tcW w:type="dxa" w:w="13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5 s</w:t>
            </w:r>
          </w:p>
        </w:tc>
        <w:tc>
          <w:tcPr>
            <w:tcW w:type="dxa" w:w="11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5.000 s</w:t>
            </w:r>
          </w:p>
        </w:tc>
      </w:tr>
      <w:tr>
        <w:trPr>
          <w:tblHeader w:val="off"/>
        </w:trPr>
        <w:tc>
          <w:tcPr>
            <w:tcW w:type="dxa" w:w="24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Effective publish rate</w:t>
            </w:r>
          </w:p>
        </w:tc>
        <w:tc>
          <w:tcPr>
            <w:tcW w:type="dxa" w:w="13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0.2 Hz</w:t>
            </w:r>
          </w:p>
        </w:tc>
        <w:tc>
          <w:tcPr>
            <w:tcW w:type="dxa" w:w="11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0.2000 Hz</w:t>
            </w:r>
          </w:p>
        </w:tc>
      </w:tr>
      <w:tr>
        <w:trPr>
          <w:tblHeader w:val="off"/>
        </w:trPr>
        <w:tc>
          <w:tcPr>
            <w:tcW w:type="dxa" w:w="24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Effective burst rate</w:t>
            </w:r>
          </w:p>
        </w:tc>
        <w:tc>
          <w:tcPr>
            <w:tcW w:type="dxa" w:w="13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800 Hz</w:t>
            </w:r>
          </w:p>
        </w:tc>
        <w:tc>
          <w:tcPr>
            <w:tcW w:type="dxa" w:w="11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799.4 Hz</w:t>
            </w:r>
          </w:p>
        </w:tc>
      </w:tr>
      <w:tr>
        <w:trPr>
          <w:tblHeader w:val="off"/>
        </w:trPr>
        <w:tc>
          <w:tcPr>
            <w:tcW w:type="dxa" w:w="24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Steady-state resident memory</w:t>
            </w:r>
          </w:p>
        </w:tc>
        <w:tc>
          <w:tcPr>
            <w:tcW w:type="dxa" w:w="13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 1 GB</w:t>
            </w:r>
          </w:p>
        </w:tc>
        <w:tc>
          <w:tcPr>
            <w:tcW w:type="dxa" w:w="11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282 MB</w:t>
            </w:r>
          </w:p>
        </w:tc>
      </w:tr>
      <w:tr>
        <w:trPr>
          <w:tblHeader w:val="off"/>
        </w:trPr>
        <w:tc>
          <w:tcPr>
            <w:tcW w:type="dxa" w:w="24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Dashboard load over local network</w:t>
            </w:r>
          </w:p>
        </w:tc>
        <w:tc>
          <w:tcPr>
            <w:tcW w:type="dxa" w:w="13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 3 s</w:t>
            </w:r>
          </w:p>
        </w:tc>
        <w:tc>
          <w:tcPr>
            <w:tcW w:type="dxa" w:w="11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0.06 s</w:t>
            </w:r>
          </w:p>
        </w:tc>
      </w:tr>
      <w:tr>
        <w:trPr>
          <w:tblHeader w:val="off"/>
        </w:trPr>
        <w:tc>
          <w:tcPr>
            <w:tcW w:type="dxa" w:w="24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Continuous uptime, soak test</w:t>
            </w:r>
          </w:p>
        </w:tc>
        <w:tc>
          <w:tcPr>
            <w:tcW w:type="dxa" w:w="13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not set</w:t>
            </w:r>
          </w:p>
        </w:tc>
        <w:tc>
          <w:tcPr>
            <w:tcW w:type="dxa" w:w="11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TBD</w:t>
            </w:r>
          </w:p>
        </w:tc>
      </w:tr>
      <w:tr>
        <w:tc>
          <w:tcPr>
            <w:tcW w:type="dxa" w:w="4860"/>
            <w:gridSpan w:val="3"/>
            <w:tcBorders>
              <w:top w:val="single" w:color="000000" w:sz="2"/>
              <w:left w:val="single" w:color="000000" w:sz="2"/>
              <w:bottom w:val="single" w:color="000000" w:sz="2"/>
              <w:right w:val="single" w:color="000000" w:sz="2"/>
            </w:tcBorders>
            <w:shd w:fill="F2F2F2" w:val="clear"/>
          </w:tcPr>
          <w:p>
            <w:pPr>
              <w:spacing w:after="0" w:line="240"/>
              <w:jc w:val="left"/>
            </w:pPr>
            <w:r>
              <w:rPr>
                <w:rFonts w:ascii="Times New Roman" w:cs="Times New Roman" w:eastAsia="Times New Roman" w:hAnsi="Times New Roman"/>
                <w:b w:val="false"/>
                <w:bCs w:val="false"/>
                <w:i/>
                <w:iCs/>
                <w:caps w:val="false"/>
                <w:sz w:val="17"/>
                <w:szCs w:val="17"/>
              </w:rPr>
              <w:t xml:space="preserve">System and cost</w:t>
            </w:r>
          </w:p>
        </w:tc>
      </w:tr>
      <w:tr>
        <w:trPr>
          <w:tblHeader w:val="off"/>
        </w:trPr>
        <w:tc>
          <w:tcPr>
            <w:tcW w:type="dxa" w:w="24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Full function with no network egress</w:t>
            </w:r>
          </w:p>
        </w:tc>
        <w:tc>
          <w:tcPr>
            <w:tcW w:type="dxa" w:w="13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pass or fail</w:t>
            </w:r>
          </w:p>
        </w:tc>
        <w:tc>
          <w:tcPr>
            <w:tcW w:type="dxa" w:w="11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TBD</w:t>
            </w:r>
          </w:p>
        </w:tc>
      </w:tr>
      <w:tr>
        <w:trPr>
          <w:tblHeader w:val="off"/>
        </w:trPr>
        <w:tc>
          <w:tcPr>
            <w:tcW w:type="dxa" w:w="24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Total per-deployment cost</w:t>
            </w:r>
          </w:p>
        </w:tc>
        <w:tc>
          <w:tcPr>
            <w:tcW w:type="dxa" w:w="13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 INR 20,000</w:t>
            </w:r>
          </w:p>
        </w:tc>
        <w:tc>
          <w:tcPr>
            <w:tcW w:type="dxa" w:w="11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INR 20,020</w:t>
            </w:r>
          </w:p>
        </w:tc>
      </w:tr>
      <w:tr>
        <w:trPr>
          <w:tblHeader w:val="off"/>
        </w:trPr>
        <w:tc>
          <w:tcPr>
            <w:tcW w:type="dxa" w:w="24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ROI projection vs. manual calculation</w:t>
            </w:r>
          </w:p>
        </w:tc>
        <w:tc>
          <w:tcPr>
            <w:tcW w:type="dxa" w:w="130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within ± 5%</w:t>
            </w:r>
          </w:p>
        </w:tc>
        <w:tc>
          <w:tcPr>
            <w:tcW w:type="dxa" w:w="1160"/>
            <w:tcBorders>
              <w:top w:val="single" w:color="000000" w:sz="2"/>
              <w:left w:val="single" w:color="000000" w:sz="2"/>
              <w:bottom w:val="single" w:color="000000" w:sz="2"/>
              <w:right w:val="single" w:color="000000" w:sz="2"/>
            </w:tcBorders>
            <w:vAlign w:val="center"/>
          </w:tcPr>
          <w:p>
            <w:pPr>
              <w:spacing w:after="0" w:line="240"/>
              <w:jc w:val="left"/>
            </w:pPr>
            <w:r>
              <w:rPr>
                <w:rFonts w:ascii="Times New Roman" w:cs="Times New Roman" w:eastAsia="Times New Roman" w:hAnsi="Times New Roman"/>
                <w:b w:val="false"/>
                <w:bCs w:val="false"/>
                <w:i w:val="false"/>
                <w:iCs w:val="false"/>
                <w:caps w:val="false"/>
                <w:sz w:val="17"/>
                <w:szCs w:val="17"/>
              </w:rPr>
              <w:t xml:space="preserve">TBD</w:t>
            </w:r>
          </w:p>
        </w:tc>
      </w:tr>
    </w:tbl>
    <w:p>
      <w:pPr>
        <w:spacing w:after="160" w:line="240"/>
        <w:jc w:val="left"/>
      </w:pPr>
      <w:r>
        <w:rPr>
          <w:rFonts w:ascii="Times New Roman" w:cs="Times New Roman" w:eastAsia="Times New Roman" w:hAnsi="Times New Roman"/>
          <w:b w:val="false"/>
          <w:bCs w:val="false"/>
          <w:i w:val="false"/>
          <w:iCs w:val="false"/>
          <w:caps w:val="false"/>
          <w:sz w:val="15"/>
          <w:szCs w:val="15"/>
        </w:rPr>
        <w:t xml:space="preserve">Measured on the deployment hardware (Raspberry Pi 4 Rev 1.5), both channels live. Memory is whole-system resident, the services accounting for 150 MB; the dashboard is a 169 KB build over the local network. TBD rows need a reference instrument or an installed asset.</w:t>
      </w:r>
    </w:p>
    <w:p>
      <w:pPr>
        <w:spacing w:after="120" w:line="240"/>
        <w:jc w:val="center"/>
      </w:pPr>
      <w:r>
        <w:rPr>
          <w:rFonts w:ascii="Times New Roman" w:cs="Times New Roman" w:eastAsia="Times New Roman" w:hAnsi="Times New Roman"/>
          <w:b w:val="false"/>
          <w:bCs w:val="false"/>
          <w:i w:val="false"/>
          <w:iCs w:val="false"/>
          <w:caps w:val="false"/>
          <w:sz w:val="20"/>
          <w:szCs w:val="20"/>
        </w:rPr>
        <w:t xml:space="preserve">VI. RESULTS</w:t>
      </w:r>
    </w:p>
    <w:p>
      <w:pPr>
        <w:spacing w:after="100" w:line="240"/>
        <w:jc w:val="left"/>
      </w:pPr>
      <w:r>
        <w:rPr>
          <w:rFonts w:ascii="Times New Roman" w:cs="Times New Roman" w:eastAsia="Times New Roman" w:hAnsi="Times New Roman"/>
          <w:b w:val="false"/>
          <w:bCs w:val="false"/>
          <w:i/>
          <w:iCs/>
          <w:caps w:val="false"/>
          <w:sz w:val="19"/>
          <w:szCs w:val="19"/>
        </w:rPr>
        <w:t xml:space="preserve">A. Settled Results and Bring-Up Findings</w:t>
      </w:r>
    </w:p>
    <w:p>
      <w:pPr>
        <w:spacing w:after="100" w:line="240"/>
        <w:ind w:firstLine="220"/>
        <w:jc w:val="both"/>
      </w:pPr>
      <w:r>
        <w:rPr>
          <w:rFonts w:ascii="Times New Roman" w:cs="Times New Roman" w:eastAsia="Times New Roman" w:hAnsi="Times New Roman"/>
          <w:b w:val="false"/>
          <w:bCs w:val="false"/>
          <w:i w:val="false"/>
          <w:iCs w:val="false"/>
          <w:caps w:val="false"/>
          <w:sz w:val="19"/>
          <w:szCs w:val="19"/>
        </w:rPr>
        <w:t xml:space="preserve">Phase 1 is verified end to end on the deployment hardware with both sensors attached. The DS18B20 returns CRC-valid readings matching the temperature the API serves, and the ADXL345 responds to physical excitation: over 15 consecutive records the features take 15 distinct values, and deliberate taps register as impulsive transients, kurtosis rising from a 2.4–3.8 baseline to 8.38 and peak-to-peak from 0.06 g to 0.14 g while RMS barely moves — the signature those statistics exist to detect. All five model-derived fields are null in every record, which is the state-object contract of Section III-A holding in practice.</w:t>
      </w:r>
    </w:p>
    <w:p>
      <w:pPr>
        <w:spacing w:after="100" w:line="240"/>
        <w:ind w:firstLine="220"/>
        <w:jc w:val="both"/>
      </w:pPr>
      <w:r>
        <w:rPr>
          <w:rFonts w:ascii="Times New Roman" w:cs="Times New Roman" w:eastAsia="Times New Roman" w:hAnsi="Times New Roman"/>
          <w:b w:val="false"/>
          <w:bCs w:val="false"/>
          <w:i w:val="false"/>
          <w:iCs w:val="false"/>
          <w:caps w:val="false"/>
          <w:sz w:val="19"/>
          <w:szCs w:val="19"/>
        </w:rPr>
        <w:t xml:space="preserve">The device-identity read passes on the deployment hardware. It failed on the first wiring attempt, caused by the unsoldered header of Section IV, and passed once the header was soldered. We report the failure rather than the eventual pass, because the check earning its place in the protocol is the finding: a module whose bus connection is intermittent returns a well-formed all-zero identity, and without an explicit identity gate that condition propagates as plausible data rather than as an error.</w:t>
      </w:r>
    </w:p>
    <w:p>
      <w:pPr>
        <w:spacing w:after="100" w:line="240"/>
        <w:jc w:val="left"/>
      </w:pPr>
      <w:r>
        <w:rPr>
          <w:rFonts w:ascii="Times New Roman" w:cs="Times New Roman" w:eastAsia="Times New Roman" w:hAnsi="Times New Roman"/>
          <w:b w:val="false"/>
          <w:bCs w:val="false"/>
          <w:i/>
          <w:iCs/>
          <w:caps w:val="false"/>
          <w:sz w:val="19"/>
          <w:szCs w:val="19"/>
        </w:rPr>
        <w:t xml:space="preserve">B. Comparison with Existing Approaches</w:t>
      </w:r>
    </w:p>
    <w:p>
      <w:pPr>
        <w:spacing w:after="100" w:line="240"/>
        <w:ind w:firstLine="220"/>
        <w:jc w:val="both"/>
      </w:pPr>
      <w:r>
        <w:rPr>
          <w:rFonts w:ascii="Times New Roman" w:cs="Times New Roman" w:eastAsia="Times New Roman" w:hAnsi="Times New Roman"/>
          <w:b w:val="false"/>
          <w:bCs w:val="false"/>
          <w:i w:val="false"/>
          <w:iCs w:val="false"/>
          <w:caps w:val="false"/>
          <w:sz w:val="19"/>
          <w:szCs w:val="19"/>
        </w:rPr>
        <w:t xml:space="preserve">Comparison is organised against three reference classes, since no prior system occupies this design point. Against commercial twin platforms the advantage is structural: no industrial protocol is required on the asset, which is what makes a non-instrumented lathe addressable at all; there is no licence or consumption charge against a sector with the credit constraint documented in [31]; and the system functions with the network disconnected. Against edge and TinyML monitors [15]–[17] it concedes resource efficiency — a Raspberry Pi is a far larger budget than an ESP32 — and spends it on a complete twin with an operator-facing application layer, which those systems do not attempt. Against brownfield SME twin frameworks [5] it carries the conceptual scoping through to a running system and a published bill of materials. Published figures are as their authors stated them and are not directly commensurable with ours.</w:t>
      </w:r>
    </w:p>
    <w:p>
      <w:pPr>
        <w:spacing w:after="120" w:line="240"/>
        <w:jc w:val="center"/>
      </w:pPr>
      <w:r>
        <w:rPr>
          <w:rFonts w:ascii="Times New Roman" w:cs="Times New Roman" w:eastAsia="Times New Roman" w:hAnsi="Times New Roman"/>
          <w:b w:val="false"/>
          <w:bCs w:val="false"/>
          <w:i w:val="false"/>
          <w:iCs w:val="false"/>
          <w:caps w:val="false"/>
          <w:sz w:val="20"/>
          <w:szCs w:val="20"/>
        </w:rPr>
        <w:t xml:space="preserve">VII. DISCUSSION</w:t>
      </w:r>
    </w:p>
    <w:p>
      <w:pPr>
        <w:spacing w:after="100" w:line="240"/>
        <w:ind w:firstLine="220"/>
        <w:jc w:val="both"/>
      </w:pPr>
      <w:r>
        <w:rPr>
          <w:rFonts w:ascii="Times New Roman" w:cs="Times New Roman" w:eastAsia="Times New Roman" w:hAnsi="Times New Roman"/>
          <w:b w:val="false"/>
          <w:bCs w:val="false"/>
          <w:i w:val="false"/>
          <w:iCs w:val="false"/>
          <w:caps w:val="false"/>
          <w:sz w:val="19"/>
          <w:szCs w:val="19"/>
        </w:rPr>
        <w:t xml:space="preserve">Two aspects of the design generalise beyond this deployment.</w:t>
      </w:r>
    </w:p>
    <w:p>
      <w:pPr>
        <w:spacing w:after="100" w:line="240"/>
        <w:ind w:firstLine="220"/>
        <w:jc w:val="both"/>
      </w:pPr>
      <w:r>
        <w:rPr>
          <w:rFonts w:ascii="Times New Roman" w:cs="Times New Roman" w:eastAsia="Times New Roman" w:hAnsi="Times New Roman"/>
          <w:b/>
          <w:bCs/>
          <w:i w:val="false"/>
          <w:iCs w:val="false"/>
          <w:caps w:val="false"/>
          <w:sz w:val="19"/>
          <w:szCs w:val="19"/>
        </w:rPr>
        <w:t xml:space="preserve">Narrow scope is an enabling constraint. </w:t>
      </w:r>
      <w:r>
        <w:rPr>
          <w:rFonts w:ascii="Times New Roman" w:cs="Times New Roman" w:eastAsia="Times New Roman" w:hAnsi="Times New Roman"/>
          <w:b w:val="false"/>
          <w:bCs w:val="false"/>
          <w:i w:val="false"/>
          <w:iCs w:val="false"/>
          <w:caps w:val="false"/>
          <w:sz w:val="19"/>
          <w:szCs w:val="19"/>
        </w:rPr>
        <w:t xml:space="preserve">Accepting a single asset does not merely reduce cost; the ontology-maintenance burden it removes is precisely what makes knowledge-graph-driven twins impractical for a firm with no IT staff. The state model collapses to one object with a single writer, which is what will make the Phase 2 retrieval context small enough to fit entirely in a sub-2B-parameter model's prompt without embedding infrastructure. The chain from P1 to P3 is causal, not coincidental.</w:t>
      </w:r>
    </w:p>
    <w:p>
      <w:pPr>
        <w:spacing w:after="100" w:line="240"/>
        <w:ind w:firstLine="220"/>
        <w:jc w:val="both"/>
      </w:pPr>
      <w:r>
        <w:rPr>
          <w:rFonts w:ascii="Times New Roman" w:cs="Times New Roman" w:eastAsia="Times New Roman" w:hAnsi="Times New Roman"/>
          <w:b/>
          <w:bCs/>
          <w:i w:val="false"/>
          <w:iCs w:val="false"/>
          <w:caps w:val="false"/>
          <w:sz w:val="19"/>
          <w:szCs w:val="19"/>
        </w:rPr>
        <w:t xml:space="preserve">Cost structure, not unit cost, is what excludes MSMEs. </w:t>
      </w:r>
      <w:r>
        <w:rPr>
          <w:rFonts w:ascii="Times New Roman" w:cs="Times New Roman" w:eastAsia="Times New Roman" w:hAnsi="Times New Roman"/>
          <w:b w:val="false"/>
          <w:bCs w:val="false"/>
          <w:i w:val="false"/>
          <w:iCs w:val="false"/>
          <w:caps w:val="false"/>
          <w:sz w:val="19"/>
          <w:szCs w:val="19"/>
        </w:rPr>
        <w:t xml:space="preserve">A firm that can find INR 20,000 once may still be unable to commit to a recurring per-asset charge [27], [28]; designing for zero recurring cost is a different objective from designing for low cost, and it is the one the edge-first property serves.</w:t>
      </w:r>
    </w:p>
    <w:p>
      <w:pPr>
        <w:spacing w:after="120" w:line="240"/>
        <w:jc w:val="center"/>
      </w:pPr>
      <w:r>
        <w:rPr>
          <w:rFonts w:ascii="Times New Roman" w:cs="Times New Roman" w:eastAsia="Times New Roman" w:hAnsi="Times New Roman"/>
          <w:b w:val="false"/>
          <w:bCs w:val="false"/>
          <w:i w:val="false"/>
          <w:iCs w:val="false"/>
          <w:caps w:val="false"/>
          <w:sz w:val="20"/>
          <w:szCs w:val="20"/>
        </w:rPr>
        <w:t xml:space="preserve">VIII. LIMITATIONS</w:t>
      </w:r>
    </w:p>
    <w:p>
      <w:pPr>
        <w:spacing w:after="100" w:line="240"/>
        <w:ind w:firstLine="220"/>
        <w:jc w:val="both"/>
      </w:pPr>
      <w:r>
        <w:rPr>
          <w:rFonts w:ascii="Times New Roman" w:cs="Times New Roman" w:eastAsia="Times New Roman" w:hAnsi="Times New Roman"/>
          <w:b w:val="false"/>
          <w:bCs w:val="false"/>
          <w:i w:val="false"/>
          <w:iCs w:val="false"/>
          <w:caps w:val="false"/>
          <w:sz w:val="19"/>
          <w:szCs w:val="19"/>
        </w:rPr>
        <w:t xml:space="preserve">These are binding constraints on how the results should be read, not caveats to be discounted. Sampling bandwidth: the configured rate is 800 Hz in 64-sample bursts against a 3,200 Hz part ceiling, so signatures above roughly 5 kHz and the envelope analysis targeting them [9] are unavailable; the system addresses low- and mid-frequency degradation and should not be represented as performing spectral bearing diagnosis. Bring-up is complete on the bench, not on a pilot machine: both channels are verified end to end on the deployment hardware and the accelerometer passes its identity check, but validation against a reference instrument on an installed asset remains, and it gates the rows marked TBD in Table IV. Single asset, single site: the evaluation is a controlled pilot, so adoption friction, installer variability and the accuracy of the cost figures at scale remain open. Historical window bound: the history endpoint is capped at 1,000 rows rather than a true time range, which at the default five-second interval corresponds to under 1.4 hours; extending it requires pagination and time-range support. Finally, anomaly scoring, health indexing, prognostics and the operator-facing interface are Phase 2, and no claim here rests on them.</w:t>
      </w:r>
    </w:p>
    <w:p>
      <w:pPr>
        <w:spacing w:after="120" w:line="240"/>
        <w:jc w:val="center"/>
      </w:pPr>
      <w:r>
        <w:rPr>
          <w:rFonts w:ascii="Times New Roman" w:cs="Times New Roman" w:eastAsia="Times New Roman" w:hAnsi="Times New Roman"/>
          <w:b w:val="false"/>
          <w:bCs w:val="false"/>
          <w:i w:val="false"/>
          <w:iCs w:val="false"/>
          <w:caps w:val="false"/>
          <w:sz w:val="20"/>
          <w:szCs w:val="20"/>
        </w:rPr>
        <w:t xml:space="preserve">IX. CONCLUSION AND FUTURE WORK</w:t>
      </w:r>
    </w:p>
    <w:p>
      <w:pPr>
        <w:spacing w:after="100" w:line="240"/>
        <w:ind w:firstLine="220"/>
        <w:jc w:val="both"/>
      </w:pPr>
      <w:r>
        <w:rPr>
          <w:rFonts w:ascii="Times New Roman" w:cs="Times New Roman" w:eastAsia="Times New Roman" w:hAnsi="Times New Roman"/>
          <w:b w:val="false"/>
          <w:bCs w:val="false"/>
          <w:i w:val="false"/>
          <w:iCs w:val="false"/>
          <w:caps w:val="false"/>
          <w:sz w:val="19"/>
          <w:szCs w:val="19"/>
        </w:rPr>
        <w:t xml:space="preserve">We have presented Digital Cousin, a digital twin for a single legacy machine running entirely on a Raspberry Pi 4, and reported Phase 1: the non-invasive retrofit, the deterministic edge acquisition path and the digital shadow on which the analytics and operator interface are built. Its three properties — single-asset scope, edge-first execution and natural-language accessibility — form a coherent design point rather than a reduced enterprise twin, reachable at approximately INR 20,000 of one-time hardware with no licence and no cloud dependency. The finding that an unsoldered header presents as a well-formed all-zero device identity has been folded back into the retrofit protocol.</w:t>
      </w:r>
    </w:p>
    <w:p>
      <w:pPr>
        <w:spacing w:after="100" w:line="240"/>
        <w:ind w:firstLine="220"/>
        <w:jc w:val="both"/>
      </w:pPr>
      <w:r>
        <w:rPr>
          <w:rFonts w:ascii="Times New Roman" w:cs="Times New Roman" w:eastAsia="Times New Roman" w:hAnsi="Times New Roman"/>
          <w:b w:val="false"/>
          <w:bCs w:val="false"/>
          <w:i w:val="false"/>
          <w:iCs w:val="false"/>
          <w:caps w:val="false"/>
          <w:sz w:val="19"/>
          <w:szCs w:val="19"/>
        </w:rPr>
        <w:t xml:space="preserve">Phase 2 populates the five reserved fields: an Isolation Forest baseline [12] and a 1D convolutional autoencoder [10], [11] trained on CWRU [7], a prognostic channel trained on IMS [8] and a two-tailed out-of-distribution gate; and a quantized SLM served locally [18], [19] whose answers are constrained to retrieved state objects and whose validity gate refuses when context is empty, stale or flagged. Three directions follow. A faithfulness protocol for structured telemetry would treat every numeric token in an answer as a claim traceable to a state field; existing work evaluates prose [25], [26], where an unsupported claim is checkable by entailment, whereas the atom of unfaithfulness in telemetry is a wrong float carrying no linguistic cue. A non-invasive current clamp would add an electrically grounded fault channel. And a multi-site field study with MSME partners is what would turn a pilot into an adoption pathway — the step the adoption literature identifies as missing [27]–[29].</w:t>
      </w:r>
    </w:p>
    <w:p>
      <w:pPr>
        <w:spacing w:after="120" w:line="240"/>
        <w:jc w:val="center"/>
      </w:pPr>
      <w:r>
        <w:rPr>
          <w:rFonts w:ascii="Times New Roman" w:cs="Times New Roman" w:eastAsia="Times New Roman" w:hAnsi="Times New Roman"/>
          <w:b w:val="false"/>
          <w:bCs w:val="false"/>
          <w:i w:val="false"/>
          <w:iCs w:val="false"/>
          <w:caps w:val="false"/>
          <w:sz w:val="20"/>
          <w:szCs w:val="20"/>
        </w:rPr>
        <w:t xml:space="preserve">ACKNOWLEDGMENT</w:t>
      </w:r>
    </w:p>
    <w:p>
      <w:pPr>
        <w:spacing w:after="100" w:line="240"/>
        <w:ind w:firstLine="220"/>
        <w:jc w:val="both"/>
      </w:pPr>
      <w:r>
        <w:rPr>
          <w:rFonts w:ascii="Times New Roman" w:cs="Times New Roman" w:eastAsia="Times New Roman" w:hAnsi="Times New Roman"/>
          <w:b w:val="false"/>
          <w:bCs w:val="false"/>
          <w:i w:val="false"/>
          <w:iCs w:val="false"/>
          <w:caps w:val="false"/>
          <w:sz w:val="19"/>
          <w:szCs w:val="19"/>
        </w:rPr>
        <w:t xml:space="preserve">The authors thank Dayananda Sagar University for institutional support. No external funding was received.</w:t>
      </w:r>
    </w:p>
    <w:p>
      <w:pPr>
        <w:spacing w:after="120" w:line="240"/>
        <w:jc w:val="center"/>
      </w:pPr>
      <w:r>
        <w:rPr>
          <w:rFonts w:ascii="Times New Roman" w:cs="Times New Roman" w:eastAsia="Times New Roman" w:hAnsi="Times New Roman"/>
          <w:b w:val="false"/>
          <w:bCs w:val="false"/>
          <w:i w:val="false"/>
          <w:iCs w:val="false"/>
          <w:caps w:val="false"/>
          <w:sz w:val="20"/>
          <w:szCs w:val="20"/>
        </w:rPr>
        <w:t xml:space="preserve">REFERENCES</w:t>
      </w:r>
    </w:p>
    <w:p>
      <w:pPr>
        <w:spacing w:after="40" w:line="220"/>
        <w:ind w:left="340" w:hanging="340"/>
        <w:jc w:val="both"/>
      </w:pPr>
      <w:r>
        <w:rPr>
          <w:rFonts w:ascii="Times New Roman" w:cs="Times New Roman" w:eastAsia="Times New Roman" w:hAnsi="Times New Roman"/>
          <w:b w:val="false"/>
          <w:bCs w:val="false"/>
          <w:i w:val="false"/>
          <w:iCs w:val="false"/>
          <w:caps w:val="false"/>
          <w:sz w:val="19"/>
          <w:szCs w:val="19"/>
        </w:rPr>
        <w:t xml:space="preserve">[1] </w:t>
      </w:r>
      <w:r>
        <w:rPr>
          <w:rFonts w:ascii="Times New Roman" w:cs="Times New Roman" w:eastAsia="Times New Roman" w:hAnsi="Times New Roman"/>
          <w:b w:val="false"/>
          <w:bCs w:val="false"/>
          <w:i w:val="false"/>
          <w:iCs w:val="false"/>
          <w:caps w:val="false"/>
          <w:sz w:val="17"/>
          <w:szCs w:val="17"/>
        </w:rPr>
        <w:t xml:space="preserve">F. Tao, H. Zhang, A. Liu, and A. Y. C. Nee, “Digital twin in industry: State-of-the-art,” IEEE Trans. Ind. Informat., vol. 15, no. 4, pp. 2405–2415, Apr. 2019.</w:t>
      </w:r>
    </w:p>
    <w:p>
      <w:pPr>
        <w:spacing w:after="40" w:line="220"/>
        <w:ind w:left="340" w:hanging="340"/>
        <w:jc w:val="both"/>
      </w:pPr>
      <w:r>
        <w:rPr>
          <w:rFonts w:ascii="Times New Roman" w:cs="Times New Roman" w:eastAsia="Times New Roman" w:hAnsi="Times New Roman"/>
          <w:b w:val="false"/>
          <w:bCs w:val="false"/>
          <w:i w:val="false"/>
          <w:iCs w:val="false"/>
          <w:caps w:val="false"/>
          <w:sz w:val="19"/>
          <w:szCs w:val="19"/>
        </w:rPr>
        <w:t xml:space="preserve">[2] </w:t>
      </w:r>
      <w:r>
        <w:rPr>
          <w:rFonts w:ascii="Times New Roman" w:cs="Times New Roman" w:eastAsia="Times New Roman" w:hAnsi="Times New Roman"/>
          <w:b w:val="false"/>
          <w:bCs w:val="false"/>
          <w:i w:val="false"/>
          <w:iCs w:val="false"/>
          <w:caps w:val="false"/>
          <w:sz w:val="17"/>
          <w:szCs w:val="17"/>
        </w:rPr>
        <w:t xml:space="preserve">J. Lee, B. Bagheri, and H.-A. Kao, “A cyber-physical systems architecture for Industry 4.0-based manufacturing systems,” Manuf. Lett., vol. 3, pp. 18–23, Jan. 2015.</w:t>
      </w:r>
    </w:p>
    <w:p>
      <w:pPr>
        <w:spacing w:after="40" w:line="220"/>
        <w:ind w:left="340" w:hanging="340"/>
        <w:jc w:val="both"/>
      </w:pPr>
      <w:r>
        <w:rPr>
          <w:rFonts w:ascii="Times New Roman" w:cs="Times New Roman" w:eastAsia="Times New Roman" w:hAnsi="Times New Roman"/>
          <w:b w:val="false"/>
          <w:bCs w:val="false"/>
          <w:i w:val="false"/>
          <w:iCs w:val="false"/>
          <w:caps w:val="false"/>
          <w:sz w:val="19"/>
          <w:szCs w:val="19"/>
        </w:rPr>
        <w:t xml:space="preserve">[3] </w:t>
      </w:r>
      <w:r>
        <w:rPr>
          <w:rFonts w:ascii="Times New Roman" w:cs="Times New Roman" w:eastAsia="Times New Roman" w:hAnsi="Times New Roman"/>
          <w:b w:val="false"/>
          <w:bCs w:val="false"/>
          <w:i w:val="false"/>
          <w:iCs w:val="false"/>
          <w:caps w:val="false"/>
          <w:sz w:val="17"/>
          <w:szCs w:val="17"/>
        </w:rPr>
        <w:t xml:space="preserve">R. van Dinter, B. Tekinerdogan, and C. Catal, “Reference architecture for digital twin-based predictive maintenance systems,” Comput. Ind. Eng., vol. 177, art. 109099, Mar. 2023.</w:t>
      </w:r>
    </w:p>
    <w:p>
      <w:pPr>
        <w:spacing w:after="40" w:line="220"/>
        <w:ind w:left="340" w:hanging="340"/>
        <w:jc w:val="both"/>
      </w:pPr>
      <w:r>
        <w:rPr>
          <w:rFonts w:ascii="Times New Roman" w:cs="Times New Roman" w:eastAsia="Times New Roman" w:hAnsi="Times New Roman"/>
          <w:b w:val="false"/>
          <w:bCs w:val="false"/>
          <w:i w:val="false"/>
          <w:iCs w:val="false"/>
          <w:caps w:val="false"/>
          <w:sz w:val="19"/>
          <w:szCs w:val="19"/>
        </w:rPr>
        <w:t xml:space="preserve">[4] </w:t>
      </w:r>
      <w:r>
        <w:rPr>
          <w:rFonts w:ascii="Times New Roman" w:cs="Times New Roman" w:eastAsia="Times New Roman" w:hAnsi="Times New Roman"/>
          <w:b w:val="false"/>
          <w:bCs w:val="false"/>
          <w:i w:val="false"/>
          <w:iCs w:val="false"/>
          <w:caps w:val="false"/>
          <w:sz w:val="17"/>
          <w:szCs w:val="17"/>
        </w:rPr>
        <w:t xml:space="preserve">J. Leng, Q. Liu, S. Ye, J. Jing, Y. Wang, C. Zhang, D. Zhang, and X. Chen, “Digital twin-driven rapid reconfiguration of the automated manufacturing system via an open architecture model,” Robot. Comput.-Integr. Manuf., vol. 63, art. 101895, 2020.</w:t>
      </w:r>
    </w:p>
    <w:p>
      <w:pPr>
        <w:spacing w:after="40" w:line="220"/>
        <w:ind w:left="340" w:hanging="340"/>
        <w:jc w:val="both"/>
      </w:pPr>
      <w:r>
        <w:rPr>
          <w:rFonts w:ascii="Times New Roman" w:cs="Times New Roman" w:eastAsia="Times New Roman" w:hAnsi="Times New Roman"/>
          <w:b w:val="false"/>
          <w:bCs w:val="false"/>
          <w:i w:val="false"/>
          <w:iCs w:val="false"/>
          <w:caps w:val="false"/>
          <w:sz w:val="19"/>
          <w:szCs w:val="19"/>
        </w:rPr>
        <w:t xml:space="preserve">[5] </w:t>
      </w:r>
      <w:r>
        <w:rPr>
          <w:rFonts w:ascii="Times New Roman" w:cs="Times New Roman" w:eastAsia="Times New Roman" w:hAnsi="Times New Roman"/>
          <w:b w:val="false"/>
          <w:bCs w:val="false"/>
          <w:i w:val="false"/>
          <w:iCs w:val="false"/>
          <w:caps w:val="false"/>
          <w:sz w:val="17"/>
          <w:szCs w:val="17"/>
        </w:rPr>
        <w:t xml:space="preserve">S. Krommes and F. Tomaschko, “Conceptual framework of a digital twin fostering sustainable manufacturing in a brownfield approach of small volume production for SMEs,” in Manufacturing Driving Circular Economy (GCSM 2022), Lecture Notes in Mechanical Engineering. Cham, Switzerland: Springer, 2023, pp. 519–527.</w:t>
      </w:r>
    </w:p>
    <w:p>
      <w:pPr>
        <w:spacing w:after="40" w:line="220"/>
        <w:ind w:left="340" w:hanging="340"/>
        <w:jc w:val="both"/>
      </w:pPr>
      <w:r>
        <w:rPr>
          <w:rFonts w:ascii="Times New Roman" w:cs="Times New Roman" w:eastAsia="Times New Roman" w:hAnsi="Times New Roman"/>
          <w:b w:val="false"/>
          <w:bCs w:val="false"/>
          <w:i w:val="false"/>
          <w:iCs w:val="false"/>
          <w:caps w:val="false"/>
          <w:sz w:val="19"/>
          <w:szCs w:val="19"/>
        </w:rPr>
        <w:t xml:space="preserve">[6] </w:t>
      </w:r>
      <w:r>
        <w:rPr>
          <w:rFonts w:ascii="Times New Roman" w:cs="Times New Roman" w:eastAsia="Times New Roman" w:hAnsi="Times New Roman"/>
          <w:b w:val="false"/>
          <w:bCs w:val="false"/>
          <w:i w:val="false"/>
          <w:iCs w:val="false"/>
          <w:caps w:val="false"/>
          <w:sz w:val="17"/>
          <w:szCs w:val="17"/>
        </w:rPr>
        <w:t xml:space="preserve">A. Gautam, M. R. Aryal, S. Deshpande, S. Padalkar, M. Nikolaenko, M. Tang, and S. Anand, “IIoT-enabled digital twin for legacy and smart factory machines with LLM integration,” J. Manuf. Syst., vol. 80, pp. 511–523, 2025.</w:t>
      </w:r>
    </w:p>
    <w:p>
      <w:pPr>
        <w:spacing w:after="40" w:line="220"/>
        <w:ind w:left="340" w:hanging="340"/>
        <w:jc w:val="both"/>
      </w:pPr>
      <w:r>
        <w:rPr>
          <w:rFonts w:ascii="Times New Roman" w:cs="Times New Roman" w:eastAsia="Times New Roman" w:hAnsi="Times New Roman"/>
          <w:b w:val="false"/>
          <w:bCs w:val="false"/>
          <w:i w:val="false"/>
          <w:iCs w:val="false"/>
          <w:caps w:val="false"/>
          <w:sz w:val="19"/>
          <w:szCs w:val="19"/>
        </w:rPr>
        <w:t xml:space="preserve">[7] </w:t>
      </w:r>
      <w:r>
        <w:rPr>
          <w:rFonts w:ascii="Times New Roman" w:cs="Times New Roman" w:eastAsia="Times New Roman" w:hAnsi="Times New Roman"/>
          <w:b w:val="false"/>
          <w:bCs w:val="false"/>
          <w:i w:val="false"/>
          <w:iCs w:val="false"/>
          <w:caps w:val="false"/>
          <w:sz w:val="17"/>
          <w:szCs w:val="17"/>
        </w:rPr>
        <w:t xml:space="preserve">W. A. Smith and R. B. Randall, “Rolling element bearing diagnostics using the Case Western Reserve University data: A benchmark study,” Mech. Syst. Signal Process., vols. 64–65, pp. 100–131, 2015.</w:t>
      </w:r>
    </w:p>
    <w:p>
      <w:pPr>
        <w:spacing w:after="40" w:line="220"/>
        <w:ind w:left="340" w:hanging="340"/>
        <w:jc w:val="both"/>
      </w:pPr>
      <w:r>
        <w:rPr>
          <w:rFonts w:ascii="Times New Roman" w:cs="Times New Roman" w:eastAsia="Times New Roman" w:hAnsi="Times New Roman"/>
          <w:b w:val="false"/>
          <w:bCs w:val="false"/>
          <w:i w:val="false"/>
          <w:iCs w:val="false"/>
          <w:caps w:val="false"/>
          <w:sz w:val="19"/>
          <w:szCs w:val="19"/>
        </w:rPr>
        <w:t xml:space="preserve">[8] </w:t>
      </w:r>
      <w:r>
        <w:rPr>
          <w:rFonts w:ascii="Times New Roman" w:cs="Times New Roman" w:eastAsia="Times New Roman" w:hAnsi="Times New Roman"/>
          <w:b w:val="false"/>
          <w:bCs w:val="false"/>
          <w:i w:val="false"/>
          <w:iCs w:val="false"/>
          <w:caps w:val="false"/>
          <w:sz w:val="17"/>
          <w:szCs w:val="17"/>
        </w:rPr>
        <w:t xml:space="preserve">H. Qiu, J. Lee, J. Lin, and G. Yu, “Wavelet filter-based weak signature detection method and its application on rolling element bearing prognostics,” J. Sound Vib., vol. 289, no. 4–5, pp. 1066–1090, 2006.</w:t>
      </w:r>
    </w:p>
    <w:p>
      <w:pPr>
        <w:spacing w:after="40" w:line="220"/>
        <w:ind w:left="340" w:hanging="340"/>
        <w:jc w:val="both"/>
      </w:pPr>
      <w:r>
        <w:rPr>
          <w:rFonts w:ascii="Times New Roman" w:cs="Times New Roman" w:eastAsia="Times New Roman" w:hAnsi="Times New Roman"/>
          <w:b w:val="false"/>
          <w:bCs w:val="false"/>
          <w:i w:val="false"/>
          <w:iCs w:val="false"/>
          <w:caps w:val="false"/>
          <w:sz w:val="19"/>
          <w:szCs w:val="19"/>
        </w:rPr>
        <w:t xml:space="preserve">[9] </w:t>
      </w:r>
      <w:r>
        <w:rPr>
          <w:rFonts w:ascii="Times New Roman" w:cs="Times New Roman" w:eastAsia="Times New Roman" w:hAnsi="Times New Roman"/>
          <w:b w:val="false"/>
          <w:bCs w:val="false"/>
          <w:i w:val="false"/>
          <w:iCs w:val="false"/>
          <w:caps w:val="false"/>
          <w:sz w:val="17"/>
          <w:szCs w:val="17"/>
        </w:rPr>
        <w:t xml:space="preserve">R. B. Randall and J. Antoni, “Rolling element bearing diagnostics: A tutorial,” Mech. Syst. Signal Process., vol. 25, no. 2, pp. 485–520, 2011.</w:t>
      </w:r>
    </w:p>
    <w:p>
      <w:pPr>
        <w:spacing w:after="40" w:line="220"/>
        <w:ind w:left="340" w:hanging="340"/>
        <w:jc w:val="both"/>
      </w:pPr>
      <w:r>
        <w:rPr>
          <w:rFonts w:ascii="Times New Roman" w:cs="Times New Roman" w:eastAsia="Times New Roman" w:hAnsi="Times New Roman"/>
          <w:b w:val="false"/>
          <w:bCs w:val="false"/>
          <w:i w:val="false"/>
          <w:iCs w:val="false"/>
          <w:caps w:val="false"/>
          <w:sz w:val="19"/>
          <w:szCs w:val="19"/>
        </w:rPr>
        <w:t xml:space="preserve">[10] </w:t>
      </w:r>
      <w:r>
        <w:rPr>
          <w:rFonts w:ascii="Times New Roman" w:cs="Times New Roman" w:eastAsia="Times New Roman" w:hAnsi="Times New Roman"/>
          <w:b w:val="false"/>
          <w:bCs w:val="false"/>
          <w:i w:val="false"/>
          <w:iCs w:val="false"/>
          <w:caps w:val="false"/>
          <w:sz w:val="17"/>
          <w:szCs w:val="17"/>
        </w:rPr>
        <w:t xml:space="preserve">R. Zhao, R. Yan, Z. Chen, K. Mao, P. Wang, and R. X. Gao, “Deep learning and its applications to machine health monitoring,” Mech. Syst. Signal Process., vol. 115, pp. 213–237, 2019.</w:t>
      </w:r>
    </w:p>
    <w:p>
      <w:pPr>
        <w:spacing w:after="40" w:line="220"/>
        <w:ind w:left="340" w:hanging="340"/>
        <w:jc w:val="both"/>
      </w:pPr>
      <w:r>
        <w:rPr>
          <w:rFonts w:ascii="Times New Roman" w:cs="Times New Roman" w:eastAsia="Times New Roman" w:hAnsi="Times New Roman"/>
          <w:b w:val="false"/>
          <w:bCs w:val="false"/>
          <w:i w:val="false"/>
          <w:iCs w:val="false"/>
          <w:caps w:val="false"/>
          <w:sz w:val="19"/>
          <w:szCs w:val="19"/>
        </w:rPr>
        <w:t xml:space="preserve">[11] </w:t>
      </w:r>
      <w:r>
        <w:rPr>
          <w:rFonts w:ascii="Times New Roman" w:cs="Times New Roman" w:eastAsia="Times New Roman" w:hAnsi="Times New Roman"/>
          <w:b w:val="false"/>
          <w:bCs w:val="false"/>
          <w:i w:val="false"/>
          <w:iCs w:val="false"/>
          <w:caps w:val="false"/>
          <w:sz w:val="17"/>
          <w:szCs w:val="17"/>
        </w:rPr>
        <w:t xml:space="preserve">H.-X. Hu, Y. Feng, Q. Hu, and Y. Zhang, “A masked one-dimensional convolutional autoencoder for bearing fault diagnosis based on digital twin enabled industrial internet of things,” IEEE J. Sel. Areas Commun., vol. 41, no. 10, pp. 3242–3253, 2023.</w:t>
      </w:r>
    </w:p>
    <w:p>
      <w:pPr>
        <w:spacing w:after="40" w:line="220"/>
        <w:ind w:left="340" w:hanging="340"/>
        <w:jc w:val="both"/>
      </w:pPr>
      <w:r>
        <w:rPr>
          <w:rFonts w:ascii="Times New Roman" w:cs="Times New Roman" w:eastAsia="Times New Roman" w:hAnsi="Times New Roman"/>
          <w:b w:val="false"/>
          <w:bCs w:val="false"/>
          <w:i w:val="false"/>
          <w:iCs w:val="false"/>
          <w:caps w:val="false"/>
          <w:sz w:val="19"/>
          <w:szCs w:val="19"/>
        </w:rPr>
        <w:t xml:space="preserve">[12] </w:t>
      </w:r>
      <w:r>
        <w:rPr>
          <w:rFonts w:ascii="Times New Roman" w:cs="Times New Roman" w:eastAsia="Times New Roman" w:hAnsi="Times New Roman"/>
          <w:b w:val="false"/>
          <w:bCs w:val="false"/>
          <w:i w:val="false"/>
          <w:iCs w:val="false"/>
          <w:caps w:val="false"/>
          <w:sz w:val="17"/>
          <w:szCs w:val="17"/>
        </w:rPr>
        <w:t xml:space="preserve">F. T. Liu, K. M. Ting, and Z.-H. Zhou, “Isolation forest,” in Proc. 8th IEEE Int. Conf. Data Mining (ICDM), Pisa, Italy, 2008, pp. 413–422.</w:t>
      </w:r>
    </w:p>
    <w:p>
      <w:pPr>
        <w:spacing w:after="40" w:line="220"/>
        <w:ind w:left="340" w:hanging="340"/>
        <w:jc w:val="both"/>
      </w:pPr>
      <w:r>
        <w:rPr>
          <w:rFonts w:ascii="Times New Roman" w:cs="Times New Roman" w:eastAsia="Times New Roman" w:hAnsi="Times New Roman"/>
          <w:b w:val="false"/>
          <w:bCs w:val="false"/>
          <w:i w:val="false"/>
          <w:iCs w:val="false"/>
          <w:caps w:val="false"/>
          <w:sz w:val="19"/>
          <w:szCs w:val="19"/>
        </w:rPr>
        <w:t xml:space="preserve">[13] </w:t>
      </w:r>
      <w:r>
        <w:rPr>
          <w:rFonts w:ascii="Times New Roman" w:cs="Times New Roman" w:eastAsia="Times New Roman" w:hAnsi="Times New Roman"/>
          <w:b w:val="false"/>
          <w:bCs w:val="false"/>
          <w:i w:val="false"/>
          <w:iCs w:val="false"/>
          <w:caps w:val="false"/>
          <w:sz w:val="17"/>
          <w:szCs w:val="17"/>
        </w:rPr>
        <w:t xml:space="preserve">F. Yuan, C. Zhang, and X. Liu, “Bearing fault diagnosis based on auto-encoder combined with CNN,” in Fuzzy Systems and Data Mining IX, Frontiers in Artificial Intelligence and Applications, vol. 354. Amsterdam, The Netherlands: IOS Press, 2023, pp. 334–344.</w:t>
      </w:r>
    </w:p>
    <w:p>
      <w:pPr>
        <w:spacing w:after="40" w:line="220"/>
        <w:ind w:left="340" w:hanging="340"/>
        <w:jc w:val="both"/>
      </w:pPr>
      <w:r>
        <w:rPr>
          <w:rFonts w:ascii="Times New Roman" w:cs="Times New Roman" w:eastAsia="Times New Roman" w:hAnsi="Times New Roman"/>
          <w:b w:val="false"/>
          <w:bCs w:val="false"/>
          <w:i w:val="false"/>
          <w:iCs w:val="false"/>
          <w:caps w:val="false"/>
          <w:sz w:val="19"/>
          <w:szCs w:val="19"/>
        </w:rPr>
        <w:t xml:space="preserve">[14] </w:t>
      </w:r>
      <w:r>
        <w:rPr>
          <w:rFonts w:ascii="Times New Roman" w:cs="Times New Roman" w:eastAsia="Times New Roman" w:hAnsi="Times New Roman"/>
          <w:b w:val="false"/>
          <w:bCs w:val="false"/>
          <w:i w:val="false"/>
          <w:iCs w:val="false"/>
          <w:caps w:val="false"/>
          <w:sz w:val="17"/>
          <w:szCs w:val="17"/>
        </w:rPr>
        <w:t xml:space="preserve">E. Njor, M. A. Hasanpour, J. Madsen, and X. Fafoutis, “A holistic review of the TinyML stack for predictive maintenance,” IEEE Access, vol. 12, pp. 184861–184882, 2024.</w:t>
      </w:r>
    </w:p>
    <w:p>
      <w:pPr>
        <w:spacing w:after="40" w:line="220"/>
        <w:ind w:left="340" w:hanging="340"/>
        <w:jc w:val="both"/>
      </w:pPr>
      <w:r>
        <w:rPr>
          <w:rFonts w:ascii="Times New Roman" w:cs="Times New Roman" w:eastAsia="Times New Roman" w:hAnsi="Times New Roman"/>
          <w:b w:val="false"/>
          <w:bCs w:val="false"/>
          <w:i w:val="false"/>
          <w:iCs w:val="false"/>
          <w:caps w:val="false"/>
          <w:sz w:val="19"/>
          <w:szCs w:val="19"/>
        </w:rPr>
        <w:t xml:space="preserve">[15] </w:t>
      </w:r>
      <w:r>
        <w:rPr>
          <w:rFonts w:ascii="Times New Roman" w:cs="Times New Roman" w:eastAsia="Times New Roman" w:hAnsi="Times New Roman"/>
          <w:b w:val="false"/>
          <w:bCs w:val="false"/>
          <w:i w:val="false"/>
          <w:iCs w:val="false"/>
          <w:caps w:val="false"/>
          <w:sz w:val="17"/>
          <w:szCs w:val="17"/>
        </w:rPr>
        <w:t xml:space="preserve">M. Antonini, M. Pincheira, M. Vecchio, and F. Antonelli, “An adaptable and unsupervised TinyML anomaly detection system for extreme industrial environments,” Sensors, vol. 23, no. 4, art. 2344, 2023.</w:t>
      </w:r>
    </w:p>
    <w:p>
      <w:pPr>
        <w:spacing w:after="40" w:line="220"/>
        <w:ind w:left="340" w:hanging="340"/>
        <w:jc w:val="both"/>
      </w:pPr>
      <w:r>
        <w:rPr>
          <w:rFonts w:ascii="Times New Roman" w:cs="Times New Roman" w:eastAsia="Times New Roman" w:hAnsi="Times New Roman"/>
          <w:b w:val="false"/>
          <w:bCs w:val="false"/>
          <w:i w:val="false"/>
          <w:iCs w:val="false"/>
          <w:caps w:val="false"/>
          <w:sz w:val="19"/>
          <w:szCs w:val="19"/>
        </w:rPr>
        <w:t xml:space="preserve">[16] </w:t>
      </w:r>
      <w:r>
        <w:rPr>
          <w:rFonts w:ascii="Times New Roman" w:cs="Times New Roman" w:eastAsia="Times New Roman" w:hAnsi="Times New Roman"/>
          <w:b w:val="false"/>
          <w:bCs w:val="false"/>
          <w:i w:val="false"/>
          <w:iCs w:val="false"/>
          <w:caps w:val="false"/>
          <w:sz w:val="17"/>
          <w:szCs w:val="17"/>
        </w:rPr>
        <w:t xml:space="preserve">Z. Chen, Y. Gao, and J. Liang, “LOPdM: A low-power on-device predictive maintenance system based on self-powered sensing and TinyML,” IEEE Trans. Instrum. Meas., vol. 72, pp. 1–13, 2023.</w:t>
      </w:r>
    </w:p>
    <w:p>
      <w:pPr>
        <w:spacing w:after="40" w:line="220"/>
        <w:ind w:left="340" w:hanging="340"/>
        <w:jc w:val="both"/>
      </w:pPr>
      <w:r>
        <w:rPr>
          <w:rFonts w:ascii="Times New Roman" w:cs="Times New Roman" w:eastAsia="Times New Roman" w:hAnsi="Times New Roman"/>
          <w:b w:val="false"/>
          <w:bCs w:val="false"/>
          <w:i w:val="false"/>
          <w:iCs w:val="false"/>
          <w:caps w:val="false"/>
          <w:sz w:val="19"/>
          <w:szCs w:val="19"/>
        </w:rPr>
        <w:t xml:space="preserve">[17] </w:t>
      </w:r>
      <w:r>
        <w:rPr>
          <w:rFonts w:ascii="Times New Roman" w:cs="Times New Roman" w:eastAsia="Times New Roman" w:hAnsi="Times New Roman"/>
          <w:b w:val="false"/>
          <w:bCs w:val="false"/>
          <w:i w:val="false"/>
          <w:iCs w:val="false"/>
          <w:caps w:val="false"/>
          <w:sz w:val="17"/>
          <w:szCs w:val="17"/>
        </w:rPr>
        <w:t xml:space="preserve">J. Pournazari, M. El-Dalahmeh, A. Al-Dubai, X. Liu, D.-H. Park, J. Marco, T. Q. Dinh, J.-H. Ahn, and M. Faraji Niri, “LiRUL: A physics-constrained and lightweight learning framework for edge-based RUL prediction,” Results Eng., 2026.</w:t>
      </w:r>
    </w:p>
    <w:p>
      <w:pPr>
        <w:spacing w:after="40" w:line="220"/>
        <w:ind w:left="340" w:hanging="340"/>
        <w:jc w:val="both"/>
      </w:pPr>
      <w:r>
        <w:rPr>
          <w:rFonts w:ascii="Times New Roman" w:cs="Times New Roman" w:eastAsia="Times New Roman" w:hAnsi="Times New Roman"/>
          <w:b w:val="false"/>
          <w:bCs w:val="false"/>
          <w:i w:val="false"/>
          <w:iCs w:val="false"/>
          <w:caps w:val="false"/>
          <w:sz w:val="19"/>
          <w:szCs w:val="19"/>
        </w:rPr>
        <w:t xml:space="preserve">[18] </w:t>
      </w:r>
      <w:r>
        <w:rPr>
          <w:rFonts w:ascii="Times New Roman" w:cs="Times New Roman" w:eastAsia="Times New Roman" w:hAnsi="Times New Roman"/>
          <w:b w:val="false"/>
          <w:bCs w:val="false"/>
          <w:i w:val="false"/>
          <w:iCs w:val="false"/>
          <w:caps w:val="false"/>
          <w:sz w:val="17"/>
          <w:szCs w:val="17"/>
        </w:rPr>
        <w:t xml:space="preserve">P. Zhang, G. Zeng, T. Wang, and W. Lu, “TinyLlama: An open-source small language model,” arXiv:2401.02385, 2024.</w:t>
      </w:r>
    </w:p>
    <w:p>
      <w:pPr>
        <w:spacing w:after="40" w:line="220"/>
        <w:ind w:left="340" w:hanging="340"/>
        <w:jc w:val="both"/>
      </w:pPr>
      <w:r>
        <w:rPr>
          <w:rFonts w:ascii="Times New Roman" w:cs="Times New Roman" w:eastAsia="Times New Roman" w:hAnsi="Times New Roman"/>
          <w:b w:val="false"/>
          <w:bCs w:val="false"/>
          <w:i w:val="false"/>
          <w:iCs w:val="false"/>
          <w:caps w:val="false"/>
          <w:sz w:val="19"/>
          <w:szCs w:val="19"/>
        </w:rPr>
        <w:t xml:space="preserve">[19] </w:t>
      </w:r>
      <w:r>
        <w:rPr>
          <w:rFonts w:ascii="Times New Roman" w:cs="Times New Roman" w:eastAsia="Times New Roman" w:hAnsi="Times New Roman"/>
          <w:b w:val="false"/>
          <w:bCs w:val="false"/>
          <w:i w:val="false"/>
          <w:iCs w:val="false"/>
          <w:caps w:val="false"/>
          <w:sz w:val="17"/>
          <w:szCs w:val="17"/>
        </w:rPr>
        <w:t xml:space="preserve">Qwen Team, “Qwen2.5 technical report,” arXiv:2412.15115, 2024.</w:t>
      </w:r>
    </w:p>
    <w:p>
      <w:pPr>
        <w:spacing w:after="40" w:line="220"/>
        <w:ind w:left="340" w:hanging="340"/>
        <w:jc w:val="both"/>
      </w:pPr>
      <w:r>
        <w:rPr>
          <w:rFonts w:ascii="Times New Roman" w:cs="Times New Roman" w:eastAsia="Times New Roman" w:hAnsi="Times New Roman"/>
          <w:b w:val="false"/>
          <w:bCs w:val="false"/>
          <w:i w:val="false"/>
          <w:iCs w:val="false"/>
          <w:caps w:val="false"/>
          <w:sz w:val="19"/>
          <w:szCs w:val="19"/>
        </w:rPr>
        <w:t xml:space="preserve">[20] </w:t>
      </w:r>
      <w:r>
        <w:rPr>
          <w:rFonts w:ascii="Times New Roman" w:cs="Times New Roman" w:eastAsia="Times New Roman" w:hAnsi="Times New Roman"/>
          <w:b w:val="false"/>
          <w:bCs w:val="false"/>
          <w:i w:val="false"/>
          <w:iCs w:val="false"/>
          <w:caps w:val="false"/>
          <w:sz w:val="17"/>
          <w:szCs w:val="17"/>
        </w:rPr>
        <w:t xml:space="preserve">S. V. Kandala, P. Medaranga, and A. Varshney, “TinyLLM: A framework for training and deploying language models at the edge computers,” arXiv:2412.15304, 2024.</w:t>
      </w:r>
    </w:p>
    <w:p>
      <w:pPr>
        <w:spacing w:after="40" w:line="220"/>
        <w:ind w:left="340" w:hanging="340"/>
        <w:jc w:val="both"/>
      </w:pPr>
      <w:r>
        <w:rPr>
          <w:rFonts w:ascii="Times New Roman" w:cs="Times New Roman" w:eastAsia="Times New Roman" w:hAnsi="Times New Roman"/>
          <w:b w:val="false"/>
          <w:bCs w:val="false"/>
          <w:i w:val="false"/>
          <w:iCs w:val="false"/>
          <w:caps w:val="false"/>
          <w:sz w:val="19"/>
          <w:szCs w:val="19"/>
        </w:rPr>
        <w:t xml:space="preserve">[21] </w:t>
      </w:r>
      <w:r>
        <w:rPr>
          <w:rFonts w:ascii="Times New Roman" w:cs="Times New Roman" w:eastAsia="Times New Roman" w:hAnsi="Times New Roman"/>
          <w:b w:val="false"/>
          <w:bCs w:val="false"/>
          <w:i w:val="false"/>
          <w:iCs w:val="false"/>
          <w:caps w:val="false"/>
          <w:sz w:val="17"/>
          <w:szCs w:val="17"/>
        </w:rPr>
        <w:t xml:space="preserve">T. An, Y. Zhou, H. Zou, and J. Yang, “IoT-LLM: A framework for enhancing large language model reasoning from real-world sensor data,” Patterns, 2025.</w:t>
      </w:r>
    </w:p>
    <w:p>
      <w:pPr>
        <w:spacing w:after="40" w:line="220"/>
        <w:ind w:left="340" w:hanging="340"/>
        <w:jc w:val="both"/>
      </w:pPr>
      <w:r>
        <w:rPr>
          <w:rFonts w:ascii="Times New Roman" w:cs="Times New Roman" w:eastAsia="Times New Roman" w:hAnsi="Times New Roman"/>
          <w:b w:val="false"/>
          <w:bCs w:val="false"/>
          <w:i w:val="false"/>
          <w:iCs w:val="false"/>
          <w:caps w:val="false"/>
          <w:sz w:val="19"/>
          <w:szCs w:val="19"/>
        </w:rPr>
        <w:t xml:space="preserve">[22] </w:t>
      </w:r>
      <w:r>
        <w:rPr>
          <w:rFonts w:ascii="Times New Roman" w:cs="Times New Roman" w:eastAsia="Times New Roman" w:hAnsi="Times New Roman"/>
          <w:b w:val="false"/>
          <w:bCs w:val="false"/>
          <w:i w:val="false"/>
          <w:iCs w:val="false"/>
          <w:caps w:val="false"/>
          <w:sz w:val="17"/>
          <w:szCs w:val="17"/>
        </w:rPr>
        <w:t xml:space="preserve">J. Jeon, Y. Sim, H. Lee, C. Han, D. Yun, and E. Kim, “ChatCNC: Conversational machine monitoring via large language model and real-time data retrieval augmented generation,” J. Manuf. Syst., vol. 79, pp. 504–514, 2025.</w:t>
      </w:r>
    </w:p>
    <w:p>
      <w:pPr>
        <w:spacing w:after="40" w:line="220"/>
        <w:ind w:left="340" w:hanging="340"/>
        <w:jc w:val="both"/>
      </w:pPr>
      <w:r>
        <w:rPr>
          <w:rFonts w:ascii="Times New Roman" w:cs="Times New Roman" w:eastAsia="Times New Roman" w:hAnsi="Times New Roman"/>
          <w:b w:val="false"/>
          <w:bCs w:val="false"/>
          <w:i w:val="false"/>
          <w:iCs w:val="false"/>
          <w:caps w:val="false"/>
          <w:sz w:val="19"/>
          <w:szCs w:val="19"/>
        </w:rPr>
        <w:t xml:space="preserve">[23] </w:t>
      </w:r>
      <w:r>
        <w:rPr>
          <w:rFonts w:ascii="Times New Roman" w:cs="Times New Roman" w:eastAsia="Times New Roman" w:hAnsi="Times New Roman"/>
          <w:b w:val="false"/>
          <w:bCs w:val="false"/>
          <w:i w:val="false"/>
          <w:iCs w:val="false"/>
          <w:caps w:val="false"/>
          <w:sz w:val="17"/>
          <w:szCs w:val="17"/>
        </w:rPr>
        <w:t xml:space="preserve">H. Peng, J. Liu, J. Du, J. Gao, and W. Wang, “BearLLM: A prior knowledge-enhanced bearing health management framework with unified vibration signal representation,” in Proc. AAAI Conf. Artif. Intell., vol. 39, no. 19, 2025, pp. 19866–19874.</w:t>
      </w:r>
    </w:p>
    <w:p>
      <w:pPr>
        <w:spacing w:after="40" w:line="220"/>
        <w:ind w:left="340" w:hanging="340"/>
        <w:jc w:val="both"/>
      </w:pPr>
      <w:r>
        <w:rPr>
          <w:rFonts w:ascii="Times New Roman" w:cs="Times New Roman" w:eastAsia="Times New Roman" w:hAnsi="Times New Roman"/>
          <w:b w:val="false"/>
          <w:bCs w:val="false"/>
          <w:i w:val="false"/>
          <w:iCs w:val="false"/>
          <w:caps w:val="false"/>
          <w:sz w:val="19"/>
          <w:szCs w:val="19"/>
        </w:rPr>
        <w:t xml:space="preserve">[24] </w:t>
      </w:r>
      <w:r>
        <w:rPr>
          <w:rFonts w:ascii="Times New Roman" w:cs="Times New Roman" w:eastAsia="Times New Roman" w:hAnsi="Times New Roman"/>
          <w:b w:val="false"/>
          <w:bCs w:val="false"/>
          <w:i w:val="false"/>
          <w:iCs w:val="false"/>
          <w:caps w:val="false"/>
          <w:sz w:val="17"/>
          <w:szCs w:val="17"/>
        </w:rPr>
        <w:t xml:space="preserve">Y. Xia, D. Dittler, N. Jazdi, H. Chen, and M. Weyrich, “LLM experiments with simulation: Large language model multi-agent system for process simulation parametrization in digital twins,” in Proc. 29th IEEE Int. Conf. Emerg. Technol. Factory Autom. (ETFA), 2024; arXiv:2405.18092.</w:t>
      </w:r>
    </w:p>
    <w:p>
      <w:pPr>
        <w:spacing w:after="40" w:line="220"/>
        <w:ind w:left="340" w:hanging="340"/>
        <w:jc w:val="both"/>
      </w:pPr>
      <w:r>
        <w:rPr>
          <w:rFonts w:ascii="Times New Roman" w:cs="Times New Roman" w:eastAsia="Times New Roman" w:hAnsi="Times New Roman"/>
          <w:b w:val="false"/>
          <w:bCs w:val="false"/>
          <w:i w:val="false"/>
          <w:iCs w:val="false"/>
          <w:caps w:val="false"/>
          <w:sz w:val="19"/>
          <w:szCs w:val="19"/>
        </w:rPr>
        <w:t xml:space="preserve">[25] </w:t>
      </w:r>
      <w:r>
        <w:rPr>
          <w:rFonts w:ascii="Times New Roman" w:cs="Times New Roman" w:eastAsia="Times New Roman" w:hAnsi="Times New Roman"/>
          <w:b w:val="false"/>
          <w:bCs w:val="false"/>
          <w:i w:val="false"/>
          <w:iCs w:val="false"/>
          <w:caps w:val="false"/>
          <w:sz w:val="17"/>
          <w:szCs w:val="17"/>
        </w:rPr>
        <w:t xml:space="preserve">S. Es, J. James, L. Espinosa Anke, and S. Schockaert, “RAGAs: Automated evaluation of retrieval augmented generation,” in Proc. 18th Conf. Eur. Chapter ACL: System Demonstrations, St. Julians, Malta, 2024, pp. 150–158.</w:t>
      </w:r>
    </w:p>
    <w:p>
      <w:pPr>
        <w:spacing w:after="40" w:line="220"/>
        <w:ind w:left="340" w:hanging="340"/>
        <w:jc w:val="both"/>
      </w:pPr>
      <w:r>
        <w:rPr>
          <w:rFonts w:ascii="Times New Roman" w:cs="Times New Roman" w:eastAsia="Times New Roman" w:hAnsi="Times New Roman"/>
          <w:b w:val="false"/>
          <w:bCs w:val="false"/>
          <w:i w:val="false"/>
          <w:iCs w:val="false"/>
          <w:caps w:val="false"/>
          <w:sz w:val="19"/>
          <w:szCs w:val="19"/>
        </w:rPr>
        <w:t xml:space="preserve">[26] </w:t>
      </w:r>
      <w:r>
        <w:rPr>
          <w:rFonts w:ascii="Times New Roman" w:cs="Times New Roman" w:eastAsia="Times New Roman" w:hAnsi="Times New Roman"/>
          <w:b w:val="false"/>
          <w:bCs w:val="false"/>
          <w:i w:val="false"/>
          <w:iCs w:val="false"/>
          <w:caps w:val="false"/>
          <w:sz w:val="17"/>
          <w:szCs w:val="17"/>
        </w:rPr>
        <w:t xml:space="preserve">C. Niu, Y. Wu, J. Zhu, S. Xu, K. Shum, R. Zhong, J. Song, and T. Zhang, “RAGTruth: A hallucination corpus for developing trustworthy retrieval-augmented language models,” in Proc. 62nd Annu. Meeting ACL (Vol. 1: Long Papers), Bangkok, Thailand, 2024, pp. 10862–10878.</w:t>
      </w:r>
    </w:p>
    <w:p>
      <w:pPr>
        <w:spacing w:after="40" w:line="220"/>
        <w:ind w:left="340" w:hanging="340"/>
        <w:jc w:val="both"/>
      </w:pPr>
      <w:r>
        <w:rPr>
          <w:rFonts w:ascii="Times New Roman" w:cs="Times New Roman" w:eastAsia="Times New Roman" w:hAnsi="Times New Roman"/>
          <w:b w:val="false"/>
          <w:bCs w:val="false"/>
          <w:i w:val="false"/>
          <w:iCs w:val="false"/>
          <w:caps w:val="false"/>
          <w:sz w:val="19"/>
          <w:szCs w:val="19"/>
        </w:rPr>
        <w:t xml:space="preserve">[27] </w:t>
      </w:r>
      <w:r>
        <w:rPr>
          <w:rFonts w:ascii="Times New Roman" w:cs="Times New Roman" w:eastAsia="Times New Roman" w:hAnsi="Times New Roman"/>
          <w:b w:val="false"/>
          <w:bCs w:val="false"/>
          <w:i w:val="false"/>
          <w:iCs w:val="false"/>
          <w:caps w:val="false"/>
          <w:sz w:val="17"/>
          <w:szCs w:val="17"/>
        </w:rPr>
        <w:t xml:space="preserve">A. Raj, G. Dwivedi, A. Sharma, A. B. L. de Sousa Jabbour, and S. Rajak, “Barriers to the adoption of industry 4.0 technologies in the manufacturing sector: An inter-country comparative perspective,” Int. J. Prod. Econ., vol. 224, art. 107546, 2020.</w:t>
      </w:r>
    </w:p>
    <w:p>
      <w:pPr>
        <w:spacing w:after="40" w:line="220"/>
        <w:ind w:left="340" w:hanging="340"/>
        <w:jc w:val="both"/>
      </w:pPr>
      <w:r>
        <w:rPr>
          <w:rFonts w:ascii="Times New Roman" w:cs="Times New Roman" w:eastAsia="Times New Roman" w:hAnsi="Times New Roman"/>
          <w:b w:val="false"/>
          <w:bCs w:val="false"/>
          <w:i w:val="false"/>
          <w:iCs w:val="false"/>
          <w:caps w:val="false"/>
          <w:sz w:val="19"/>
          <w:szCs w:val="19"/>
        </w:rPr>
        <w:t xml:space="preserve">[28] </w:t>
      </w:r>
      <w:r>
        <w:rPr>
          <w:rFonts w:ascii="Times New Roman" w:cs="Times New Roman" w:eastAsia="Times New Roman" w:hAnsi="Times New Roman"/>
          <w:b w:val="false"/>
          <w:bCs w:val="false"/>
          <w:i w:val="false"/>
          <w:iCs w:val="false"/>
          <w:caps w:val="false"/>
          <w:sz w:val="17"/>
          <w:szCs w:val="17"/>
        </w:rPr>
        <w:t xml:space="preserve">K. L. Gold, “Effects of Industry 4.0 on small and medium-scale enterprises: An analytical and bibliometric review,” SAGE Open, vol. 15, no. 2, 2025.</w:t>
      </w:r>
    </w:p>
    <w:p>
      <w:pPr>
        <w:spacing w:after="40" w:line="220"/>
        <w:ind w:left="340" w:hanging="340"/>
        <w:jc w:val="both"/>
      </w:pPr>
      <w:r>
        <w:rPr>
          <w:rFonts w:ascii="Times New Roman" w:cs="Times New Roman" w:eastAsia="Times New Roman" w:hAnsi="Times New Roman"/>
          <w:b w:val="false"/>
          <w:bCs w:val="false"/>
          <w:i w:val="false"/>
          <w:iCs w:val="false"/>
          <w:caps w:val="false"/>
          <w:sz w:val="19"/>
          <w:szCs w:val="19"/>
        </w:rPr>
        <w:t xml:space="preserve">[29] </w:t>
      </w:r>
      <w:r>
        <w:rPr>
          <w:rFonts w:ascii="Times New Roman" w:cs="Times New Roman" w:eastAsia="Times New Roman" w:hAnsi="Times New Roman"/>
          <w:b w:val="false"/>
          <w:bCs w:val="false"/>
          <w:i w:val="false"/>
          <w:iCs w:val="false"/>
          <w:caps w:val="false"/>
          <w:sz w:val="17"/>
          <w:szCs w:val="17"/>
        </w:rPr>
        <w:t xml:space="preserve">S. O. Ooko and S. M. Karume, “Application of tiny machine learning in predicative maintenance in industries,” J. Comput. Theories Appl., vol. 2, no. 1, pp. 131–150, 2024.</w:t>
      </w:r>
    </w:p>
    <w:p>
      <w:pPr>
        <w:spacing w:after="40" w:line="220"/>
        <w:ind w:left="340" w:hanging="340"/>
        <w:jc w:val="both"/>
      </w:pPr>
      <w:r>
        <w:rPr>
          <w:rFonts w:ascii="Times New Roman" w:cs="Times New Roman" w:eastAsia="Times New Roman" w:hAnsi="Times New Roman"/>
          <w:b w:val="false"/>
          <w:bCs w:val="false"/>
          <w:i w:val="false"/>
          <w:iCs w:val="false"/>
          <w:caps w:val="false"/>
          <w:sz w:val="19"/>
          <w:szCs w:val="19"/>
        </w:rPr>
        <w:t xml:space="preserve">[30] </w:t>
      </w:r>
      <w:r>
        <w:rPr>
          <w:rFonts w:ascii="Times New Roman" w:cs="Times New Roman" w:eastAsia="Times New Roman" w:hAnsi="Times New Roman"/>
          <w:b w:val="false"/>
          <w:bCs w:val="false"/>
          <w:i w:val="false"/>
          <w:iCs w:val="false"/>
          <w:caps w:val="false"/>
          <w:sz w:val="17"/>
          <w:szCs w:val="17"/>
        </w:rPr>
        <w:t xml:space="preserve">Ministry of Micro, Small and Medium Enterprises, Government of India, Annual Report 2023–24. New Delhi, India: Government of India, 2024.</w:t>
      </w:r>
    </w:p>
    <w:p>
      <w:pPr>
        <w:spacing w:after="40" w:line="220"/>
        <w:ind w:left="340" w:hanging="340"/>
        <w:jc w:val="both"/>
      </w:pPr>
      <w:r>
        <w:rPr>
          <w:rFonts w:ascii="Times New Roman" w:cs="Times New Roman" w:eastAsia="Times New Roman" w:hAnsi="Times New Roman"/>
          <w:b w:val="false"/>
          <w:bCs w:val="false"/>
          <w:i w:val="false"/>
          <w:iCs w:val="false"/>
          <w:caps w:val="false"/>
          <w:sz w:val="19"/>
          <w:szCs w:val="19"/>
        </w:rPr>
        <w:t xml:space="preserve">[31] </w:t>
      </w:r>
      <w:r>
        <w:rPr>
          <w:rFonts w:ascii="Times New Roman" w:cs="Times New Roman" w:eastAsia="Times New Roman" w:hAnsi="Times New Roman"/>
          <w:b w:val="false"/>
          <w:bCs w:val="false"/>
          <w:i w:val="false"/>
          <w:iCs w:val="false"/>
          <w:caps w:val="false"/>
          <w:sz w:val="17"/>
          <w:szCs w:val="17"/>
        </w:rPr>
        <w:t xml:space="preserve">International Finance Corporation and Intellecap, Financing India's MSMEs: Estimation of Debt Requirement of MSMEs in India. Washington, DC, USA: World Bank Group, 2018.</w:t>
      </w:r>
    </w:p>
    <w:sectPr>
      <w:type w:val="continuous"/>
      <w:pgSz w:w="11906" w:h="16838" w:orient="portrait"/>
      <w:pgMar w:top="1080" w:right="1080" w:bottom="1080" w:left="108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9e36778e8a7f3ee73af5ae381d74b3032b69a3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2026-10-14T16:04:16.090Z</dcterms:created>
  <dcterms:modified xsi:type="dcterms:W3CDTF">2026-10-14T16:04:16.090Z</dcterms:modified>
</cp:coreProperties>
</file>

<file path=docProps/custom.xml><?xml version="1.0" encoding="utf-8"?>
<Properties xmlns="http://schemas.openxmlformats.org/officeDocument/2006/custom-properties" xmlns:vt="http://schemas.openxmlformats.org/officeDocument/2006/docPropsVTypes"/>
</file>