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LatticeSense IQ-40 Environmental Sensor</w:t>
      </w:r>
    </w:p>
    <w:p>
      <w:r>
        <w:rPr>
          <w:color w:val="52514E"/>
          <w:sz w:val="24"/>
        </w:rPr>
        <w:t>Continuous indoor air-quality monitoring for commercial buildings, laboratories, and light industry.</w:t>
      </w:r>
    </w:p>
    <w:p>
      <w:pPr>
        <w:pStyle w:val="Heading1"/>
      </w:pPr>
      <w:r>
        <w:t>Overview</w:t>
      </w:r>
    </w:p>
    <w:p>
      <w:r>
        <w:t>The IQ-40 is Kestrel's fourth-generation ambient sensor node. It samples particulate matter, CO2, VOC, temperature, and relative humidity on a single board and streams calibrated readings over LoRaWAN every 30 seconds. A ten-year field-replaceable battery and tool-free mounting bring installed cost below half that of wired alternatives.</w:t>
      </w:r>
    </w:p>
    <w:p>
      <w:r>
        <w:t>Each unit ships factory-calibrated against NIST-traceable references and re-calibrates optically in the field using Kestrel's drift-model firmware, holding PM2.5 accuracy within ±8% for the service life without bench recalibration.</w:t>
      </w:r>
    </w:p>
    <w:p>
      <w:pPr>
        <w:pStyle w:val="Heading1"/>
      </w:pPr>
      <w:r>
        <w:t>Signal Path</w:t>
      </w:r>
    </w:p>
    <w:p>
      <w:r>
        <w:t>Sensing, aggregation, and uplink are handled on-device; no local gateway software is required beyond a standard LoRaWAN network 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2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40-signal-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IQ-40 acquisition and uplink chain.</w:t>
      </w:r>
    </w:p>
    <w:p>
      <w:pPr>
        <w:pStyle w:val="Heading1"/>
      </w:pPr>
      <w:r>
        <w:t>Key Capabilities</w:t>
      </w:r>
    </w:p>
    <w:p>
      <w:pPr>
        <w:numPr>
          <w:ilvl w:val="0"/>
          <w:numId w:val="10"/>
        </w:numPr>
      </w:pPr>
      <w:r>
        <w:t>Five-parameter sensing (PM2.5, CO2, VOC index, temperature, RH) on one node, one radio licence.</w:t>
      </w:r>
    </w:p>
    <w:p>
      <w:pPr>
        <w:numPr>
          <w:ilvl w:val="0"/>
          <w:numId w:val="10"/>
        </w:numPr>
      </w:pPr>
      <w:r>
        <w:t>30-second reporting interval at a 10-year battery life (2 AA lithium primary cells, field-replaceable).</w:t>
      </w:r>
    </w:p>
    <w:p>
      <w:pPr>
        <w:numPr>
          <w:ilvl w:val="0"/>
          <w:numId w:val="10"/>
        </w:numPr>
      </w:pPr>
      <w:r>
        <w:t>Optical drift compensation — no scheduled bench recalibration over the service life.</w:t>
      </w:r>
    </w:p>
    <w:p>
      <w:pPr>
        <w:numPr>
          <w:ilvl w:val="0"/>
          <w:numId w:val="10"/>
        </w:numPr>
      </w:pPr>
      <w:r>
        <w:t>Native LoRaWAN 1.0.4 with OTAA join; EU868 and US915 SKUs.</w:t>
      </w:r>
    </w:p>
    <w:p>
      <w:pPr>
        <w:numPr>
          <w:ilvl w:val="0"/>
          <w:numId w:val="10"/>
        </w:numPr>
      </w:pPr>
      <w:r>
        <w:t>REST and MQTT delivery from Kestrel Cloud with per-site data residency options.</w:t>
      </w:r>
    </w:p>
    <w:p>
      <w:r>
        <w:t xml:space="preserve">Telemetry is retrievable per device, for example </w:t>
      </w:r>
      <w:r>
        <w:rPr>
          <w:rFonts w:ascii="Courier New" w:hAnsi="Courier New"/>
          <w:sz w:val="19"/>
        </w:rPr>
        <w:t>GET /v1/telemetry?device=iq40-000342&amp;window=24h</w:t>
      </w:r>
      <w:r>
        <w:t xml:space="preserve"> against the site tenant endpoint.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Model Comparison</w:t>
      </w:r>
    </w:p>
    <w:p>
      <w:r>
        <w:t>The table compares the IQ-40 with the prior-generation IQ-25 and the closest competitive node in its price band, the Boreal ES-3.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IQ-40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IQ-25 (prior gen)</w:t>
            </w:r>
          </w:p>
        </w:tc>
        <w:tc>
          <w:tcPr>
            <w:tcW w:type="dxa" w:w="2160"/>
            <w:shd w:val="clear" w:color="auto" w:fill="E2EFDA"/>
          </w:tcPr>
          <w:p>
            <w:r>
              <w:rPr>
                <w:b/>
              </w:rPr>
              <w:t>Boreal ES-3</w:t>
            </w:r>
          </w:p>
        </w:tc>
      </w:tr>
      <w:tr>
        <w:tc>
          <w:tcPr>
            <w:tcW w:type="dxa" w:w="2160"/>
          </w:tcPr>
          <w:p>
            <w:r>
              <w:t>Sensed parameters</w:t>
            </w:r>
          </w:p>
        </w:tc>
        <w:tc>
          <w:tcPr>
            <w:tcW w:type="dxa" w:w="2160"/>
          </w:tcPr>
          <w:p>
            <w:r>
              <w:t>PM2.5, CO2, VOC, T, RH</w:t>
            </w:r>
          </w:p>
        </w:tc>
        <w:tc>
          <w:tcPr>
            <w:tcW w:type="dxa" w:w="2160"/>
          </w:tcPr>
          <w:p>
            <w:r>
              <w:t>CO2, T, RH</w:t>
            </w:r>
          </w:p>
        </w:tc>
        <w:tc>
          <w:tcPr>
            <w:tcW w:type="dxa" w:w="2160"/>
          </w:tcPr>
          <w:p>
            <w:r>
              <w:t>PM2.5, CO2, T, RH</w:t>
            </w:r>
          </w:p>
        </w:tc>
      </w:tr>
      <w:tr>
        <w:tc>
          <w:tcPr>
            <w:tcW w:type="dxa" w:w="2160"/>
          </w:tcPr>
          <w:p>
            <w:r>
              <w:t>Reporting interval</w:t>
            </w:r>
          </w:p>
        </w:tc>
        <w:tc>
          <w:tcPr>
            <w:tcW w:type="dxa" w:w="2160"/>
          </w:tcPr>
          <w:p>
            <w:r>
              <w:t>30 s</w:t>
            </w:r>
          </w:p>
        </w:tc>
        <w:tc>
          <w:tcPr>
            <w:tcW w:type="dxa" w:w="2160"/>
          </w:tcPr>
          <w:p>
            <w:r>
              <w:t>120 s</w:t>
            </w:r>
          </w:p>
        </w:tc>
        <w:tc>
          <w:tcPr>
            <w:tcW w:type="dxa" w:w="2160"/>
          </w:tcPr>
          <w:p>
            <w:r>
              <w:t>60 s</w:t>
            </w:r>
          </w:p>
        </w:tc>
      </w:tr>
      <w:tr>
        <w:tc>
          <w:tcPr>
            <w:tcW w:type="dxa" w:w="2160"/>
          </w:tcPr>
          <w:p>
            <w:r>
              <w:t>Battery life</w:t>
            </w:r>
          </w:p>
        </w:tc>
        <w:tc>
          <w:tcPr>
            <w:tcW w:type="dxa" w:w="2160"/>
          </w:tcPr>
          <w:p>
            <w:r>
              <w:t>10 years</w:t>
            </w:r>
          </w:p>
        </w:tc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3 years</w:t>
            </w:r>
          </w:p>
        </w:tc>
      </w:tr>
      <w:tr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LoRaWAN 1.0.4</w:t>
            </w:r>
          </w:p>
        </w:tc>
        <w:tc>
          <w:tcPr>
            <w:tcW w:type="dxa" w:w="2160"/>
          </w:tcPr>
          <w:p>
            <w:r>
              <w:t>LoRaWAN 1.0.2</w:t>
            </w:r>
          </w:p>
        </w:tc>
        <w:tc>
          <w:tcPr>
            <w:tcW w:type="dxa" w:w="2160"/>
          </w:tcPr>
          <w:p>
            <w:r>
              <w:t>Wi-Fi 4</w:t>
            </w:r>
          </w:p>
        </w:tc>
      </w:tr>
      <w:tr>
        <w:tc>
          <w:tcPr>
            <w:tcW w:type="dxa" w:w="2160"/>
          </w:tcPr>
          <w:p>
            <w:r>
              <w:t>Field recalibration</w:t>
            </w:r>
          </w:p>
        </w:tc>
        <w:tc>
          <w:tcPr>
            <w:tcW w:type="dxa" w:w="2160"/>
          </w:tcPr>
          <w:p>
            <w:r>
              <w:t>Not required (optical drift model)</w:t>
            </w:r>
          </w:p>
        </w:tc>
        <w:tc>
          <w:tcPr>
            <w:tcW w:type="dxa" w:w="2160"/>
          </w:tcPr>
          <w:p>
            <w:r>
              <w:t>Every 24 months</w:t>
            </w:r>
          </w:p>
        </w:tc>
        <w:tc>
          <w:tcPr>
            <w:tcW w:type="dxa" w:w="2160"/>
          </w:tcPr>
          <w:p>
            <w:r>
              <w:t>Every 12 months</w:t>
            </w:r>
          </w:p>
        </w:tc>
      </w:tr>
      <w:tr>
        <w:tc>
          <w:tcPr>
            <w:tcW w:type="dxa" w:w="2160"/>
          </w:tcPr>
          <w:p>
            <w:r>
              <w:t>Ingress rating</w:t>
            </w:r>
          </w:p>
        </w:tc>
        <w:tc>
          <w:tcPr>
            <w:tcW w:type="dxa" w:w="2160"/>
          </w:tcPr>
          <w:p>
            <w:r>
              <w:t>IP54</w:t>
            </w:r>
          </w:p>
        </w:tc>
        <w:tc>
          <w:tcPr>
            <w:tcW w:type="dxa" w:w="2160"/>
          </w:tcPr>
          <w:p>
            <w:r>
              <w:t>IP42</w:t>
            </w:r>
          </w:p>
        </w:tc>
        <w:tc>
          <w:tcPr>
            <w:tcW w:type="dxa" w:w="2160"/>
          </w:tcPr>
          <w:p>
            <w:r>
              <w:t>IP40</w:t>
            </w:r>
          </w:p>
        </w:tc>
      </w:tr>
      <w:tr>
        <w:tc>
          <w:tcPr>
            <w:tcW w:type="dxa" w:w="2160"/>
          </w:tcPr>
          <w:p>
            <w:r>
              <w:t>List price (100+ units)</w:t>
            </w:r>
          </w:p>
        </w:tc>
        <w:tc>
          <w:tcPr>
            <w:tcW w:type="dxa" w:w="2160"/>
          </w:tcPr>
          <w:p>
            <w:r>
              <w:t>USD 148</w:t>
            </w:r>
          </w:p>
        </w:tc>
        <w:tc>
          <w:tcPr>
            <w:tcW w:type="dxa" w:w="2160"/>
          </w:tcPr>
          <w:p>
            <w:r>
              <w:t>USD 129</w:t>
            </w:r>
          </w:p>
        </w:tc>
        <w:tc>
          <w:tcPr>
            <w:tcW w:type="dxa" w:w="2160"/>
          </w:tcPr>
          <w:p>
            <w:r>
              <w:t>USD 165</w:t>
            </w:r>
          </w:p>
        </w:tc>
      </w:tr>
    </w:tbl>
    <w:p/>
    <w:p>
      <w:pPr>
        <w:pStyle w:val="Heading1"/>
      </w:pPr>
      <w:r>
        <w:t>Availability</w:t>
      </w:r>
    </w:p>
    <w:p>
      <w:r>
        <w:t>EU868 units ship from stock; US915 units ship from week 36. Evaluation kits (three nodes, one indoor gateway, 90-day cloud tenancy) are available through certified integration partners. Volume pricing and the integration guide are provided under NDA by regional sales.</w:t>
      </w:r>
    </w:p>
    <w:p>
      <w:r>
        <w:rPr>
          <w:sz w:val="16"/>
        </w:rPr>
        <w:t>Kestrel Instruments is a fictional company; this brief is synthetic test content and does not describe a real product.</w:t>
      </w:r>
    </w:p>
    <w:sectPr w:rsidR="00FC693F" w:rsidRPr="0006063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514E"/>
        <w:sz w:val="18"/>
      </w:rPr>
      <w:t>Kestrel Instruments · Product Brief · Rev C (July 2026)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514E"/>
        <w:sz w:val="18"/>
      </w:rPr>
      <w:t>LatticeSense IQ-40 · Technical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LatticeSense IQ-40 — Product Brief</dc:title>
  <dc:subject/>
  <dc:creator>Kestrel Instruments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