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MASTER SERVICES AGREEMENT</w:t>
      </w:r>
    </w:p>
    <w:p>
      <w:pPr>
        <w:jc w:val="center"/>
      </w:pPr>
      <w:r>
        <w:rPr>
          <w:sz w:val="20"/>
        </w:rPr>
        <w:t>Agreement No. HDS/MSA/2026/0147</w:t>
      </w:r>
    </w:p>
    <w:p>
      <w:pPr>
        <w:jc w:val="both"/>
      </w:pPr>
      <w:r>
        <w:t>This Master Services Agreement (the "Agreement") is entered into on 1 August 2026 (the "Effective Date") between Halvorsen Data Systems Private Limited, a company incorporated under the Companies Act, 2013, having its registered office at Plot 17, Electronic City Phase II, Bengaluru 560100 ("Halvorsen"), and Ashford &amp; Bray Consulting LLP, a limited liability partnership having its principal place of business at 402 Cathedral Chambers, Fort, Mumbai 400001 ("Consultant"). Halvorsen and Consultant are each a "Party" and together the "Parties".</w:t>
      </w:r>
    </w:p>
    <w:p>
      <w:pPr>
        <w:jc w:val="both"/>
      </w:pPr>
      <w:r>
        <w:t>WHEREAS Halvorsen wishes to procure data-platform advisory and implementation services, and the Consultant represents that it holds the professional competence and resources to render such services, the Parties agree as follows:</w:t>
      </w:r>
    </w:p>
    <w:p>
      <w:pPr>
        <w:numPr>
          <w:ilvl w:val="0"/>
          <w:numId w:val="10"/>
        </w:numPr>
        <w:spacing w:before="200" w:after="80"/>
      </w:pPr>
      <w:r>
        <w:rPr>
          <w:b/>
        </w:rPr>
        <w:t>Definitions and Interpretation</w:t>
      </w:r>
    </w:p>
    <w:p>
      <w:pPr>
        <w:numPr>
          <w:ilvl w:val="1"/>
          <w:numId w:val="10"/>
        </w:numPr>
        <w:spacing w:after="80"/>
        <w:jc w:val="both"/>
      </w:pPr>
      <w:r>
        <w:t>"Services" means the advisory, design, and implementation services described in a Statement of Work executed under this Agreement, including Deliverables and any agreed change orders.</w:t>
      </w:r>
    </w:p>
    <w:p>
      <w:pPr>
        <w:numPr>
          <w:ilvl w:val="1"/>
          <w:numId w:val="10"/>
        </w:numPr>
        <w:spacing w:after="80"/>
        <w:jc w:val="both"/>
      </w:pPr>
      <w:r>
        <w:t>"Statement of Work" or "SOW" means a written work order that references this Agreement, describes the Services, Deliverables, schedule, and Fees, and is signed by both Parties.</w:t>
      </w:r>
    </w:p>
    <w:p>
      <w:pPr>
        <w:numPr>
          <w:ilvl w:val="1"/>
          <w:numId w:val="10"/>
        </w:numPr>
        <w:spacing w:after="80"/>
        <w:jc w:val="both"/>
      </w:pPr>
      <w:r>
        <w:t>"Deliverables" means the reports, designs, source code, configurations, and documentation identified as deliverables in the applicable SOW.</w:t>
      </w:r>
    </w:p>
    <w:p>
      <w:pPr>
        <w:numPr>
          <w:ilvl w:val="1"/>
          <w:numId w:val="10"/>
        </w:numPr>
        <w:spacing w:after="80"/>
        <w:jc w:val="both"/>
      </w:pPr>
      <w:r>
        <w:t>"Fees" means the charges stated in the applicable SOW, exclusive of applicable taxes unless expressly stated otherwise.</w:t>
      </w:r>
    </w:p>
    <w:p>
      <w:pPr>
        <w:numPr>
          <w:ilvl w:val="1"/>
          <w:numId w:val="10"/>
        </w:numPr>
        <w:spacing w:after="80"/>
        <w:jc w:val="both"/>
      </w:pPr>
      <w:r>
        <w:t>"Confidential Information" means non-public information disclosed by one Party to the other that is marked confidential or would reasonably be understood to be confidential, including customer data, pricing, roadmaps, and security architecture.</w:t>
      </w:r>
    </w:p>
    <w:p>
      <w:pPr>
        <w:numPr>
          <w:ilvl w:val="1"/>
          <w:numId w:val="10"/>
        </w:numPr>
        <w:spacing w:after="80"/>
        <w:jc w:val="both"/>
      </w:pPr>
      <w:r>
        <w:t>Headings are for convenience only. References to clauses are to clauses of this Agreement unless a SOW states otherwise; in the event of conflict, this Agreement prevails over a SOW except where the SOW expressly amends a named clause.</w:t>
      </w:r>
    </w:p>
    <w:p>
      <w:pPr>
        <w:numPr>
          <w:ilvl w:val="0"/>
          <w:numId w:val="10"/>
        </w:numPr>
        <w:spacing w:before="200" w:after="80"/>
      </w:pPr>
      <w:r>
        <w:rPr>
          <w:b/>
        </w:rPr>
        <w:t>Scope of Services</w:t>
      </w:r>
    </w:p>
    <w:p>
      <w:pPr>
        <w:numPr>
          <w:ilvl w:val="1"/>
          <w:numId w:val="10"/>
        </w:numPr>
        <w:spacing w:after="80"/>
        <w:jc w:val="both"/>
      </w:pPr>
      <w:r>
        <w:t>The Consultant shall perform the Services described in each SOW with reasonable skill and care, in accordance with good industry practice and Halvorsen's information-security policies notified in writing from time to time.</w:t>
      </w:r>
    </w:p>
    <w:p>
      <w:pPr>
        <w:numPr>
          <w:ilvl w:val="1"/>
          <w:numId w:val="10"/>
        </w:numPr>
        <w:spacing w:after="80"/>
        <w:jc w:val="both"/>
      </w:pPr>
      <w:r>
        <w:t>Neither Party is obliged to execute any SOW. Each executed SOW forms a separate contract incorporating this Agreement. Changes to an executed SOW are effective only through a written change order signed by both Parties.</w:t>
      </w:r>
    </w:p>
    <w:p>
      <w:pPr>
        <w:numPr>
          <w:ilvl w:val="0"/>
          <w:numId w:val="10"/>
        </w:numPr>
        <w:spacing w:before="200" w:after="80"/>
      </w:pPr>
      <w:r>
        <w:rPr>
          <w:b/>
        </w:rPr>
        <w:t>Fees, Invoicing, and Payment</w:t>
      </w:r>
    </w:p>
    <w:p>
      <w:pPr>
        <w:numPr>
          <w:ilvl w:val="1"/>
          <w:numId w:val="10"/>
        </w:numPr>
        <w:spacing w:after="80"/>
        <w:jc w:val="both"/>
      </w:pPr>
      <w:r>
        <w:t>The Consultant shall invoice Fees monthly in arrears against the milestones or time-and-materials records specified in the SOW. Each invoice shall carry the SOW reference, purchase-order number, and GST particulars.</w:t>
      </w:r>
    </w:p>
    <w:p>
      <w:pPr>
        <w:numPr>
          <w:ilvl w:val="1"/>
          <w:numId w:val="10"/>
        </w:numPr>
        <w:spacing w:after="80"/>
        <w:jc w:val="both"/>
      </w:pPr>
      <w:r>
        <w:t>Undisputed invoices are payable within thirty (30) days of receipt by electronic transfer. Halvorsen may withhold amounts disputed in good faith, provided it notifies the dispute within ten (10) business days and pays the undisputed balance.</w:t>
      </w:r>
    </w:p>
    <w:p>
      <w:pPr>
        <w:numPr>
          <w:ilvl w:val="1"/>
          <w:numId w:val="10"/>
        </w:numPr>
        <w:spacing w:after="80"/>
        <w:jc w:val="both"/>
      </w:pPr>
      <w:r>
        <w:t>Late payment of undisputed amounts bears simple interest at 1% per month or the maximum lawful rate, whichever is lower.</w:t>
      </w:r>
    </w:p>
    <w:p>
      <w:pPr>
        <w:numPr>
          <w:ilvl w:val="0"/>
          <w:numId w:val="10"/>
        </w:numPr>
        <w:spacing w:before="200" w:after="80"/>
      </w:pPr>
      <w:r>
        <w:rPr>
          <w:b/>
        </w:rPr>
        <w:t>Term and Termination</w:t>
      </w:r>
    </w:p>
    <w:p>
      <w:pPr>
        <w:numPr>
          <w:ilvl w:val="1"/>
          <w:numId w:val="10"/>
        </w:numPr>
        <w:spacing w:after="80"/>
        <w:jc w:val="both"/>
      </w:pPr>
      <w:r>
        <w:t>This Agreement commences on the Effective Date and continues for an initial term of two (2) years, renewing automatically for successive one-year periods unless either Party gives sixty (60) days' written notice of non-renewal.</w:t>
      </w:r>
    </w:p>
    <w:p>
      <w:pPr>
        <w:numPr>
          <w:ilvl w:val="1"/>
          <w:numId w:val="10"/>
        </w:numPr>
        <w:spacing w:after="80"/>
        <w:jc w:val="both"/>
      </w:pPr>
      <w:r>
        <w:t>Either Party may terminate this Agreement or an affected SOW for material breach not cured within thirty (30) days of written notice, or immediately on the other Party's insolvency. Halvorsen may terminate a SOW for convenience on thirty (30) days' notice, paying Fees accrued to the termination date plus committed non-cancellable expenses.</w:t>
      </w:r>
    </w:p>
    <w:p>
      <w:pPr>
        <w:numPr>
          <w:ilvl w:val="1"/>
          <w:numId w:val="10"/>
        </w:numPr>
        <w:spacing w:after="80"/>
        <w:jc w:val="both"/>
      </w:pPr>
      <w:r>
        <w:t>Clauses 5, 6, 7, and 8 survive termination or expiry of this Agreement.</w:t>
      </w:r>
    </w:p>
    <w:p>
      <w:pPr>
        <w:numPr>
          <w:ilvl w:val="0"/>
          <w:numId w:val="10"/>
        </w:numPr>
        <w:spacing w:before="200" w:after="80"/>
      </w:pPr>
      <w:r>
        <w:rPr>
          <w:b/>
        </w:rPr>
        <w:t>Confidentiality</w:t>
      </w:r>
    </w:p>
    <w:p>
      <w:pPr>
        <w:numPr>
          <w:ilvl w:val="1"/>
          <w:numId w:val="10"/>
        </w:numPr>
        <w:spacing w:after="80"/>
        <w:jc w:val="both"/>
      </w:pPr>
      <w:r>
        <w:t>Each Party shall use the other's Confidential Information solely to perform this Agreement, protect it with at least the care it applies to its own information of like nature (and no less than reasonable care), and limit access to personnel bound by confidentiality obligations no weaker than these.</w:t>
      </w:r>
    </w:p>
    <w:p>
      <w:pPr>
        <w:numPr>
          <w:ilvl w:val="1"/>
          <w:numId w:val="10"/>
        </w:numPr>
        <w:spacing w:after="80"/>
        <w:jc w:val="both"/>
      </w:pPr>
      <w:r>
        <w:t>These obligations do not apply to information that is or becomes public without breach, was lawfully known before disclosure, is independently developed, or must be disclosed by law, provided the disclosing Party is notified where lawful. The obligations continue for five (5) years after termination.</w:t>
      </w:r>
    </w:p>
    <w:p>
      <w:pPr>
        <w:numPr>
          <w:ilvl w:val="0"/>
          <w:numId w:val="10"/>
        </w:numPr>
        <w:spacing w:before="200" w:after="80"/>
      </w:pPr>
      <w:r>
        <w:rPr>
          <w:b/>
        </w:rPr>
        <w:t>Intellectual Property</w:t>
      </w:r>
    </w:p>
    <w:p>
      <w:pPr>
        <w:numPr>
          <w:ilvl w:val="1"/>
          <w:numId w:val="10"/>
        </w:numPr>
        <w:spacing w:after="80"/>
        <w:jc w:val="both"/>
      </w:pPr>
      <w:r>
        <w:t>On payment of the applicable Fees, Deliverables are assigned to Halvorsen. The Consultant retains its pre-existing materials and generic know-how, and grants Halvorsen a perpetual, royalty-free, non-exclusive licence to use such pre-existing materials as embedded in the Deliverables.</w:t>
      </w:r>
    </w:p>
    <w:p>
      <w:pPr>
        <w:numPr>
          <w:ilvl w:val="0"/>
          <w:numId w:val="10"/>
        </w:numPr>
        <w:spacing w:before="200" w:after="80"/>
      </w:pPr>
      <w:r>
        <w:rPr>
          <w:b/>
        </w:rPr>
        <w:t>Limitation of Liability</w:t>
      </w:r>
    </w:p>
    <w:p>
      <w:pPr>
        <w:numPr>
          <w:ilvl w:val="1"/>
          <w:numId w:val="10"/>
        </w:numPr>
        <w:spacing w:after="80"/>
        <w:jc w:val="both"/>
      </w:pPr>
      <w:r>
        <w:t>Neither Party is liable for loss of profit, revenue, or data, or for indirect or consequential loss. Each Party's aggregate liability under a SOW is capped at the Fees paid or payable under that SOW in the twelve (12) months preceding the claim.</w:t>
      </w:r>
    </w:p>
    <w:p>
      <w:pPr>
        <w:numPr>
          <w:ilvl w:val="1"/>
          <w:numId w:val="10"/>
        </w:numPr>
        <w:spacing w:after="80"/>
        <w:jc w:val="both"/>
      </w:pPr>
      <w:r>
        <w:t>The cap does not apply to liability for breach of clause 5, infringement of third-party intellectual property, fraud, or amounts properly payable under clause 3.</w:t>
      </w:r>
    </w:p>
    <w:p>
      <w:pPr>
        <w:numPr>
          <w:ilvl w:val="0"/>
          <w:numId w:val="10"/>
        </w:numPr>
        <w:spacing w:before="200" w:after="80"/>
      </w:pPr>
      <w:r>
        <w:rPr>
          <w:b/>
        </w:rPr>
        <w:t>Governing Law and Disputes</w:t>
      </w:r>
    </w:p>
    <w:p>
      <w:pPr>
        <w:numPr>
          <w:ilvl w:val="1"/>
          <w:numId w:val="10"/>
        </w:numPr>
        <w:spacing w:after="80"/>
        <w:jc w:val="both"/>
      </w:pPr>
      <w:r>
        <w:t>This Agreement is governed by the laws of India. Courts at Bengaluru have exclusive jurisdiction, subject to arbitration of disputes exceeding INR 25 lakh under the Arbitration and Conciliation Act, 1996, seat Bengaluru, single arbitrator appointed jointly.</w:t>
      </w:r>
    </w:p>
    <w:p/>
    <w:p>
      <w:pPr>
        <w:jc w:val="both"/>
      </w:pPr>
      <w:r>
        <w:t>IN WITNESS WHEREOF the Parties have executed this Agreement by their duly authorised signatories as of the Effective Date.</w:t>
      </w:r>
    </w:p>
    <w:p/>
    <w:tbl>
      <w:tblPr>
        <w:tblStyle w:val="TableGrid"/>
        <w:tblW w:type="auto" w:w="0"/>
        <w:tblLook w:firstColumn="1" w:firstRow="1" w:lastColumn="0" w:lastRow="0" w:noHBand="0" w:noVBand="1" w:val="04A0"/>
      </w:tblPr>
      <w:tblGrid>
        <w:gridCol w:w="4320"/>
        <w:gridCol w:w="4320"/>
      </w:tblGrid>
      <w:tr>
        <w:tc>
          <w:tcPr>
            <w:tcW w:type="dxa" w:w="4320"/>
          </w:tcPr>
          <w:p>
            <w:r>
              <w:rPr>
                <w:b/>
              </w:rPr>
              <w:t>For Halvorsen Data Systems Private Limited</w:t>
            </w:r>
          </w:p>
        </w:tc>
        <w:tc>
          <w:tcPr>
            <w:tcW w:type="dxa" w:w="4320"/>
          </w:tcPr>
          <w:p>
            <w:r>
              <w:rPr>
                <w:b/>
              </w:rPr>
              <w:t>For Ashford &amp; Bray Consulting LLP</w:t>
            </w:r>
          </w:p>
        </w:tc>
      </w:tr>
      <w:tr>
        <w:tc>
          <w:tcPr>
            <w:tcW w:type="dxa" w:w="4320"/>
          </w:tcPr>
          <w:p>
            <w:pPr>
              <w:spacing w:before="120" w:after="360"/>
            </w:pPr>
            <w:r>
              <w:t>Signature:</w:t>
            </w:r>
          </w:p>
        </w:tc>
        <w:tc>
          <w:tcPr>
            <w:tcW w:type="dxa" w:w="4320"/>
          </w:tcPr>
          <w:p>
            <w:pPr>
              <w:spacing w:before="120" w:after="360"/>
            </w:pPr>
            <w:r>
              <w:t>Signature:</w:t>
            </w:r>
          </w:p>
        </w:tc>
      </w:tr>
      <w:tr>
        <w:tc>
          <w:tcPr>
            <w:tcW w:type="dxa" w:w="4320"/>
          </w:tcPr>
          <w:p>
            <w:pPr>
              <w:spacing w:before="120" w:after="360"/>
            </w:pPr>
            <w:r>
              <w:t>Name: Priya Raghunathan</w:t>
            </w:r>
          </w:p>
        </w:tc>
        <w:tc>
          <w:tcPr>
            <w:tcW w:type="dxa" w:w="4320"/>
          </w:tcPr>
          <w:p>
            <w:pPr>
              <w:spacing w:before="120" w:after="360"/>
            </w:pPr>
            <w:r>
              <w:t>Name: Daniel Ashford</w:t>
            </w:r>
          </w:p>
        </w:tc>
      </w:tr>
      <w:tr>
        <w:tc>
          <w:tcPr>
            <w:tcW w:type="dxa" w:w="4320"/>
          </w:tcPr>
          <w:p>
            <w:pPr>
              <w:spacing w:before="120" w:after="360"/>
            </w:pPr>
            <w:r>
              <w:t>Title: Chief Operating Officer</w:t>
            </w:r>
          </w:p>
        </w:tc>
        <w:tc>
          <w:tcPr>
            <w:tcW w:type="dxa" w:w="4320"/>
          </w:tcPr>
          <w:p>
            <w:pPr>
              <w:spacing w:before="120" w:after="360"/>
            </w:pPr>
            <w:r>
              <w:t>Title: Managing Partner</w:t>
            </w:r>
          </w:p>
        </w:tc>
      </w:tr>
      <w:tr>
        <w:tc>
          <w:tcPr>
            <w:tcW w:type="dxa" w:w="4320"/>
          </w:tcPr>
          <w:p>
            <w:pPr>
              <w:spacing w:before="120" w:after="360"/>
            </w:pPr>
            <w:r>
              <w:t>Date:</w:t>
            </w:r>
          </w:p>
        </w:tc>
        <w:tc>
          <w:tcPr>
            <w:tcW w:type="dxa" w:w="4320"/>
          </w:tcPr>
          <w:p>
            <w:pPr>
              <w:spacing w:before="120" w:after="360"/>
            </w:pPr>
            <w:r>
              <w:t>Date:</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HDS/MSA/2026/0147   </w:t>
    </w:r>
    <w:r>
      <w:rPr>
        <w:sz w:val="18"/>
      </w:rPr>
      <w:t xml:space="preserve">Page </w:t>
    </w:r>
    <w:r>
      <w:fldChar w:fldCharType="begin"/>
    </w:r>
    <w:r>
      <w:instrText xml:space="preserve"> PAGE </w:instrText>
    </w:r>
    <w:r>
      <w:fldChar w:fldCharType="separate"/>
    </w:r>
    <w:r>
      <w:t>1</w:t>
    </w:r>
    <w:r>
      <w:fldChar w:fldCharType="end"/>
    </w:r>
    <w:r>
      <w:rPr>
        <w:sz w:val="18"/>
      </w:rPr>
      <w:t xml:space="preserve"> of </w:t>
    </w:r>
    <w:r>
      <w:fldChar w:fldCharType="begin"/>
    </w:r>
    <w:r>
      <w:instrText xml:space="preserve"> NUMPAGES </w:instrText>
    </w:r>
    <w:r>
      <w:fldChar w:fldCharType="separate"/>
    </w:r>
    <w:r>
      <w:t>4</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multilevel"/>
    <w:lvl w:ilvl="0">
      <w:start w:val="1"/>
      <w:numFmt w:val="decimal"/>
      <w:lvlText w:val="%1."/>
      <w:lvlJc w:val="left"/>
      <w:pPr>
        <w:ind w:left="432" w:hanging="432"/>
      </w:pPr>
    </w:lvl>
    <w:lvl w:ilvl="1">
      <w:start w:val="1"/>
      <w:numFmt w:val="decimal"/>
      <w:lvlText w:val="%1.%2"/>
      <w:lvlJc w:val="left"/>
      <w:pPr>
        <w:ind w:left="864" w:hanging="432"/>
      </w:pPr>
    </w:lvl>
    <w:lvl w:ilvl="2">
      <w:start w:val="1"/>
      <w:numFmt w:val="decimal"/>
      <w:lvlText w:val="%1.%2.%3"/>
      <w:lvlJc w:val="left"/>
      <w:pPr>
        <w:ind w:left="1296" w:hanging="432"/>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Services Agreement</dc:title>
  <dc:subject/>
  <dc:creator>Halvorsen Data Systems Private Limited</dc:creator>
  <cp:keywords/>
  <dc:description>generated by python-docx</dc:description>
  <cp:lastModifiedBy/>
  <cp:revision>1</cp:revision>
  <dcterms:created xsi:type="dcterms:W3CDTF">2013-12-23T23:15:00Z</dcterms:created>
  <dcterms:modified xsi:type="dcterms:W3CDTF">2013-12-23T23:15:00Z</dcterms:modified>
  <cp:category/>
</cp:coreProperties>
</file>