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20" w:before="0"/>
        <w:jc w:val="center"/>
      </w:pPr>
      <w:r>
        <w:rPr>
          <w:rFonts w:ascii="Arial" w:cs="Arial" w:eastAsia="Arial" w:hAnsi="Arial"/>
          <w:b/>
          <w:bCs/>
          <w:color w:val="1A3C5E"/>
          <w:sz w:val="72"/>
          <w:szCs w:val="72"/>
        </w:rPr>
        <w:t xml:space="preserve">reviewflo.in</w:t>
      </w:r>
    </w:p>
    <w:p>
      <w:pPr>
        <w:spacing w:after="80" w:before="0"/>
        <w:jc w:val="center"/>
      </w:pPr>
      <w:r>
        <w:rPr>
          <w:rFonts w:ascii="Arial" w:cs="Arial" w:eastAsia="Arial" w:hAnsi="Arial"/>
          <w:color w:val="2E86AB"/>
          <w:sz w:val="36"/>
          <w:szCs w:val="36"/>
        </w:rPr>
        <w:t xml:space="preserve">Legal &amp; Policy Documentation</w:t>
      </w:r>
    </w:p>
    <w:p>
      <w:pPr>
        <w:spacing w:after="600" w:before="0"/>
        <w:jc w:val="center"/>
      </w:pPr>
      <w:r>
        <w:rPr>
          <w:rFonts w:ascii="Arial" w:cs="Arial" w:eastAsia="Arial" w:hAnsi="Arial"/>
          <w:i/>
          <w:iCs/>
          <w:color w:val="4A4A4A"/>
          <w:sz w:val="28"/>
          <w:szCs w:val="28"/>
        </w:rPr>
        <w:t xml:space="preserve">Website Name Review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1 January 2025</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Last Updated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22 June 2026</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Governing Jurisdiction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India (primary); GDPR &amp; global user rights honoured</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Website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https://reviewflo.in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Contact Email</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legal@reviewflo.in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Registered Address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[Company Registered Address], India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Documents Included</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Privacy Policy · Cookies Policy · Refund Policy · Terms of Service</w:t>
            </w:r>
          </w:p>
        </w:tc>
      </w:tr>
    </w:tbl>
    <w:p>
      <w:pPr>
        <w:spacing w:after="40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This document is intended for all visitors and customers of reviewflo.in. Please read it carefully before using our services. If you have questions, contact us at legal@reviewflo.in.</w:t>
      </w:r>
    </w:p>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QUICK SUMMARY — KEY POINTS AT A GLANCE</w:t>
      </w:r>
    </w:p>
    <w:p>
      <w:pPr>
        <w:spacing w:after="120" w:before="0"/>
      </w:pPr>
    </w:p>
    <w:p>
      <w:pPr>
        <w:spacing w:after="60" w:before="60"/>
        <w:jc w:val="both"/>
      </w:pPr>
      <w:r>
        <w:rPr>
          <w:rFonts w:ascii="Arial" w:cs="Arial" w:eastAsia="Arial" w:hAnsi="Arial"/>
          <w:color w:val="4A4A4A"/>
          <w:sz w:val="21"/>
          <w:szCs w:val="21"/>
        </w:rPr>
        <w:t xml:space="preserve">This summary is for convenience only. The full text of each policy below is the legally binding version.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What we do</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We sell professional website name reviews — analysing domain names, brand fit, memorability, and market potential.</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Data we collect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Name, email, payment data (via gateway), website URL submitted for review, and standard usage analytics.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Why we collect it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To process orders, deliver review reports, improve our service, and meet legal obligations.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Who we share with</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Payment processors, cloud infrastructure providers, and analytics partners — never sold to third parties.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Your rights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Access, correct, delete, and export your data. Withdraw consent. Lodge complaints with your data authority.</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Cookies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Essential, analytics, and preference cookies used. You may opt out of non-essential cookies.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Refunds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7-day refund window for undelivered reviews. No refund once a review report has been delivered or if a sale arose from code-theft concerns (see Refund Policy §3.4).</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Governing law</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Laws of India; IT Act 2000, DPDP Act 2023, and international equivalents where applicable.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Updates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Material changes notified by email 30 days in advance.</w:t>
            </w:r>
          </w:p>
        </w:tc>
      </w:tr>
    </w:tbl>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PART 1 — PRIVACY POLICY</w:t>
      </w:r>
    </w:p>
    <w:p>
      <w:pPr>
        <w:spacing w:after="12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Effective Date: 1 January 2025  |  Last Reviewed: 22 June 2026  |  Version: 2.0</w:t>
      </w:r>
    </w:p>
    <w:p>
      <w:pPr>
        <w:pStyle w:val="Heading2"/>
        <w:pBdr>
          <w:bottom w:val="single" w:color="2E86AB" w:sz="6" w:space="2"/>
        </w:pBdr>
        <w:spacing w:after="120" w:before="300"/>
      </w:pPr>
      <w:r>
        <w:rPr>
          <w:rFonts w:ascii="Arial" w:cs="Arial" w:eastAsia="Arial" w:hAnsi="Arial"/>
          <w:b/>
          <w:bCs/>
          <w:color w:val="1A3C5E"/>
          <w:sz w:val="26"/>
          <w:szCs w:val="26"/>
        </w:rPr>
        <w:t xml:space="preserve">1. Introduction and Who We Are</w:t>
      </w:r>
    </w:p>
    <w:p>
      <w:pPr>
        <w:spacing w:after="60" w:before="60"/>
        <w:jc w:val="both"/>
      </w:pPr>
      <w:r>
        <w:rPr>
          <w:rFonts w:ascii="Arial" w:cs="Arial" w:eastAsia="Arial" w:hAnsi="Arial"/>
          <w:color w:val="4A4A4A"/>
          <w:sz w:val="21"/>
          <w:szCs w:val="21"/>
        </w:rPr>
        <w:t xml:space="preserve">reviewflo.in ('we', 'us', 'our') is a digital services business that provides professional website name review services to individuals and businesses worldwide. This Privacy Policy explains how we collect, use, store, share, and protect personal data when you visit https://reviewflo.in or purchase our services.</w:t>
      </w:r>
    </w:p>
    <w:p>
      <w:pPr>
        <w:spacing w:after="60" w:before="60"/>
        <w:jc w:val="both"/>
      </w:pPr>
      <w:r>
        <w:rPr>
          <w:rFonts w:ascii="Arial" w:cs="Arial" w:eastAsia="Arial" w:hAnsi="Arial"/>
          <w:color w:val="4A4A4A"/>
          <w:sz w:val="21"/>
          <w:szCs w:val="21"/>
        </w:rPr>
        <w:t xml:space="preserve">We are committed to protecting your privacy in accordance with:</w:t>
      </w:r>
    </w:p>
    <w:p>
      <w:pPr>
        <w:pStyle w:val="ListParagraph"/>
        <w:numPr>
          <w:ilvl w:val="0"/>
          <w:numId w:val="2"/>
        </w:numPr>
        <w:spacing w:after="40" w:before="40"/>
      </w:pPr>
      <w:r>
        <w:rPr>
          <w:rFonts w:ascii="Arial" w:cs="Arial" w:eastAsia="Arial" w:hAnsi="Arial"/>
          <w:color w:val="4A4A4A"/>
          <w:sz w:val="21"/>
          <w:szCs w:val="21"/>
        </w:rPr>
        <w:t xml:space="preserve">The Digital Personal Data Protection Act, 2023 (India DPDP Act)</w:t>
      </w:r>
    </w:p>
    <w:p>
      <w:pPr>
        <w:pStyle w:val="ListParagraph"/>
        <w:numPr>
          <w:ilvl w:val="0"/>
          <w:numId w:val="2"/>
        </w:numPr>
        <w:spacing w:after="40" w:before="40"/>
      </w:pPr>
      <w:r>
        <w:rPr>
          <w:rFonts w:ascii="Arial" w:cs="Arial" w:eastAsia="Arial" w:hAnsi="Arial"/>
          <w:color w:val="4A4A4A"/>
          <w:sz w:val="21"/>
          <w:szCs w:val="21"/>
        </w:rPr>
        <w:t xml:space="preserve">The Information Technology Act, 2000 and IT (Amendment) Act, 2008 (India)</w:t>
      </w:r>
    </w:p>
    <w:p>
      <w:pPr>
        <w:pStyle w:val="ListParagraph"/>
        <w:numPr>
          <w:ilvl w:val="0"/>
          <w:numId w:val="2"/>
        </w:numPr>
        <w:spacing w:after="40" w:before="40"/>
      </w:pPr>
      <w:r>
        <w:rPr>
          <w:rFonts w:ascii="Arial" w:cs="Arial" w:eastAsia="Arial" w:hAnsi="Arial"/>
          <w:color w:val="4A4A4A"/>
          <w:sz w:val="21"/>
          <w:szCs w:val="21"/>
        </w:rPr>
        <w:t xml:space="preserve">The Information Technology (Reasonable Security Practices and Procedures and Sensitive Personal Data or Information) Rules, 2011</w:t>
      </w:r>
    </w:p>
    <w:p>
      <w:pPr>
        <w:pStyle w:val="ListParagraph"/>
        <w:numPr>
          <w:ilvl w:val="0"/>
          <w:numId w:val="2"/>
        </w:numPr>
        <w:spacing w:after="40" w:before="40"/>
      </w:pPr>
      <w:r>
        <w:rPr>
          <w:rFonts w:ascii="Arial" w:cs="Arial" w:eastAsia="Arial" w:hAnsi="Arial"/>
          <w:color w:val="4A4A4A"/>
          <w:sz w:val="21"/>
          <w:szCs w:val="21"/>
        </w:rPr>
        <w:t xml:space="preserve">The EU General Data Protection Regulation 2016/679 (GDPR) — for users in the EEA</w:t>
      </w:r>
    </w:p>
    <w:p>
      <w:pPr>
        <w:pStyle w:val="ListParagraph"/>
        <w:numPr>
          <w:ilvl w:val="0"/>
          <w:numId w:val="2"/>
        </w:numPr>
        <w:spacing w:after="40" w:before="40"/>
      </w:pPr>
      <w:r>
        <w:rPr>
          <w:rFonts w:ascii="Arial" w:cs="Arial" w:eastAsia="Arial" w:hAnsi="Arial"/>
          <w:color w:val="4A4A4A"/>
          <w:sz w:val="21"/>
          <w:szCs w:val="21"/>
        </w:rPr>
        <w:t xml:space="preserve">The UK GDPR — for users in the United Kingdom</w:t>
      </w:r>
    </w:p>
    <w:p>
      <w:pPr>
        <w:pStyle w:val="ListParagraph"/>
        <w:numPr>
          <w:ilvl w:val="0"/>
          <w:numId w:val="2"/>
        </w:numPr>
        <w:spacing w:after="40" w:before="40"/>
      </w:pPr>
      <w:r>
        <w:rPr>
          <w:rFonts w:ascii="Arial" w:cs="Arial" w:eastAsia="Arial" w:hAnsi="Arial"/>
          <w:color w:val="4A4A4A"/>
          <w:sz w:val="21"/>
          <w:szCs w:val="21"/>
        </w:rPr>
        <w:t xml:space="preserve">The California Consumer Privacy Act (CCPA) and California Privacy Rights Act (CPRA) — for California residents</w:t>
      </w:r>
    </w:p>
    <w:p>
      <w:pPr>
        <w:pStyle w:val="ListParagraph"/>
        <w:numPr>
          <w:ilvl w:val="0"/>
          <w:numId w:val="2"/>
        </w:numPr>
        <w:spacing w:after="40" w:before="40"/>
      </w:pPr>
      <w:r>
        <w:rPr>
          <w:rFonts w:ascii="Arial" w:cs="Arial" w:eastAsia="Arial" w:hAnsi="Arial"/>
          <w:color w:val="4A4A4A"/>
          <w:sz w:val="21"/>
          <w:szCs w:val="21"/>
        </w:rPr>
        <w:t xml:space="preserve">Other applicable local laws where we operate</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 Data We Collect</w:t>
      </w:r>
    </w:p>
    <w:p>
      <w:pPr>
        <w:pStyle w:val="Heading3"/>
        <w:spacing w:after="80" w:before="220"/>
      </w:pPr>
      <w:r>
        <w:rPr>
          <w:rFonts w:ascii="Arial" w:cs="Arial" w:eastAsia="Arial" w:hAnsi="Arial"/>
          <w:b/>
          <w:bCs/>
          <w:color w:val="2E86AB"/>
          <w:sz w:val="22"/>
          <w:szCs w:val="22"/>
        </w:rPr>
        <w:t xml:space="preserve">2.1 Information You Provide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Account Data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Full name, email address, username, and password (hashed) when you register.</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Order Data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Website URL(s) submitted for review, order details, invoice records.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Payment Data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Billing name, billing address. We do NOT store card numbers — payment is processed by our PCI-DSS-compliant gateway.</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Communications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Messages sent to us via email, support tickets, or contact forms.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User Content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Any text, notes, or materials you submit alongside a review request.</w:t>
            </w:r>
          </w:p>
        </w:tc>
      </w:tr>
    </w:tbl>
    <w:p>
      <w:pPr>
        <w:pStyle w:val="Heading3"/>
        <w:spacing w:after="80" w:before="220"/>
      </w:pPr>
      <w:r>
        <w:rPr>
          <w:rFonts w:ascii="Arial" w:cs="Arial" w:eastAsia="Arial" w:hAnsi="Arial"/>
          <w:b/>
          <w:bCs/>
          <w:color w:val="2E86AB"/>
          <w:sz w:val="22"/>
          <w:szCs w:val="22"/>
        </w:rPr>
        <w:t xml:space="preserve">2.2 Information Collected Automatically</w:t>
      </w:r>
    </w:p>
    <w:p>
      <w:pPr>
        <w:pStyle w:val="ListParagraph"/>
        <w:numPr>
          <w:ilvl w:val="0"/>
          <w:numId w:val="2"/>
        </w:numPr>
        <w:spacing w:after="40" w:before="40"/>
      </w:pPr>
      <w:r>
        <w:rPr>
          <w:rFonts w:ascii="Arial" w:cs="Arial" w:eastAsia="Arial" w:hAnsi="Arial"/>
          <w:color w:val="4A4A4A"/>
          <w:sz w:val="21"/>
          <w:szCs w:val="21"/>
        </w:rPr>
        <w:t xml:space="preserve">IP address and approximate geolocation (country/city)</w:t>
      </w:r>
    </w:p>
    <w:p>
      <w:pPr>
        <w:pStyle w:val="ListParagraph"/>
        <w:numPr>
          <w:ilvl w:val="0"/>
          <w:numId w:val="2"/>
        </w:numPr>
        <w:spacing w:after="40" w:before="40"/>
      </w:pPr>
      <w:r>
        <w:rPr>
          <w:rFonts w:ascii="Arial" w:cs="Arial" w:eastAsia="Arial" w:hAnsi="Arial"/>
          <w:color w:val="4A4A4A"/>
          <w:sz w:val="21"/>
          <w:szCs w:val="21"/>
        </w:rPr>
        <w:t xml:space="preserve">Browser type, operating system, and device identifiers</w:t>
      </w:r>
    </w:p>
    <w:p>
      <w:pPr>
        <w:pStyle w:val="ListParagraph"/>
        <w:numPr>
          <w:ilvl w:val="0"/>
          <w:numId w:val="2"/>
        </w:numPr>
        <w:spacing w:after="40" w:before="40"/>
      </w:pPr>
      <w:r>
        <w:rPr>
          <w:rFonts w:ascii="Arial" w:cs="Arial" w:eastAsia="Arial" w:hAnsi="Arial"/>
          <w:color w:val="4A4A4A"/>
          <w:sz w:val="21"/>
          <w:szCs w:val="21"/>
        </w:rPr>
        <w:t xml:space="preserve">Pages visited, time spent, links clicked, and referral URLs</w:t>
      </w:r>
    </w:p>
    <w:p>
      <w:pPr>
        <w:pStyle w:val="ListParagraph"/>
        <w:numPr>
          <w:ilvl w:val="0"/>
          <w:numId w:val="2"/>
        </w:numPr>
        <w:spacing w:after="40" w:before="40"/>
      </w:pPr>
      <w:r>
        <w:rPr>
          <w:rFonts w:ascii="Arial" w:cs="Arial" w:eastAsia="Arial" w:hAnsi="Arial"/>
          <w:color w:val="4A4A4A"/>
          <w:sz w:val="21"/>
          <w:szCs w:val="21"/>
        </w:rPr>
        <w:t xml:space="preserve">Cookie identifiers and session tokens (see Cookies Policy)</w:t>
      </w:r>
    </w:p>
    <w:p>
      <w:pPr>
        <w:pStyle w:val="ListParagraph"/>
        <w:numPr>
          <w:ilvl w:val="0"/>
          <w:numId w:val="2"/>
        </w:numPr>
        <w:spacing w:after="40" w:before="40"/>
      </w:pPr>
      <w:r>
        <w:rPr>
          <w:rFonts w:ascii="Arial" w:cs="Arial" w:eastAsia="Arial" w:hAnsi="Arial"/>
          <w:color w:val="4A4A4A"/>
          <w:sz w:val="21"/>
          <w:szCs w:val="21"/>
        </w:rPr>
        <w:t xml:space="preserve">Log files recording server interactions</w:t>
      </w:r>
    </w:p>
    <w:p>
      <w:pPr>
        <w:pStyle w:val="Heading3"/>
        <w:spacing w:after="80" w:before="220"/>
      </w:pPr>
      <w:r>
        <w:rPr>
          <w:rFonts w:ascii="Arial" w:cs="Arial" w:eastAsia="Arial" w:hAnsi="Arial"/>
          <w:b/>
          <w:bCs/>
          <w:color w:val="2E86AB"/>
          <w:sz w:val="22"/>
          <w:szCs w:val="22"/>
        </w:rPr>
        <w:t xml:space="preserve">2.3 Information from Third Parties</w:t>
      </w:r>
    </w:p>
    <w:p>
      <w:pPr>
        <w:pStyle w:val="ListParagraph"/>
        <w:numPr>
          <w:ilvl w:val="0"/>
          <w:numId w:val="2"/>
        </w:numPr>
        <w:spacing w:after="40" w:before="40"/>
      </w:pPr>
      <w:r>
        <w:rPr>
          <w:rFonts w:ascii="Arial" w:cs="Arial" w:eastAsia="Arial" w:hAnsi="Arial"/>
          <w:color w:val="4A4A4A"/>
          <w:sz w:val="21"/>
          <w:szCs w:val="21"/>
        </w:rPr>
        <w:t xml:space="preserve">Payment confirmation data from our payment gateway (e.g., Razorpay, PayPal)</w:t>
      </w:r>
    </w:p>
    <w:p>
      <w:pPr>
        <w:pStyle w:val="ListParagraph"/>
        <w:numPr>
          <w:ilvl w:val="0"/>
          <w:numId w:val="2"/>
        </w:numPr>
        <w:spacing w:after="40" w:before="40"/>
      </w:pPr>
      <w:r>
        <w:rPr>
          <w:rFonts w:ascii="Arial" w:cs="Arial" w:eastAsia="Arial" w:hAnsi="Arial"/>
          <w:color w:val="4A4A4A"/>
          <w:sz w:val="21"/>
          <w:szCs w:val="21"/>
        </w:rPr>
        <w:t xml:space="preserve">Authentication tokens if you use social login (Google, GitHub)</w:t>
      </w:r>
    </w:p>
    <w:p>
      <w:pPr>
        <w:pStyle w:val="ListParagraph"/>
        <w:numPr>
          <w:ilvl w:val="0"/>
          <w:numId w:val="2"/>
        </w:numPr>
        <w:spacing w:after="40" w:before="40"/>
      </w:pPr>
      <w:r>
        <w:rPr>
          <w:rFonts w:ascii="Arial" w:cs="Arial" w:eastAsia="Arial" w:hAnsi="Arial"/>
          <w:color w:val="4A4A4A"/>
          <w:sz w:val="21"/>
          <w:szCs w:val="21"/>
        </w:rPr>
        <w:t xml:space="preserve">Aggregate analytics from services like Google Analytics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3. How We Use Your Data</w:t>
      </w:r>
    </w:p>
    <w:p>
      <w:pPr>
        <w:spacing w:after="60" w:before="60"/>
        <w:jc w:val="both"/>
      </w:pPr>
      <w:r>
        <w:rPr>
          <w:rFonts w:ascii="Arial" w:cs="Arial" w:eastAsia="Arial" w:hAnsi="Arial"/>
          <w:color w:val="4A4A4A"/>
          <w:sz w:val="21"/>
          <w:szCs w:val="21"/>
        </w:rPr>
        <w:t xml:space="preserve">We process your personal data on the following legal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Contract Performance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To create your account, process payments, deliver review reports, and provide customer support.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Legitimate Interests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To improve our service, prevent fraud, maintain security, and analyse usage patterns.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Legal Obligation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To comply with tax, financial reporting, and anti-money-laundering requirements.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Consent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To send marketing emails or place non-essential cookies (you may withdraw consent at any time).</w:t>
            </w:r>
          </w:p>
        </w:tc>
      </w:tr>
    </w:tbl>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4. Data Retention</w:t>
      </w:r>
    </w:p>
    <w:p>
      <w:pPr>
        <w:spacing w:after="60" w:before="60"/>
        <w:jc w:val="both"/>
      </w:pPr>
      <w:r>
        <w:rPr>
          <w:rFonts w:ascii="Arial" w:cs="Arial" w:eastAsia="Arial" w:hAnsi="Arial"/>
          <w:color w:val="4A4A4A"/>
          <w:sz w:val="21"/>
          <w:szCs w:val="21"/>
        </w:rPr>
        <w:t xml:space="preserve">We retain personal data only as long as necessary for the purposes described: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Account data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Duration of account + 3 years after last activity or deletion request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Order &amp; invoice records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7 years (statutory requirement under Indian tax law / GST Act)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Review reports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3 years (for dispute resolution and quality assurance)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Payment transaction logs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7 years (financial compliance)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Server access logs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90 days, then deleted</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Marketing preferences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Until consent withdrawn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Support communications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2 years from resolution</w:t>
            </w:r>
          </w:p>
        </w:tc>
      </w:tr>
    </w:tbl>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5. Data Security</w:t>
      </w:r>
    </w:p>
    <w:p>
      <w:pPr>
        <w:spacing w:after="60" w:before="60"/>
        <w:jc w:val="both"/>
      </w:pPr>
      <w:r>
        <w:rPr>
          <w:rFonts w:ascii="Arial" w:cs="Arial" w:eastAsia="Arial" w:hAnsi="Arial"/>
          <w:color w:val="4A4A4A"/>
          <w:sz w:val="21"/>
          <w:szCs w:val="21"/>
        </w:rPr>
        <w:t xml:space="preserve">We implement the following technical and organisational measures to protect your data:</w:t>
      </w:r>
    </w:p>
    <w:p>
      <w:pPr>
        <w:pStyle w:val="ListParagraph"/>
        <w:numPr>
          <w:ilvl w:val="0"/>
          <w:numId w:val="2"/>
        </w:numPr>
        <w:spacing w:after="40" w:before="40"/>
      </w:pPr>
      <w:r>
        <w:rPr>
          <w:rFonts w:ascii="Arial" w:cs="Arial" w:eastAsia="Arial" w:hAnsi="Arial"/>
          <w:color w:val="4A4A4A"/>
          <w:sz w:val="21"/>
          <w:szCs w:val="21"/>
        </w:rPr>
        <w:t xml:space="preserve">TLS 1.2/1.3 encryption for all data in transit</w:t>
      </w:r>
    </w:p>
    <w:p>
      <w:pPr>
        <w:pStyle w:val="ListParagraph"/>
        <w:numPr>
          <w:ilvl w:val="0"/>
          <w:numId w:val="2"/>
        </w:numPr>
        <w:spacing w:after="40" w:before="40"/>
      </w:pPr>
      <w:r>
        <w:rPr>
          <w:rFonts w:ascii="Arial" w:cs="Arial" w:eastAsia="Arial" w:hAnsi="Arial"/>
          <w:color w:val="4A4A4A"/>
          <w:sz w:val="21"/>
          <w:szCs w:val="21"/>
        </w:rPr>
        <w:t xml:space="preserve">AES-256 encryption for sensitive data at rest</w:t>
      </w:r>
    </w:p>
    <w:p>
      <w:pPr>
        <w:pStyle w:val="ListParagraph"/>
        <w:numPr>
          <w:ilvl w:val="0"/>
          <w:numId w:val="2"/>
        </w:numPr>
        <w:spacing w:after="40" w:before="40"/>
      </w:pPr>
      <w:r>
        <w:rPr>
          <w:rFonts w:ascii="Arial" w:cs="Arial" w:eastAsia="Arial" w:hAnsi="Arial"/>
          <w:color w:val="4A4A4A"/>
          <w:sz w:val="21"/>
          <w:szCs w:val="21"/>
        </w:rPr>
        <w:t xml:space="preserve">Passwords stored as salted cryptographic hashes (bcrypt)</w:t>
      </w:r>
    </w:p>
    <w:p>
      <w:pPr>
        <w:pStyle w:val="ListParagraph"/>
        <w:numPr>
          <w:ilvl w:val="0"/>
          <w:numId w:val="2"/>
        </w:numPr>
        <w:spacing w:after="40" w:before="40"/>
      </w:pPr>
      <w:r>
        <w:rPr>
          <w:rFonts w:ascii="Arial" w:cs="Arial" w:eastAsia="Arial" w:hAnsi="Arial"/>
          <w:color w:val="4A4A4A"/>
          <w:sz w:val="21"/>
          <w:szCs w:val="21"/>
        </w:rPr>
        <w:t xml:space="preserve">Access controls with role-based permissions and multi-factor authentication for staff</w:t>
      </w:r>
    </w:p>
    <w:p>
      <w:pPr>
        <w:pStyle w:val="ListParagraph"/>
        <w:numPr>
          <w:ilvl w:val="0"/>
          <w:numId w:val="2"/>
        </w:numPr>
        <w:spacing w:after="40" w:before="40"/>
      </w:pPr>
      <w:r>
        <w:rPr>
          <w:rFonts w:ascii="Arial" w:cs="Arial" w:eastAsia="Arial" w:hAnsi="Arial"/>
          <w:color w:val="4A4A4A"/>
          <w:sz w:val="21"/>
          <w:szCs w:val="21"/>
        </w:rPr>
        <w:t xml:space="preserve">Regular vulnerability assessments and penetration testing</w:t>
      </w:r>
    </w:p>
    <w:p>
      <w:pPr>
        <w:pStyle w:val="ListParagraph"/>
        <w:numPr>
          <w:ilvl w:val="0"/>
          <w:numId w:val="2"/>
        </w:numPr>
        <w:spacing w:after="40" w:before="40"/>
      </w:pPr>
      <w:r>
        <w:rPr>
          <w:rFonts w:ascii="Arial" w:cs="Arial" w:eastAsia="Arial" w:hAnsi="Arial"/>
          <w:color w:val="4A4A4A"/>
          <w:sz w:val="21"/>
          <w:szCs w:val="21"/>
        </w:rPr>
        <w:t xml:space="preserve">PCI-DSS compliant payment processing — we never store raw card data</w:t>
      </w:r>
    </w:p>
    <w:p>
      <w:pPr>
        <w:pStyle w:val="ListParagraph"/>
        <w:numPr>
          <w:ilvl w:val="0"/>
          <w:numId w:val="2"/>
        </w:numPr>
        <w:spacing w:after="40" w:before="40"/>
      </w:pPr>
      <w:r>
        <w:rPr>
          <w:rFonts w:ascii="Arial" w:cs="Arial" w:eastAsia="Arial" w:hAnsi="Arial"/>
          <w:color w:val="4A4A4A"/>
          <w:sz w:val="21"/>
          <w:szCs w:val="21"/>
        </w:rPr>
        <w:t xml:space="preserve">Secure cloud hosting with ISO 27001-certified providers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6. Data Breach Notification</w:t>
      </w:r>
    </w:p>
    <w:p>
      <w:pPr>
        <w:pStyle w:val="Heading3"/>
        <w:spacing w:after="80" w:before="220"/>
      </w:pPr>
      <w:r>
        <w:rPr>
          <w:rFonts w:ascii="Arial" w:cs="Arial" w:eastAsia="Arial" w:hAnsi="Arial"/>
          <w:b/>
          <w:bCs/>
          <w:color w:val="2E86AB"/>
          <w:sz w:val="22"/>
          <w:szCs w:val="22"/>
        </w:rPr>
        <w:t xml:space="preserve">6.1 Internal Response</w:t>
      </w:r>
    </w:p>
    <w:p>
      <w:pPr>
        <w:pStyle w:val="ListParagraph"/>
        <w:numPr>
          <w:ilvl w:val="0"/>
          <w:numId w:val="2"/>
        </w:numPr>
        <w:spacing w:after="40" w:before="40"/>
      </w:pPr>
      <w:r>
        <w:rPr>
          <w:rFonts w:ascii="Arial" w:cs="Arial" w:eastAsia="Arial" w:hAnsi="Arial"/>
          <w:color w:val="4A4A4A"/>
          <w:sz w:val="21"/>
          <w:szCs w:val="21"/>
        </w:rPr>
        <w:t xml:space="preserve">Security incidents are logged and investigated within 24 hours of detection.</w:t>
      </w:r>
    </w:p>
    <w:p>
      <w:pPr>
        <w:pStyle w:val="ListParagraph"/>
        <w:numPr>
          <w:ilvl w:val="0"/>
          <w:numId w:val="2"/>
        </w:numPr>
        <w:spacing w:after="40" w:before="40"/>
      </w:pPr>
      <w:r>
        <w:rPr>
          <w:rFonts w:ascii="Arial" w:cs="Arial" w:eastAsia="Arial" w:hAnsi="Arial"/>
          <w:color w:val="4A4A4A"/>
          <w:sz w:val="21"/>
          <w:szCs w:val="21"/>
        </w:rPr>
        <w:t xml:space="preserve">Our incident response team assesses severity, scope, and impact.</w:t>
      </w:r>
    </w:p>
    <w:p>
      <w:pPr>
        <w:pStyle w:val="ListParagraph"/>
        <w:numPr>
          <w:ilvl w:val="0"/>
          <w:numId w:val="2"/>
        </w:numPr>
        <w:spacing w:after="40" w:before="40"/>
      </w:pPr>
      <w:r>
        <w:rPr>
          <w:rFonts w:ascii="Arial" w:cs="Arial" w:eastAsia="Arial" w:hAnsi="Arial"/>
          <w:color w:val="4A4A4A"/>
          <w:sz w:val="21"/>
          <w:szCs w:val="21"/>
        </w:rPr>
        <w:t xml:space="preserve">Containment and remediation actions are initiated immediately.</w:t>
      </w:r>
    </w:p>
    <w:p>
      <w:pPr>
        <w:pStyle w:val="Heading3"/>
        <w:spacing w:after="80" w:before="220"/>
      </w:pPr>
      <w:r>
        <w:rPr>
          <w:rFonts w:ascii="Arial" w:cs="Arial" w:eastAsia="Arial" w:hAnsi="Arial"/>
          <w:b/>
          <w:bCs/>
          <w:color w:val="2E86AB"/>
          <w:sz w:val="22"/>
          <w:szCs w:val="22"/>
        </w:rPr>
        <w:t xml:space="preserve">6.2 Notification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Indian users (DPDP Act)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We will notify affected users and the Data Protection Board of India as soon as reasonably practicable, within 72 hours where feasible.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EEA users (GDPR)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We will notify the relevant supervisory authority within 72 hours of becoming aware of a high-risk breach. Affected individuals will be notified without undue delay.</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UK users (UK GDPR)</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ICO will be notified within 72 hours where feasible; individuals notified without undue delay.</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California users (CCPA)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Notification to affected residents without unreasonable delay as required by California law.</w:t>
            </w:r>
          </w:p>
        </w:tc>
      </w:tr>
    </w:tbl>
    <w:p>
      <w:pPr>
        <w:pStyle w:val="Heading3"/>
        <w:spacing w:after="80" w:before="220"/>
      </w:pPr>
      <w:r>
        <w:rPr>
          <w:rFonts w:ascii="Arial" w:cs="Arial" w:eastAsia="Arial" w:hAnsi="Arial"/>
          <w:b/>
          <w:bCs/>
          <w:color w:val="2E86AB"/>
          <w:sz w:val="22"/>
          <w:szCs w:val="22"/>
        </w:rPr>
        <w:t xml:space="preserve">6.3 What Breach Notifications Include</w:t>
      </w:r>
    </w:p>
    <w:p>
      <w:pPr>
        <w:pStyle w:val="ListParagraph"/>
        <w:numPr>
          <w:ilvl w:val="0"/>
          <w:numId w:val="2"/>
        </w:numPr>
        <w:spacing w:after="40" w:before="40"/>
      </w:pPr>
      <w:r>
        <w:rPr>
          <w:rFonts w:ascii="Arial" w:cs="Arial" w:eastAsia="Arial" w:hAnsi="Arial"/>
          <w:color w:val="4A4A4A"/>
          <w:sz w:val="21"/>
          <w:szCs w:val="21"/>
        </w:rPr>
        <w:t xml:space="preserve">Description of the nature of the breach</w:t>
      </w:r>
    </w:p>
    <w:p>
      <w:pPr>
        <w:pStyle w:val="ListParagraph"/>
        <w:numPr>
          <w:ilvl w:val="0"/>
          <w:numId w:val="2"/>
        </w:numPr>
        <w:spacing w:after="40" w:before="40"/>
      </w:pPr>
      <w:r>
        <w:rPr>
          <w:rFonts w:ascii="Arial" w:cs="Arial" w:eastAsia="Arial" w:hAnsi="Arial"/>
          <w:color w:val="4A4A4A"/>
          <w:sz w:val="21"/>
          <w:szCs w:val="21"/>
        </w:rPr>
        <w:t xml:space="preserve">Categories and approximate number of individuals and records affected</w:t>
      </w:r>
    </w:p>
    <w:p>
      <w:pPr>
        <w:pStyle w:val="ListParagraph"/>
        <w:numPr>
          <w:ilvl w:val="0"/>
          <w:numId w:val="2"/>
        </w:numPr>
        <w:spacing w:after="40" w:before="40"/>
      </w:pPr>
      <w:r>
        <w:rPr>
          <w:rFonts w:ascii="Arial" w:cs="Arial" w:eastAsia="Arial" w:hAnsi="Arial"/>
          <w:color w:val="4A4A4A"/>
          <w:sz w:val="21"/>
          <w:szCs w:val="21"/>
        </w:rPr>
        <w:t xml:space="preserve">Likely consequences of the breach</w:t>
      </w:r>
    </w:p>
    <w:p>
      <w:pPr>
        <w:pStyle w:val="ListParagraph"/>
        <w:numPr>
          <w:ilvl w:val="0"/>
          <w:numId w:val="2"/>
        </w:numPr>
        <w:spacing w:after="40" w:before="40"/>
      </w:pPr>
      <w:r>
        <w:rPr>
          <w:rFonts w:ascii="Arial" w:cs="Arial" w:eastAsia="Arial" w:hAnsi="Arial"/>
          <w:color w:val="4A4A4A"/>
          <w:sz w:val="21"/>
          <w:szCs w:val="21"/>
        </w:rPr>
        <w:t xml:space="preserve">Steps taken or proposed to address the breach</w:t>
      </w:r>
    </w:p>
    <w:p>
      <w:pPr>
        <w:pStyle w:val="ListParagraph"/>
        <w:numPr>
          <w:ilvl w:val="0"/>
          <w:numId w:val="2"/>
        </w:numPr>
        <w:spacing w:after="40" w:before="40"/>
      </w:pPr>
      <w:r>
        <w:rPr>
          <w:rFonts w:ascii="Arial" w:cs="Arial" w:eastAsia="Arial" w:hAnsi="Arial"/>
          <w:color w:val="4A4A4A"/>
          <w:sz w:val="21"/>
          <w:szCs w:val="21"/>
        </w:rPr>
        <w:t xml:space="preserve">Contact details for further information</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7. Your Rights</w:t>
      </w:r>
    </w:p>
    <w:p>
      <w:pPr>
        <w:spacing w:after="60" w:before="60"/>
        <w:jc w:val="both"/>
      </w:pPr>
      <w:r>
        <w:rPr>
          <w:rFonts w:ascii="Arial" w:cs="Arial" w:eastAsia="Arial" w:hAnsi="Arial"/>
          <w:color w:val="4A4A4A"/>
          <w:sz w:val="21"/>
          <w:szCs w:val="21"/>
        </w:rPr>
        <w:t xml:space="preserve">Depending on your jurisdiction, you have the following rights regarding your personal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Access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Request a copy of the personal data we hold about you.</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Correction</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Ask us to correct inaccurate or incomplete data.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Deletion (Erasure)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Ask us to delete your personal data, subject to legal retention obligations.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Data Portability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Receive your data in a structured, machine-readable format.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Restrict Processing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Ask us to pause processing while a dispute is resolved.</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Object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Object to processing based on legitimate interests or for direct marketing.</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Withdraw Consent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Withdraw consent for marketing or non-essential cookies at any time.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Nominate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Under DPDP Act, nominate another person to exercise rights on your behalf.</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Right to Lodge a Complaint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File a complaint with your national data protection authority.</w:t>
            </w:r>
          </w:p>
        </w:tc>
      </w:tr>
    </w:tbl>
    <w:p>
      <w:pPr>
        <w:spacing w:after="120" w:before="0"/>
      </w:pPr>
    </w:p>
    <w:p>
      <w:pPr>
        <w:spacing w:after="60" w:before="60"/>
        <w:jc w:val="both"/>
      </w:pPr>
      <w:r>
        <w:rPr>
          <w:rFonts w:ascii="Arial" w:cs="Arial" w:eastAsia="Arial" w:hAnsi="Arial"/>
          <w:color w:val="4A4A4A"/>
          <w:sz w:val="21"/>
          <w:szCs w:val="21"/>
        </w:rPr>
        <w:t xml:space="preserve">To exercise any right, contact us at: privacy@reviewflo.in with the subject line 'Data Rights Request'. We will respond within 30 days (or sooner as required by law).</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8. Data Sharing with Third Parties</w:t>
      </w:r>
    </w:p>
    <w:p>
      <w:pPr>
        <w:pStyle w:val="Heading3"/>
        <w:spacing w:after="80" w:before="220"/>
      </w:pPr>
      <w:r>
        <w:rPr>
          <w:rFonts w:ascii="Arial" w:cs="Arial" w:eastAsia="Arial" w:hAnsi="Arial"/>
          <w:b/>
          <w:bCs/>
          <w:color w:val="2E86AB"/>
          <w:sz w:val="22"/>
          <w:szCs w:val="22"/>
        </w:rPr>
        <w:t xml:space="preserve">8.1 We Do NOT Sell Your Data</w:t>
      </w:r>
    </w:p>
    <w:p>
      <w:pPr>
        <w:pBdr>
          <w:left w:val="single" w:color="C0392B" w:sz="12"/>
        </w:pBdr>
        <w:shd w:fill="FDF2F0" w:val="clear"/>
        <w:spacing w:after="120" w:before="120"/>
        <w:ind w:left="240"/>
      </w:pPr>
      <w:r>
        <w:rPr>
          <w:rFonts w:ascii="Arial" w:cs="Arial" w:eastAsia="Arial" w:hAnsi="Arial"/>
          <w:b/>
          <w:bCs/>
          <w:color w:val="C0392B"/>
          <w:sz w:val="21"/>
          <w:szCs w:val="21"/>
        </w:rPr>
        <w:t xml:space="preserve">⚠  We never sell, rent, or trade your personal data to third parties for their marketing purposes.</w:t>
      </w:r>
    </w:p>
    <w:p>
      <w:pPr>
        <w:pStyle w:val="Heading3"/>
        <w:spacing w:after="80" w:before="220"/>
      </w:pPr>
      <w:r>
        <w:rPr>
          <w:rFonts w:ascii="Arial" w:cs="Arial" w:eastAsia="Arial" w:hAnsi="Arial"/>
          <w:b/>
          <w:bCs/>
          <w:color w:val="2E86AB"/>
          <w:sz w:val="22"/>
          <w:szCs w:val="22"/>
        </w:rPr>
        <w:t xml:space="preserve">8.2 Sub-processors and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Payment Gateways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Razorpay / PayPal / Stripe — to process payments. PCI-DSS compliant.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Cloud Hosting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AWS / Google Cloud / DigitalOcean — for secure server infrastructure.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Analytics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Google Analytics (anonymised IP) — to understand website usage.</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Email Services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Mailgun / SendGrid / AWS SES — for transactional emails.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Customer Support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Freshdesk / Zendesk — if you raise a support ticket.</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Security Tools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Cloudflare — for DDoS protection and performance.</w:t>
            </w:r>
          </w:p>
        </w:tc>
      </w:tr>
    </w:tbl>
    <w:p>
      <w:pPr>
        <w:spacing w:after="60" w:before="60"/>
        <w:jc w:val="both"/>
      </w:pPr>
      <w:r>
        <w:rPr>
          <w:rFonts w:ascii="Arial" w:cs="Arial" w:eastAsia="Arial" w:hAnsi="Arial"/>
          <w:color w:val="4A4A4A"/>
          <w:sz w:val="21"/>
          <w:szCs w:val="21"/>
        </w:rPr>
        <w:t xml:space="preserve">All sub-processors are contractually bound to process data only on our instructions and to apply appropriate security measures.</w:t>
      </w:r>
    </w:p>
    <w:p>
      <w:pPr>
        <w:pStyle w:val="Heading3"/>
        <w:spacing w:after="80" w:before="220"/>
      </w:pPr>
      <w:r>
        <w:rPr>
          <w:rFonts w:ascii="Arial" w:cs="Arial" w:eastAsia="Arial" w:hAnsi="Arial"/>
          <w:b/>
          <w:bCs/>
          <w:color w:val="2E86AB"/>
          <w:sz w:val="22"/>
          <w:szCs w:val="22"/>
        </w:rPr>
        <w:t xml:space="preserve">8.3 Other Disclosures</w:t>
      </w:r>
    </w:p>
    <w:p>
      <w:pPr>
        <w:pStyle w:val="ListParagraph"/>
        <w:numPr>
          <w:ilvl w:val="0"/>
          <w:numId w:val="2"/>
        </w:numPr>
        <w:spacing w:after="40" w:before="40"/>
      </w:pPr>
      <w:r>
        <w:rPr>
          <w:rFonts w:ascii="Arial" w:cs="Arial" w:eastAsia="Arial" w:hAnsi="Arial"/>
          <w:color w:val="4A4A4A"/>
          <w:sz w:val="21"/>
          <w:szCs w:val="21"/>
        </w:rPr>
        <w:t xml:space="preserve">Law enforcement or regulatory bodies — when required by law</w:t>
      </w:r>
    </w:p>
    <w:p>
      <w:pPr>
        <w:pStyle w:val="ListParagraph"/>
        <w:numPr>
          <w:ilvl w:val="0"/>
          <w:numId w:val="2"/>
        </w:numPr>
        <w:spacing w:after="40" w:before="40"/>
      </w:pPr>
      <w:r>
        <w:rPr>
          <w:rFonts w:ascii="Arial" w:cs="Arial" w:eastAsia="Arial" w:hAnsi="Arial"/>
          <w:color w:val="4A4A4A"/>
          <w:sz w:val="21"/>
          <w:szCs w:val="21"/>
        </w:rPr>
        <w:t xml:space="preserve">Successors — in the event of a merger, acquisition, or sale of assets (you will be notified)</w:t>
      </w:r>
    </w:p>
    <w:p>
      <w:pPr>
        <w:pStyle w:val="ListParagraph"/>
        <w:numPr>
          <w:ilvl w:val="0"/>
          <w:numId w:val="2"/>
        </w:numPr>
        <w:spacing w:after="40" w:before="40"/>
      </w:pPr>
      <w:r>
        <w:rPr>
          <w:rFonts w:ascii="Arial" w:cs="Arial" w:eastAsia="Arial" w:hAnsi="Arial"/>
          <w:color w:val="4A4A4A"/>
          <w:sz w:val="21"/>
          <w:szCs w:val="21"/>
        </w:rPr>
        <w:t xml:space="preserve">Professional advisers — lawyers, auditors, bound by confidentiality</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9. International Data Transfers</w:t>
      </w:r>
    </w:p>
    <w:p>
      <w:pPr>
        <w:spacing w:after="60" w:before="60"/>
        <w:jc w:val="both"/>
      </w:pPr>
      <w:r>
        <w:rPr>
          <w:rFonts w:ascii="Arial" w:cs="Arial" w:eastAsia="Arial" w:hAnsi="Arial"/>
          <w:color w:val="4A4A4A"/>
          <w:sz w:val="21"/>
          <w:szCs w:val="21"/>
        </w:rPr>
        <w:t xml:space="preserve">Your data may be processed in countries outside your own. Where data is transferred outside the EEA or UK, we rely on:</w:t>
      </w:r>
    </w:p>
    <w:p>
      <w:pPr>
        <w:pStyle w:val="ListParagraph"/>
        <w:numPr>
          <w:ilvl w:val="0"/>
          <w:numId w:val="2"/>
        </w:numPr>
        <w:spacing w:after="40" w:before="40"/>
      </w:pPr>
      <w:r>
        <w:rPr>
          <w:rFonts w:ascii="Arial" w:cs="Arial" w:eastAsia="Arial" w:hAnsi="Arial"/>
          <w:color w:val="4A4A4A"/>
          <w:sz w:val="21"/>
          <w:szCs w:val="21"/>
        </w:rPr>
        <w:t xml:space="preserve">EU Standard Contractual Clauses (SCCs) / UK International Data Transfer Agreements (IDTAs)</w:t>
      </w:r>
    </w:p>
    <w:p>
      <w:pPr>
        <w:pStyle w:val="ListParagraph"/>
        <w:numPr>
          <w:ilvl w:val="0"/>
          <w:numId w:val="2"/>
        </w:numPr>
        <w:spacing w:after="40" w:before="40"/>
      </w:pPr>
      <w:r>
        <w:rPr>
          <w:rFonts w:ascii="Arial" w:cs="Arial" w:eastAsia="Arial" w:hAnsi="Arial"/>
          <w:color w:val="4A4A4A"/>
          <w:sz w:val="21"/>
          <w:szCs w:val="21"/>
        </w:rPr>
        <w:t xml:space="preserve">Adequacy decisions issued by the European Commission or UK Secretary of State</w:t>
      </w:r>
    </w:p>
    <w:p>
      <w:pPr>
        <w:pStyle w:val="ListParagraph"/>
        <w:numPr>
          <w:ilvl w:val="0"/>
          <w:numId w:val="2"/>
        </w:numPr>
        <w:spacing w:after="40" w:before="40"/>
      </w:pPr>
      <w:r>
        <w:rPr>
          <w:rFonts w:ascii="Arial" w:cs="Arial" w:eastAsia="Arial" w:hAnsi="Arial"/>
          <w:color w:val="4A4A4A"/>
          <w:sz w:val="21"/>
          <w:szCs w:val="21"/>
        </w:rPr>
        <w:t xml:space="preserve">Binding Corporate Rules where applicable</w:t>
      </w:r>
    </w:p>
    <w:p>
      <w:pPr>
        <w:spacing w:after="60" w:before="60"/>
        <w:jc w:val="both"/>
      </w:pPr>
      <w:r>
        <w:rPr>
          <w:rFonts w:ascii="Arial" w:cs="Arial" w:eastAsia="Arial" w:hAnsi="Arial"/>
          <w:color w:val="4A4A4A"/>
          <w:sz w:val="21"/>
          <w:szCs w:val="21"/>
        </w:rPr>
        <w:t xml:space="preserve">India-based transfers are governed by the DPDP Act 2023 cross-border rules.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10. Children's Privacy</w:t>
      </w:r>
    </w:p>
    <w:p>
      <w:pPr>
        <w:pBdr>
          <w:left w:val="single" w:color="C0392B" w:sz="12"/>
        </w:pBdr>
        <w:shd w:fill="FDF2F0" w:val="clear"/>
        <w:spacing w:after="120" w:before="120"/>
        <w:ind w:left="240"/>
      </w:pPr>
      <w:r>
        <w:rPr>
          <w:rFonts w:ascii="Arial" w:cs="Arial" w:eastAsia="Arial" w:hAnsi="Arial"/>
          <w:b/>
          <w:bCs/>
          <w:color w:val="C0392B"/>
          <w:sz w:val="21"/>
          <w:szCs w:val="21"/>
        </w:rPr>
        <w:t xml:space="preserve">⚠  Our services are not directed at persons under the age of 18. We do not knowingly collect personal data from minors. If you believe a minor has provided data to us, contact privacy@reviewflo.in and we will delete it promptly.</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11. Contact &amp; Complaints</w:t>
      </w:r>
    </w:p>
    <w:p>
      <w:pPr>
        <w:spacing w:after="60" w:before="60"/>
        <w:jc w:val="both"/>
      </w:pPr>
      <w:r>
        <w:rPr>
          <w:rFonts w:ascii="Arial" w:cs="Arial" w:eastAsia="Arial" w:hAnsi="Arial"/>
          <w:color w:val="4A4A4A"/>
          <w:sz w:val="21"/>
          <w:szCs w:val="21"/>
        </w:rPr>
        <w:t xml:space="preserve">Data Controller / Grievance Officer:</w:t>
      </w:r>
    </w:p>
    <w:p>
      <w:pPr>
        <w:pStyle w:val="ListParagraph"/>
        <w:numPr>
          <w:ilvl w:val="0"/>
          <w:numId w:val="2"/>
        </w:numPr>
        <w:spacing w:after="40" w:before="40"/>
      </w:pPr>
      <w:r>
        <w:rPr>
          <w:rFonts w:ascii="Arial" w:cs="Arial" w:eastAsia="Arial" w:hAnsi="Arial"/>
          <w:color w:val="4A4A4A"/>
          <w:sz w:val="21"/>
          <w:szCs w:val="21"/>
        </w:rPr>
        <w:t xml:space="preserve">Email: privacy@reviewflo.in</w:t>
      </w:r>
    </w:p>
    <w:p>
      <w:pPr>
        <w:pStyle w:val="ListParagraph"/>
        <w:numPr>
          <w:ilvl w:val="0"/>
          <w:numId w:val="2"/>
        </w:numPr>
        <w:spacing w:after="40" w:before="40"/>
      </w:pPr>
      <w:r>
        <w:rPr>
          <w:rFonts w:ascii="Arial" w:cs="Arial" w:eastAsia="Arial" w:hAnsi="Arial"/>
          <w:color w:val="4A4A4A"/>
          <w:sz w:val="21"/>
          <w:szCs w:val="21"/>
        </w:rPr>
        <w:t xml:space="preserve">Address: [Company Registered Address], India</w:t>
      </w:r>
    </w:p>
    <w:p>
      <w:pPr>
        <w:pStyle w:val="ListParagraph"/>
        <w:numPr>
          <w:ilvl w:val="0"/>
          <w:numId w:val="2"/>
        </w:numPr>
        <w:spacing w:after="40" w:before="40"/>
      </w:pPr>
      <w:r>
        <w:rPr>
          <w:rFonts w:ascii="Arial" w:cs="Arial" w:eastAsia="Arial" w:hAnsi="Arial"/>
          <w:color w:val="4A4A4A"/>
          <w:sz w:val="21"/>
          <w:szCs w:val="21"/>
        </w:rPr>
        <w:t xml:space="preserve">Grievance Officer (DPDP Act): [Name of Grievance Officer], reachable at grievance@reviewflo.in</w:t>
      </w:r>
    </w:p>
    <w:p>
      <w:pPr>
        <w:spacing w:after="120" w:before="0"/>
      </w:pPr>
    </w:p>
    <w:p>
      <w:pPr>
        <w:spacing w:after="60" w:before="60"/>
        <w:jc w:val="both"/>
      </w:pPr>
      <w:r>
        <w:rPr>
          <w:rFonts w:ascii="Arial" w:cs="Arial" w:eastAsia="Arial" w:hAnsi="Arial"/>
          <w:color w:val="4A4A4A"/>
          <w:sz w:val="21"/>
          <w:szCs w:val="21"/>
        </w:rPr>
        <w:t xml:space="preserve">EEA Users: You may contact your national Data Protection Authority (DPA). A list is available at: https://edpb.europa.eu/about-edpb/about-edpb/members_en</w:t>
      </w:r>
    </w:p>
    <w:p>
      <w:pPr>
        <w:spacing w:after="60" w:before="60"/>
        <w:jc w:val="both"/>
      </w:pPr>
      <w:r>
        <w:rPr>
          <w:rFonts w:ascii="Arial" w:cs="Arial" w:eastAsia="Arial" w:hAnsi="Arial"/>
          <w:color w:val="4A4A4A"/>
          <w:sz w:val="21"/>
          <w:szCs w:val="21"/>
        </w:rPr>
        <w:t xml:space="preserve">UK Users: Information Commissioner's Office (ICO) — https://ico.org.uk</w:t>
      </w:r>
    </w:p>
    <w:p>
      <w:pPr>
        <w:spacing w:after="60" w:before="60"/>
        <w:jc w:val="both"/>
      </w:pPr>
      <w:r>
        <w:rPr>
          <w:rFonts w:ascii="Arial" w:cs="Arial" w:eastAsia="Arial" w:hAnsi="Arial"/>
          <w:color w:val="4A4A4A"/>
          <w:sz w:val="21"/>
          <w:szCs w:val="21"/>
        </w:rPr>
        <w:t xml:space="preserve">California Users: California Attorney General — https://oag.ca.gov/privacy/ccpa</w:t>
      </w:r>
    </w:p>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PART 2 — COOKIES POLICY</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12. What Are Cookies?</w:t>
      </w:r>
    </w:p>
    <w:p>
      <w:pPr>
        <w:spacing w:after="60" w:before="60"/>
        <w:jc w:val="both"/>
      </w:pPr>
      <w:r>
        <w:rPr>
          <w:rFonts w:ascii="Arial" w:cs="Arial" w:eastAsia="Arial" w:hAnsi="Arial"/>
          <w:color w:val="4A4A4A"/>
          <w:sz w:val="21"/>
          <w:szCs w:val="21"/>
        </w:rPr>
        <w:t xml:space="preserve">Cookies are small text files placed on your device by a website. They allow the website to recognise your device, remember your preferences, and collect usage data. Similar technologies include web beacons, pixel tags, local storage objects, and session tokens.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13. Types of Cookies We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Essential / Strictly Necessary</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Required for the website to function. Cannot be disabled. Examples: login session tokens, shopping cart data, CSRF security tokens.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Performance / Analytics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Help us understand how visitors use the site. Data is anonymised. Example: Google Analytics.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Functional / Preference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Remember your language, region, and display preferences.</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Marketing / Targeting</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Used (with your consent) to deliver relevant advertising. Currently NOT used by reviewflo.in but reserved for future use.</w:t>
            </w:r>
          </w:p>
        </w:tc>
      </w:tr>
    </w:tbl>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14. Your Cookie Choices &amp; Consent</w:t>
      </w:r>
    </w:p>
    <w:p>
      <w:pPr>
        <w:spacing w:after="60" w:before="60"/>
        <w:jc w:val="both"/>
      </w:pPr>
      <w:r>
        <w:rPr>
          <w:rFonts w:ascii="Arial" w:cs="Arial" w:eastAsia="Arial" w:hAnsi="Arial"/>
          <w:color w:val="4A4A4A"/>
          <w:sz w:val="21"/>
          <w:szCs w:val="21"/>
        </w:rPr>
        <w:t xml:space="preserve">When you first visit reviewflo.in, a cookie consent banner will appear. You may:</w:t>
      </w:r>
    </w:p>
    <w:p>
      <w:pPr>
        <w:pStyle w:val="ListParagraph"/>
        <w:numPr>
          <w:ilvl w:val="0"/>
          <w:numId w:val="2"/>
        </w:numPr>
        <w:spacing w:after="40" w:before="40"/>
      </w:pPr>
      <w:r>
        <w:rPr>
          <w:rFonts w:ascii="Arial" w:cs="Arial" w:eastAsia="Arial" w:hAnsi="Arial"/>
          <w:color w:val="4A4A4A"/>
          <w:sz w:val="21"/>
          <w:szCs w:val="21"/>
        </w:rPr>
        <w:t xml:space="preserve">Accept All Cookies — including analytics and preference cookies</w:t>
      </w:r>
    </w:p>
    <w:p>
      <w:pPr>
        <w:pStyle w:val="ListParagraph"/>
        <w:numPr>
          <w:ilvl w:val="0"/>
          <w:numId w:val="2"/>
        </w:numPr>
        <w:spacing w:after="40" w:before="40"/>
      </w:pPr>
      <w:r>
        <w:rPr>
          <w:rFonts w:ascii="Arial" w:cs="Arial" w:eastAsia="Arial" w:hAnsi="Arial"/>
          <w:color w:val="4A4A4A"/>
          <w:sz w:val="21"/>
          <w:szCs w:val="21"/>
        </w:rPr>
        <w:t xml:space="preserve">Reject Non-Essential Cookies — only strictly necessary cookies will be set</w:t>
      </w:r>
    </w:p>
    <w:p>
      <w:pPr>
        <w:pStyle w:val="ListParagraph"/>
        <w:numPr>
          <w:ilvl w:val="0"/>
          <w:numId w:val="2"/>
        </w:numPr>
        <w:spacing w:after="40" w:before="40"/>
      </w:pPr>
      <w:r>
        <w:rPr>
          <w:rFonts w:ascii="Arial" w:cs="Arial" w:eastAsia="Arial" w:hAnsi="Arial"/>
          <w:color w:val="4A4A4A"/>
          <w:sz w:val="21"/>
          <w:szCs w:val="21"/>
        </w:rPr>
        <w:t xml:space="preserve">Customise Preferences — toggle individual cookie categories</w:t>
      </w:r>
    </w:p>
    <w:p>
      <w:pPr>
        <w:spacing w:after="120" w:before="0"/>
      </w:pPr>
    </w:p>
    <w:p>
      <w:pPr>
        <w:spacing w:after="60" w:before="60"/>
        <w:jc w:val="both"/>
      </w:pPr>
      <w:r>
        <w:rPr>
          <w:rFonts w:ascii="Arial" w:cs="Arial" w:eastAsia="Arial" w:hAnsi="Arial"/>
          <w:color w:val="4A4A4A"/>
          <w:sz w:val="21"/>
          <w:szCs w:val="21"/>
        </w:rPr>
        <w:t xml:space="preserve">Your consent choice is stored for 12 months. You may change it at any time by clicking 'Cookie Settings' in the footer of any page.</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15. How to Disable Cookies in Your Browser</w:t>
      </w:r>
    </w:p>
    <w:p>
      <w:pPr>
        <w:spacing w:after="60" w:before="60"/>
        <w:jc w:val="both"/>
      </w:pPr>
      <w:r>
        <w:rPr>
          <w:rFonts w:ascii="Arial" w:cs="Arial" w:eastAsia="Arial" w:hAnsi="Arial"/>
          <w:color w:val="4A4A4A"/>
          <w:sz w:val="21"/>
          <w:szCs w:val="21"/>
        </w:rPr>
        <w:t xml:space="preserve">You can also manage cookies directly through your browser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Google Chrome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Settings &gt; Privacy and security &gt; Cookies and other site data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Mozilla Firefox</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Options &gt; Privacy &amp; Security &gt; Cookies and Site Data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Safari</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Preferences &gt; Privacy &gt; Manage Website Data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Microsoft Edge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Settings &gt; Cookies and site permissions &gt; Cookies and site data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Opera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Settings &gt; Advanced &gt; Privacy &amp; security &gt; Site Settings &gt; Cookies</w:t>
            </w:r>
          </w:p>
        </w:tc>
      </w:tr>
    </w:tbl>
    <w:p>
      <w:pPr>
        <w:pBdr>
          <w:left w:val="single" w:color="C0392B" w:sz="12"/>
        </w:pBdr>
        <w:shd w:fill="FDF2F0" w:val="clear"/>
        <w:spacing w:after="120" w:before="120"/>
        <w:ind w:left="240"/>
      </w:pPr>
      <w:r>
        <w:rPr>
          <w:rFonts w:ascii="Arial" w:cs="Arial" w:eastAsia="Arial" w:hAnsi="Arial"/>
          <w:b/>
          <w:bCs/>
          <w:color w:val="C0392B"/>
          <w:sz w:val="21"/>
          <w:szCs w:val="21"/>
        </w:rPr>
        <w:t xml:space="preserve">⚠  Disabling essential cookies will prevent you from logging into your account and placing orders.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16. Third-Party Cookies</w:t>
      </w:r>
    </w:p>
    <w:p>
      <w:pPr>
        <w:spacing w:after="60" w:before="60"/>
        <w:jc w:val="both"/>
      </w:pPr>
      <w:r>
        <w:rPr>
          <w:rFonts w:ascii="Arial" w:cs="Arial" w:eastAsia="Arial" w:hAnsi="Arial"/>
          <w:color w:val="4A4A4A"/>
          <w:sz w:val="21"/>
          <w:szCs w:val="21"/>
        </w:rPr>
        <w:t xml:space="preserve">Some third-party services (such as Google Analytics) may also place their own cookies. These are governed by the privacy policies of those third parties:</w:t>
      </w:r>
    </w:p>
    <w:p>
      <w:pPr>
        <w:pStyle w:val="ListParagraph"/>
        <w:numPr>
          <w:ilvl w:val="0"/>
          <w:numId w:val="2"/>
        </w:numPr>
        <w:spacing w:after="40" w:before="40"/>
      </w:pPr>
      <w:r>
        <w:rPr>
          <w:rFonts w:ascii="Arial" w:cs="Arial" w:eastAsia="Arial" w:hAnsi="Arial"/>
          <w:color w:val="4A4A4A"/>
          <w:sz w:val="21"/>
          <w:szCs w:val="21"/>
        </w:rPr>
        <w:t xml:space="preserve">Google Analytics: https://policies.google.com/privacy</w:t>
      </w:r>
    </w:p>
    <w:p>
      <w:pPr>
        <w:pStyle w:val="ListParagraph"/>
        <w:numPr>
          <w:ilvl w:val="0"/>
          <w:numId w:val="2"/>
        </w:numPr>
        <w:spacing w:after="40" w:before="40"/>
      </w:pPr>
      <w:r>
        <w:rPr>
          <w:rFonts w:ascii="Arial" w:cs="Arial" w:eastAsia="Arial" w:hAnsi="Arial"/>
          <w:color w:val="4A4A4A"/>
          <w:sz w:val="21"/>
          <w:szCs w:val="21"/>
        </w:rPr>
        <w:t xml:space="preserve">Razorpay: https://razorpay.com/privacy/</w:t>
      </w:r>
    </w:p>
    <w:p>
      <w:pPr>
        <w:pStyle w:val="ListParagraph"/>
        <w:numPr>
          <w:ilvl w:val="0"/>
          <w:numId w:val="2"/>
        </w:numPr>
        <w:spacing w:after="40" w:before="40"/>
      </w:pPr>
      <w:r>
        <w:rPr>
          <w:rFonts w:ascii="Arial" w:cs="Arial" w:eastAsia="Arial" w:hAnsi="Arial"/>
          <w:color w:val="4A4A4A"/>
          <w:sz w:val="21"/>
          <w:szCs w:val="21"/>
        </w:rPr>
        <w:t xml:space="preserve">Cloudflare: https://www.cloudflare.com/privacypolicy/</w:t>
      </w:r>
    </w:p>
    <w:p>
      <w:pPr>
        <w:spacing w:after="60" w:before="60"/>
        <w:jc w:val="both"/>
      </w:pPr>
      <w:r>
        <w:rPr>
          <w:rFonts w:ascii="Arial" w:cs="Arial" w:eastAsia="Arial" w:hAnsi="Arial"/>
          <w:color w:val="4A4A4A"/>
          <w:sz w:val="21"/>
          <w:szCs w:val="21"/>
        </w:rPr>
        <w:t xml:space="preserve">We do not control third-party cookies and encourage you to review the relevant policies directly.</w:t>
      </w:r>
    </w:p>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PART 3 — REFUND, RETURNS &amp; CANCELLATION POLICY</w:t>
      </w:r>
    </w:p>
    <w:p>
      <w:pPr>
        <w:spacing w:after="12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reviewflo.in sells digital services (website name reviews). Because our deliverables are intangible and delivered electronically, specific conditions govern refunds. Please read this section carefully before purchasing.</w:t>
      </w:r>
    </w:p>
    <w:p>
      <w:pPr>
        <w:pStyle w:val="Heading2"/>
        <w:pBdr>
          <w:bottom w:val="single" w:color="2E86AB" w:sz="6" w:space="2"/>
        </w:pBdr>
        <w:spacing w:after="120" w:before="300"/>
      </w:pPr>
      <w:r>
        <w:rPr>
          <w:rFonts w:ascii="Arial" w:cs="Arial" w:eastAsia="Arial" w:hAnsi="Arial"/>
          <w:b/>
          <w:bCs/>
          <w:color w:val="1A3C5E"/>
          <w:sz w:val="26"/>
          <w:szCs w:val="26"/>
        </w:rPr>
        <w:t xml:space="preserve">17. General Refund Eligibility</w:t>
      </w:r>
    </w:p>
    <w:p>
      <w:pPr>
        <w:pStyle w:val="Heading3"/>
        <w:spacing w:after="80" w:before="220"/>
      </w:pPr>
      <w:r>
        <w:rPr>
          <w:rFonts w:ascii="Arial" w:cs="Arial" w:eastAsia="Arial" w:hAnsi="Arial"/>
          <w:b/>
          <w:bCs/>
          <w:color w:val="2E86AB"/>
          <w:sz w:val="22"/>
          <w:szCs w:val="22"/>
        </w:rPr>
        <w:t xml:space="preserve">17.1 Eligible for Refund</w:t>
      </w:r>
    </w:p>
    <w:p>
      <w:pPr>
        <w:pStyle w:val="ListParagraph"/>
        <w:numPr>
          <w:ilvl w:val="0"/>
          <w:numId w:val="2"/>
        </w:numPr>
        <w:spacing w:after="40" w:before="40"/>
      </w:pPr>
      <w:r>
        <w:rPr>
          <w:rFonts w:ascii="Arial" w:cs="Arial" w:eastAsia="Arial" w:hAnsi="Arial"/>
          <w:color w:val="4A4A4A"/>
          <w:sz w:val="21"/>
          <w:szCs w:val="21"/>
        </w:rPr>
        <w:t xml:space="preserve">Order placed but review report has NOT yet been delivered within the stated turnaround time (as displayed at checkout).</w:t>
      </w:r>
    </w:p>
    <w:p>
      <w:pPr>
        <w:pStyle w:val="ListParagraph"/>
        <w:numPr>
          <w:ilvl w:val="0"/>
          <w:numId w:val="2"/>
        </w:numPr>
        <w:spacing w:after="40" w:before="40"/>
      </w:pPr>
      <w:r>
        <w:rPr>
          <w:rFonts w:ascii="Arial" w:cs="Arial" w:eastAsia="Arial" w:hAnsi="Arial"/>
          <w:color w:val="4A4A4A"/>
          <w:sz w:val="21"/>
          <w:szCs w:val="21"/>
        </w:rPr>
        <w:t xml:space="preserve">You received a materially incorrect review (e.g., the wrong domain name was reviewed).</w:t>
      </w:r>
    </w:p>
    <w:p>
      <w:pPr>
        <w:pStyle w:val="ListParagraph"/>
        <w:numPr>
          <w:ilvl w:val="0"/>
          <w:numId w:val="2"/>
        </w:numPr>
        <w:spacing w:after="40" w:before="40"/>
      </w:pPr>
      <w:r>
        <w:rPr>
          <w:rFonts w:ascii="Arial" w:cs="Arial" w:eastAsia="Arial" w:hAnsi="Arial"/>
          <w:color w:val="4A4A4A"/>
          <w:sz w:val="21"/>
          <w:szCs w:val="21"/>
        </w:rPr>
        <w:t xml:space="preserve">Duplicate charge for the same order due to a payment processing error.</w:t>
      </w:r>
    </w:p>
    <w:p>
      <w:pPr>
        <w:pStyle w:val="ListParagraph"/>
        <w:numPr>
          <w:ilvl w:val="0"/>
          <w:numId w:val="2"/>
        </w:numPr>
        <w:spacing w:after="40" w:before="40"/>
      </w:pPr>
      <w:r>
        <w:rPr>
          <w:rFonts w:ascii="Arial" w:cs="Arial" w:eastAsia="Arial" w:hAnsi="Arial"/>
          <w:color w:val="4A4A4A"/>
          <w:sz w:val="21"/>
          <w:szCs w:val="21"/>
        </w:rPr>
        <w:t xml:space="preserve">Service was unavailable for more than 48 consecutive hours after payment.</w:t>
      </w:r>
    </w:p>
    <w:p>
      <w:pPr>
        <w:pStyle w:val="Heading3"/>
        <w:spacing w:after="80" w:before="220"/>
      </w:pPr>
      <w:r>
        <w:rPr>
          <w:rFonts w:ascii="Arial" w:cs="Arial" w:eastAsia="Arial" w:hAnsi="Arial"/>
          <w:b/>
          <w:bCs/>
          <w:color w:val="2E86AB"/>
          <w:sz w:val="22"/>
          <w:szCs w:val="22"/>
        </w:rPr>
        <w:t xml:space="preserve">17.2 Not Eligible for Refund</w:t>
      </w:r>
    </w:p>
    <w:p>
      <w:pPr>
        <w:pStyle w:val="ListParagraph"/>
        <w:numPr>
          <w:ilvl w:val="0"/>
          <w:numId w:val="2"/>
        </w:numPr>
        <w:spacing w:after="40" w:before="40"/>
      </w:pPr>
      <w:r>
        <w:rPr>
          <w:rFonts w:ascii="Arial" w:cs="Arial" w:eastAsia="Arial" w:hAnsi="Arial"/>
          <w:color w:val="4A4A4A"/>
          <w:sz w:val="21"/>
          <w:szCs w:val="21"/>
        </w:rPr>
        <w:t xml:space="preserve">Review report has been delivered to your registered email or account dashboard.</w:t>
      </w:r>
    </w:p>
    <w:p>
      <w:pPr>
        <w:pStyle w:val="ListParagraph"/>
        <w:numPr>
          <w:ilvl w:val="0"/>
          <w:numId w:val="2"/>
        </w:numPr>
        <w:spacing w:after="40" w:before="40"/>
      </w:pPr>
      <w:r>
        <w:rPr>
          <w:rFonts w:ascii="Arial" w:cs="Arial" w:eastAsia="Arial" w:hAnsi="Arial"/>
          <w:color w:val="4A4A4A"/>
          <w:sz w:val="21"/>
          <w:szCs w:val="21"/>
        </w:rPr>
        <w:t xml:space="preserve">You changed your mind after delivery.</w:t>
      </w:r>
    </w:p>
    <w:p>
      <w:pPr>
        <w:pStyle w:val="ListParagraph"/>
        <w:numPr>
          <w:ilvl w:val="0"/>
          <w:numId w:val="2"/>
        </w:numPr>
        <w:spacing w:after="40" w:before="40"/>
      </w:pPr>
      <w:r>
        <w:rPr>
          <w:rFonts w:ascii="Arial" w:cs="Arial" w:eastAsia="Arial" w:hAnsi="Arial"/>
          <w:color w:val="4A4A4A"/>
          <w:sz w:val="21"/>
          <w:szCs w:val="21"/>
        </w:rPr>
        <w:t xml:space="preserve">The domain name received an unfavourable review outcome.</w:t>
      </w:r>
    </w:p>
    <w:p>
      <w:pPr>
        <w:pStyle w:val="ListParagraph"/>
        <w:numPr>
          <w:ilvl w:val="0"/>
          <w:numId w:val="2"/>
        </w:numPr>
        <w:spacing w:after="40" w:before="40"/>
      </w:pPr>
      <w:r>
        <w:rPr>
          <w:rFonts w:ascii="Arial" w:cs="Arial" w:eastAsia="Arial" w:hAnsi="Arial"/>
          <w:color w:val="4A4A4A"/>
          <w:sz w:val="21"/>
          <w:szCs w:val="21"/>
        </w:rPr>
        <w:t xml:space="preserve">You failed to provide correct domain/website information at checkout.</w:t>
      </w:r>
    </w:p>
    <w:p>
      <w:pPr>
        <w:pStyle w:val="ListParagraph"/>
        <w:numPr>
          <w:ilvl w:val="0"/>
          <w:numId w:val="2"/>
        </w:numPr>
        <w:spacing w:after="40" w:before="40"/>
      </w:pPr>
      <w:r>
        <w:rPr>
          <w:rFonts w:ascii="Arial" w:cs="Arial" w:eastAsia="Arial" w:hAnsi="Arial"/>
          <w:color w:val="4A4A4A"/>
          <w:sz w:val="21"/>
          <w:szCs w:val="21"/>
        </w:rPr>
        <w:t xml:space="preserve">Discount codes or promotional credits used — these are non-refundable.</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18. Refund Window</w:t>
      </w:r>
    </w:p>
    <w:p>
      <w:pPr>
        <w:spacing w:after="60" w:before="60"/>
        <w:jc w:val="both"/>
      </w:pPr>
      <w:r>
        <w:rPr>
          <w:rFonts w:ascii="Arial" w:cs="Arial" w:eastAsia="Arial" w:hAnsi="Arial"/>
          <w:color w:val="4A4A4A"/>
          <w:sz w:val="21"/>
          <w:szCs w:val="21"/>
        </w:rPr>
        <w:t xml:space="preserve">Refund requests must be submitted within 7 calendar days of the purchase date. Requests submitted after 7 days will not be accepted, except where required by applicable consumer law.</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19. How to Request a Refund</w:t>
      </w:r>
    </w:p>
    <w:p>
      <w:pPr>
        <w:pStyle w:val="ListParagraph"/>
        <w:numPr>
          <w:ilvl w:val="0"/>
          <w:numId w:val="3"/>
        </w:numPr>
        <w:spacing w:after="40" w:before="40"/>
      </w:pPr>
      <w:r>
        <w:rPr>
          <w:rFonts w:ascii="Arial" w:cs="Arial" w:eastAsia="Arial" w:hAnsi="Arial"/>
          <w:color w:val="4A4A4A"/>
          <w:sz w:val="21"/>
          <w:szCs w:val="21"/>
        </w:rPr>
        <w:t xml:space="preserve">Email refunds@reviewflo.in with the subject line 'Refund Request — Order #[your order number]'.</w:t>
      </w:r>
    </w:p>
    <w:p>
      <w:pPr>
        <w:pStyle w:val="ListParagraph"/>
        <w:numPr>
          <w:ilvl w:val="0"/>
          <w:numId w:val="3"/>
        </w:numPr>
        <w:spacing w:after="40" w:before="40"/>
      </w:pPr>
      <w:r>
        <w:rPr>
          <w:rFonts w:ascii="Arial" w:cs="Arial" w:eastAsia="Arial" w:hAnsi="Arial"/>
          <w:color w:val="4A4A4A"/>
          <w:sz w:val="21"/>
          <w:szCs w:val="21"/>
        </w:rPr>
        <w:t xml:space="preserve">Include your registered email address and a brief description of the reason.</w:t>
      </w:r>
    </w:p>
    <w:p>
      <w:pPr>
        <w:pStyle w:val="ListParagraph"/>
        <w:numPr>
          <w:ilvl w:val="0"/>
          <w:numId w:val="3"/>
        </w:numPr>
        <w:spacing w:after="40" w:before="40"/>
      </w:pPr>
      <w:r>
        <w:rPr>
          <w:rFonts w:ascii="Arial" w:cs="Arial" w:eastAsia="Arial" w:hAnsi="Arial"/>
          <w:color w:val="4A4A4A"/>
          <w:sz w:val="21"/>
          <w:szCs w:val="21"/>
        </w:rPr>
        <w:t xml:space="preserve">Our support team will acknowledge your request within 2 business days.</w:t>
      </w:r>
    </w:p>
    <w:p>
      <w:pPr>
        <w:pStyle w:val="ListParagraph"/>
        <w:numPr>
          <w:ilvl w:val="0"/>
          <w:numId w:val="3"/>
        </w:numPr>
        <w:spacing w:after="40" w:before="40"/>
      </w:pPr>
      <w:r>
        <w:rPr>
          <w:rFonts w:ascii="Arial" w:cs="Arial" w:eastAsia="Arial" w:hAnsi="Arial"/>
          <w:color w:val="4A4A4A"/>
          <w:sz w:val="21"/>
          <w:szCs w:val="21"/>
        </w:rPr>
        <w:t xml:space="preserve">Eligible refunds will be processed within 5–7 business days to your original payment method.</w:t>
      </w:r>
    </w:p>
    <w:p>
      <w:pPr>
        <w:pStyle w:val="ListParagraph"/>
        <w:numPr>
          <w:ilvl w:val="0"/>
          <w:numId w:val="3"/>
        </w:numPr>
        <w:spacing w:after="40" w:before="40"/>
      </w:pPr>
      <w:r>
        <w:rPr>
          <w:rFonts w:ascii="Arial" w:cs="Arial" w:eastAsia="Arial" w:hAnsi="Arial"/>
          <w:color w:val="4A4A4A"/>
          <w:sz w:val="21"/>
          <w:szCs w:val="21"/>
        </w:rPr>
        <w:t xml:space="preserve">Bank processing time may add a further 3–5 business days depending on your bank.</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20. Website-Sale Refund Exclusion — Code Theft Trust Concerns</w:t>
      </w:r>
    </w:p>
    <w:p>
      <w:pPr>
        <w:spacing w:after="120" w:before="0"/>
      </w:pPr>
    </w:p>
    <w:p>
      <w:pPr>
        <w:pStyle w:val="Heading3"/>
        <w:spacing w:after="80" w:before="220"/>
      </w:pPr>
      <w:r>
        <w:rPr>
          <w:rFonts w:ascii="Arial" w:cs="Arial" w:eastAsia="Arial" w:hAnsi="Arial"/>
          <w:b/>
          <w:bCs/>
          <w:color w:val="2E86AB"/>
          <w:sz w:val="22"/>
          <w:szCs w:val="22"/>
        </w:rPr>
        <w:t xml:space="preserve">20.1 What This Section Covers</w:t>
      </w:r>
    </w:p>
    <w:p>
      <w:pPr>
        <w:spacing w:after="60" w:before="60"/>
        <w:jc w:val="both"/>
      </w:pPr>
      <w:r>
        <w:rPr>
          <w:rFonts w:ascii="Arial" w:cs="Arial" w:eastAsia="Arial" w:hAnsi="Arial"/>
          <w:color w:val="4A4A4A"/>
          <w:sz w:val="21"/>
          <w:szCs w:val="21"/>
        </w:rPr>
        <w:t xml:space="preserve">In some cases, a customer purchases a website name review for a domain and subsequently sells that website or domain name to a third party. A concern unique to our business model arises when such a sale occurs in circumstances suggesting the customer may have used our review report as leverage in the transaction — potentially in a manner that involves the unauthorised sharing or reproduction of our proprietary review content ('code theft').</w:t>
      </w:r>
    </w:p>
    <w:p>
      <w:pPr>
        <w:spacing w:after="120" w:before="0"/>
      </w:pPr>
    </w:p>
    <w:p>
      <w:pPr>
        <w:pStyle w:val="Heading3"/>
        <w:spacing w:after="80" w:before="220"/>
      </w:pPr>
      <w:r>
        <w:rPr>
          <w:rFonts w:ascii="Arial" w:cs="Arial" w:eastAsia="Arial" w:hAnsi="Arial"/>
          <w:b/>
          <w:bCs/>
          <w:color w:val="2E86AB"/>
          <w:sz w:val="22"/>
          <w:szCs w:val="22"/>
        </w:rPr>
        <w:t xml:space="preserve">20.2 The No-Refund Rule on Website Sales</w:t>
      </w:r>
    </w:p>
    <w:p>
      <w:pPr>
        <w:pBdr>
          <w:left w:val="single" w:color="C0392B" w:sz="12"/>
        </w:pBdr>
        <w:shd w:fill="FDF2F0" w:val="clear"/>
        <w:spacing w:after="120" w:before="120"/>
        <w:ind w:left="240"/>
      </w:pPr>
      <w:r>
        <w:rPr>
          <w:rFonts w:ascii="Arial" w:cs="Arial" w:eastAsia="Arial" w:hAnsi="Arial"/>
          <w:b/>
          <w:bCs/>
          <w:color w:val="C0392B"/>
          <w:sz w:val="21"/>
          <w:szCs w:val="21"/>
        </w:rPr>
        <w:t xml:space="preserve">⚠  If a domain or website that was the subject of a purchased review has been SOLD (transferred to a third party) after the review was delivered, NO REFUND will be issued regardless of the stated reason for the refund request.</w:t>
      </w:r>
    </w:p>
    <w:p>
      <w:pPr>
        <w:spacing w:after="120" w:before="0"/>
      </w:pPr>
    </w:p>
    <w:p>
      <w:pPr>
        <w:spacing w:after="60" w:before="60"/>
        <w:jc w:val="both"/>
      </w:pPr>
      <w:r>
        <w:rPr>
          <w:rFonts w:ascii="Arial" w:cs="Arial" w:eastAsia="Arial" w:hAnsi="Arial"/>
          <w:color w:val="4A4A4A"/>
          <w:sz w:val="21"/>
          <w:szCs w:val="21"/>
        </w:rPr>
        <w:t xml:space="preserve">The rationale for this policy is as follows:</w:t>
      </w:r>
    </w:p>
    <w:p>
      <w:pPr>
        <w:pStyle w:val="ListParagraph"/>
        <w:numPr>
          <w:ilvl w:val="0"/>
          <w:numId w:val="2"/>
        </w:numPr>
        <w:spacing w:after="40" w:before="40"/>
      </w:pPr>
      <w:r>
        <w:rPr>
          <w:rFonts w:ascii="Arial" w:cs="Arial" w:eastAsia="Arial" w:hAnsi="Arial"/>
          <w:color w:val="4A4A4A"/>
          <w:sz w:val="21"/>
          <w:szCs w:val="21"/>
        </w:rPr>
        <w:t xml:space="preserve">Our review reports are proprietary intellectual property delivered as a digital service.</w:t>
      </w:r>
    </w:p>
    <w:p>
      <w:pPr>
        <w:pStyle w:val="ListParagraph"/>
        <w:numPr>
          <w:ilvl w:val="0"/>
          <w:numId w:val="2"/>
        </w:numPr>
        <w:spacing w:after="40" w:before="40"/>
      </w:pPr>
      <w:r>
        <w:rPr>
          <w:rFonts w:ascii="Arial" w:cs="Arial" w:eastAsia="Arial" w:hAnsi="Arial"/>
          <w:color w:val="4A4A4A"/>
          <w:sz w:val="21"/>
          <w:szCs w:val="21"/>
        </w:rPr>
        <w:t xml:space="preserve">Once a website is sold, the value of our report has likely been realised — whether disclosed to the buyer or used to establish pricing.</w:t>
      </w:r>
    </w:p>
    <w:p>
      <w:pPr>
        <w:pStyle w:val="ListParagraph"/>
        <w:numPr>
          <w:ilvl w:val="0"/>
          <w:numId w:val="2"/>
        </w:numPr>
        <w:spacing w:after="40" w:before="40"/>
      </w:pPr>
      <w:r>
        <w:rPr>
          <w:rFonts w:ascii="Arial" w:cs="Arial" w:eastAsia="Arial" w:hAnsi="Arial"/>
          <w:color w:val="4A4A4A"/>
          <w:sz w:val="21"/>
          <w:szCs w:val="21"/>
        </w:rPr>
        <w:t xml:space="preserve">We have no practical means to verify whether our report content was reproduced, shared, or used to induce a sale without authorisation.</w:t>
      </w:r>
    </w:p>
    <w:p>
      <w:pPr>
        <w:pStyle w:val="ListParagraph"/>
        <w:numPr>
          <w:ilvl w:val="0"/>
          <w:numId w:val="2"/>
        </w:numPr>
        <w:spacing w:after="40" w:before="40"/>
      </w:pPr>
      <w:r>
        <w:rPr>
          <w:rFonts w:ascii="Arial" w:cs="Arial" w:eastAsia="Arial" w:hAnsi="Arial"/>
          <w:color w:val="4A4A4A"/>
          <w:sz w:val="21"/>
          <w:szCs w:val="21"/>
        </w:rPr>
        <w:t xml:space="preserve">A refund in such circumstances would unjustly enrich the customer who has already received and benefited from our service.</w:t>
      </w:r>
    </w:p>
    <w:p>
      <w:pPr>
        <w:spacing w:after="120" w:before="0"/>
      </w:pPr>
    </w:p>
    <w:p>
      <w:pPr>
        <w:pStyle w:val="Heading3"/>
        <w:spacing w:after="80" w:before="220"/>
      </w:pPr>
      <w:r>
        <w:rPr>
          <w:rFonts w:ascii="Arial" w:cs="Arial" w:eastAsia="Arial" w:hAnsi="Arial"/>
          <w:b/>
          <w:bCs/>
          <w:color w:val="2E86AB"/>
          <w:sz w:val="22"/>
          <w:szCs w:val="22"/>
        </w:rPr>
        <w:t xml:space="preserve">20.3 Context and Limitations</w:t>
      </w:r>
    </w:p>
    <w:p>
      <w:pPr>
        <w:spacing w:after="60" w:before="60"/>
        <w:jc w:val="both"/>
      </w:pPr>
      <w:r>
        <w:rPr>
          <w:rFonts w:ascii="Arial" w:cs="Arial" w:eastAsia="Arial" w:hAnsi="Arial"/>
          <w:color w:val="4A4A4A"/>
          <w:sz w:val="21"/>
          <w:szCs w:val="21"/>
        </w:rPr>
        <w:t xml:space="preserve">This policy applies only where:</w:t>
      </w:r>
    </w:p>
    <w:p>
      <w:pPr>
        <w:pStyle w:val="ListParagraph"/>
        <w:numPr>
          <w:ilvl w:val="0"/>
          <w:numId w:val="2"/>
        </w:numPr>
        <w:spacing w:after="40" w:before="40"/>
      </w:pPr>
      <w:r>
        <w:rPr>
          <w:rFonts w:ascii="Arial" w:cs="Arial" w:eastAsia="Arial" w:hAnsi="Arial"/>
          <w:color w:val="4A4A4A"/>
          <w:sz w:val="21"/>
          <w:szCs w:val="21"/>
        </w:rPr>
        <w:t xml:space="preserve">The review has been delivered (i.e., the digital service fully rendered);</w:t>
      </w:r>
    </w:p>
    <w:p>
      <w:pPr>
        <w:pStyle w:val="ListParagraph"/>
        <w:numPr>
          <w:ilvl w:val="0"/>
          <w:numId w:val="2"/>
        </w:numPr>
        <w:spacing w:after="40" w:before="40"/>
      </w:pPr>
      <w:r>
        <w:rPr>
          <w:rFonts w:ascii="Arial" w:cs="Arial" w:eastAsia="Arial" w:hAnsi="Arial"/>
          <w:color w:val="4A4A4A"/>
          <w:sz w:val="21"/>
          <w:szCs w:val="21"/>
        </w:rPr>
        <w:t xml:space="preserve">Evidence exists or is reasonably apparent that the domain/website subject to review has been sold or transferred;</w:t>
      </w:r>
    </w:p>
    <w:p>
      <w:pPr>
        <w:pStyle w:val="ListParagraph"/>
        <w:numPr>
          <w:ilvl w:val="0"/>
          <w:numId w:val="2"/>
        </w:numPr>
        <w:spacing w:after="40" w:before="40"/>
      </w:pPr>
      <w:r>
        <w:rPr>
          <w:rFonts w:ascii="Arial" w:cs="Arial" w:eastAsia="Arial" w:hAnsi="Arial"/>
          <w:color w:val="4A4A4A"/>
          <w:sz w:val="21"/>
          <w:szCs w:val="21"/>
        </w:rPr>
        <w:t xml:space="preserve">The refund request is made after or in close proximity to the sale.</w:t>
      </w:r>
    </w:p>
    <w:p>
      <w:pPr>
        <w:spacing w:after="120" w:before="0"/>
      </w:pPr>
    </w:p>
    <w:p>
      <w:pPr>
        <w:spacing w:after="60" w:before="60"/>
        <w:jc w:val="both"/>
      </w:pPr>
      <w:r>
        <w:rPr>
          <w:rFonts w:ascii="Arial" w:cs="Arial" w:eastAsia="Arial" w:hAnsi="Arial"/>
          <w:color w:val="4A4A4A"/>
          <w:sz w:val="21"/>
          <w:szCs w:val="21"/>
        </w:rPr>
        <w:t xml:space="preserve">This policy does NOT apply where:</w:t>
      </w:r>
    </w:p>
    <w:p>
      <w:pPr>
        <w:pStyle w:val="ListParagraph"/>
        <w:numPr>
          <w:ilvl w:val="0"/>
          <w:numId w:val="2"/>
        </w:numPr>
        <w:spacing w:after="40" w:before="40"/>
      </w:pPr>
      <w:r>
        <w:rPr>
          <w:rFonts w:ascii="Arial" w:cs="Arial" w:eastAsia="Arial" w:hAnsi="Arial"/>
          <w:color w:val="4A4A4A"/>
          <w:sz w:val="21"/>
          <w:szCs w:val="21"/>
        </w:rPr>
        <w:t xml:space="preserve">The review was never delivered;</w:t>
      </w:r>
    </w:p>
    <w:p>
      <w:pPr>
        <w:pStyle w:val="ListParagraph"/>
        <w:numPr>
          <w:ilvl w:val="0"/>
          <w:numId w:val="2"/>
        </w:numPr>
        <w:spacing w:after="40" w:before="40"/>
      </w:pPr>
      <w:r>
        <w:rPr>
          <w:rFonts w:ascii="Arial" w:cs="Arial" w:eastAsia="Arial" w:hAnsi="Arial"/>
          <w:color w:val="4A4A4A"/>
          <w:sz w:val="21"/>
          <w:szCs w:val="21"/>
        </w:rPr>
        <w:t xml:space="preserve">The sale occurred before the review was ordered;</w:t>
      </w:r>
    </w:p>
    <w:p>
      <w:pPr>
        <w:pStyle w:val="ListParagraph"/>
        <w:numPr>
          <w:ilvl w:val="0"/>
          <w:numId w:val="2"/>
        </w:numPr>
        <w:spacing w:after="40" w:before="40"/>
      </w:pPr>
      <w:r>
        <w:rPr>
          <w:rFonts w:ascii="Arial" w:cs="Arial" w:eastAsia="Arial" w:hAnsi="Arial"/>
          <w:color w:val="4A4A4A"/>
          <w:sz w:val="21"/>
          <w:szCs w:val="21"/>
        </w:rPr>
        <w:t xml:space="preserve">The customer can demonstrate via written evidence that the sale was wholly unrelated to the review.</w:t>
      </w:r>
    </w:p>
    <w:p>
      <w:pPr>
        <w:spacing w:after="120" w:before="0"/>
      </w:pPr>
    </w:p>
    <w:p>
      <w:pPr>
        <w:pStyle w:val="Heading3"/>
        <w:spacing w:after="80" w:before="220"/>
      </w:pPr>
      <w:r>
        <w:rPr>
          <w:rFonts w:ascii="Arial" w:cs="Arial" w:eastAsia="Arial" w:hAnsi="Arial"/>
          <w:b/>
          <w:bCs/>
          <w:color w:val="2E86AB"/>
          <w:sz w:val="22"/>
          <w:szCs w:val="22"/>
        </w:rPr>
        <w:t xml:space="preserve">20.4 Available Remedies If You Believe This Rule Has Been Applied Incorrectly</w:t>
      </w:r>
    </w:p>
    <w:p>
      <w:pPr>
        <w:pStyle w:val="ListParagraph"/>
        <w:numPr>
          <w:ilvl w:val="0"/>
          <w:numId w:val="2"/>
        </w:numPr>
        <w:spacing w:after="40" w:before="40"/>
      </w:pPr>
      <w:r>
        <w:rPr>
          <w:rFonts w:ascii="Arial" w:cs="Arial" w:eastAsia="Arial" w:hAnsi="Arial"/>
          <w:color w:val="4A4A4A"/>
          <w:sz w:val="21"/>
          <w:szCs w:val="21"/>
        </w:rPr>
        <w:t xml:space="preserve">Submit a written dispute to legal@reviewflo.in within 14 days of receiving our refund denial.</w:t>
      </w:r>
    </w:p>
    <w:p>
      <w:pPr>
        <w:pStyle w:val="ListParagraph"/>
        <w:numPr>
          <w:ilvl w:val="0"/>
          <w:numId w:val="2"/>
        </w:numPr>
        <w:spacing w:after="40" w:before="40"/>
      </w:pPr>
      <w:r>
        <w:rPr>
          <w:rFonts w:ascii="Arial" w:cs="Arial" w:eastAsia="Arial" w:hAnsi="Arial"/>
          <w:color w:val="4A4A4A"/>
          <w:sz w:val="21"/>
          <w:szCs w:val="21"/>
        </w:rPr>
        <w:t xml:space="preserve">Provide documentary evidence (such as a sale agreement date predating the review order) supporting your position.</w:t>
      </w:r>
    </w:p>
    <w:p>
      <w:pPr>
        <w:pStyle w:val="ListParagraph"/>
        <w:numPr>
          <w:ilvl w:val="0"/>
          <w:numId w:val="2"/>
        </w:numPr>
        <w:spacing w:after="40" w:before="40"/>
      </w:pPr>
      <w:r>
        <w:rPr>
          <w:rFonts w:ascii="Arial" w:cs="Arial" w:eastAsia="Arial" w:hAnsi="Arial"/>
          <w:color w:val="4A4A4A"/>
          <w:sz w:val="21"/>
          <w:szCs w:val="21"/>
        </w:rPr>
        <w:t xml:space="preserve">We will review your submission within 10 business days and issue a written decision.</w:t>
      </w:r>
    </w:p>
    <w:p>
      <w:pPr>
        <w:pStyle w:val="ListParagraph"/>
        <w:numPr>
          <w:ilvl w:val="0"/>
          <w:numId w:val="2"/>
        </w:numPr>
        <w:spacing w:after="40" w:before="40"/>
      </w:pPr>
      <w:r>
        <w:rPr>
          <w:rFonts w:ascii="Arial" w:cs="Arial" w:eastAsia="Arial" w:hAnsi="Arial"/>
          <w:color w:val="4A4A4A"/>
          <w:sz w:val="21"/>
          <w:szCs w:val="21"/>
        </w:rPr>
        <w:t xml:space="preserve">If dissatisfied, you may escalate to the consumer forum or relevant authority in your jurisdiction (see Section 28).</w:t>
      </w:r>
    </w:p>
    <w:p>
      <w:pPr>
        <w:spacing w:after="12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This provision does not override your statutory consumer rights. Where mandatory consumer protection laws in your jurisdiction require a refund, those laws prevail.</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21. Cancellations</w:t>
      </w:r>
    </w:p>
    <w:p>
      <w:pPr>
        <w:pStyle w:val="Heading3"/>
        <w:spacing w:after="80" w:before="220"/>
      </w:pPr>
      <w:r>
        <w:rPr>
          <w:rFonts w:ascii="Arial" w:cs="Arial" w:eastAsia="Arial" w:hAnsi="Arial"/>
          <w:b/>
          <w:bCs/>
          <w:color w:val="2E86AB"/>
          <w:sz w:val="22"/>
          <w:szCs w:val="22"/>
        </w:rPr>
        <w:t xml:space="preserve">21.1 Before Delivery</w:t>
      </w:r>
    </w:p>
    <w:p>
      <w:pPr>
        <w:spacing w:after="60" w:before="60"/>
        <w:jc w:val="both"/>
      </w:pPr>
      <w:r>
        <w:rPr>
          <w:rFonts w:ascii="Arial" w:cs="Arial" w:eastAsia="Arial" w:hAnsi="Arial"/>
          <w:color w:val="4A4A4A"/>
          <w:sz w:val="21"/>
          <w:szCs w:val="21"/>
        </w:rPr>
        <w:t xml:space="preserve">You may cancel an order at any time before the review report is delivered. Contact support@reviewflo.in with your order number. A full refund will be issued within 5 business days.</w:t>
      </w:r>
    </w:p>
    <w:p>
      <w:pPr>
        <w:pStyle w:val="Heading3"/>
        <w:spacing w:after="80" w:before="220"/>
      </w:pPr>
      <w:r>
        <w:rPr>
          <w:rFonts w:ascii="Arial" w:cs="Arial" w:eastAsia="Arial" w:hAnsi="Arial"/>
          <w:b/>
          <w:bCs/>
          <w:color w:val="2E86AB"/>
          <w:sz w:val="22"/>
          <w:szCs w:val="22"/>
        </w:rPr>
        <w:t xml:space="preserve">21.2 After Delivery</w:t>
      </w:r>
    </w:p>
    <w:p>
      <w:pPr>
        <w:spacing w:after="60" w:before="60"/>
        <w:jc w:val="both"/>
      </w:pPr>
      <w:r>
        <w:rPr>
          <w:rFonts w:ascii="Arial" w:cs="Arial" w:eastAsia="Arial" w:hAnsi="Arial"/>
          <w:color w:val="4A4A4A"/>
          <w:sz w:val="21"/>
          <w:szCs w:val="21"/>
        </w:rPr>
        <w:t xml:space="preserve">Once a review report has been delivered, the order cannot be cancelled. However, if there is a material defect in the report, contact us within 7 days for a re-review or partial credit (at our discretion).</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22. Service Termination</w:t>
      </w:r>
    </w:p>
    <w:p>
      <w:pPr>
        <w:pStyle w:val="Heading3"/>
        <w:spacing w:after="80" w:before="220"/>
      </w:pPr>
      <w:r>
        <w:rPr>
          <w:rFonts w:ascii="Arial" w:cs="Arial" w:eastAsia="Arial" w:hAnsi="Arial"/>
          <w:b/>
          <w:bCs/>
          <w:color w:val="2E86AB"/>
          <w:sz w:val="22"/>
          <w:szCs w:val="22"/>
        </w:rPr>
        <w:t xml:space="preserve">22.1 By You</w:t>
      </w:r>
    </w:p>
    <w:p>
      <w:pPr>
        <w:spacing w:after="60" w:before="60"/>
        <w:jc w:val="both"/>
      </w:pPr>
      <w:r>
        <w:rPr>
          <w:rFonts w:ascii="Arial" w:cs="Arial" w:eastAsia="Arial" w:hAnsi="Arial"/>
          <w:color w:val="4A4A4A"/>
          <w:sz w:val="21"/>
          <w:szCs w:val="21"/>
        </w:rPr>
        <w:t xml:space="preserve">You may deactivate your account at any time by visiting Account Settings &gt; Delete Account. Pending orders will be completed or refunded (if within the eligibility window) before account deletion.</w:t>
      </w:r>
    </w:p>
    <w:p>
      <w:pPr>
        <w:pStyle w:val="Heading3"/>
        <w:spacing w:after="80" w:before="220"/>
      </w:pPr>
      <w:r>
        <w:rPr>
          <w:rFonts w:ascii="Arial" w:cs="Arial" w:eastAsia="Arial" w:hAnsi="Arial"/>
          <w:b/>
          <w:bCs/>
          <w:color w:val="2E86AB"/>
          <w:sz w:val="22"/>
          <w:szCs w:val="22"/>
        </w:rPr>
        <w:t xml:space="preserve">22.2 By Us</w:t>
      </w:r>
    </w:p>
    <w:p>
      <w:pPr>
        <w:spacing w:after="60" w:before="60"/>
        <w:jc w:val="both"/>
      </w:pPr>
      <w:r>
        <w:rPr>
          <w:rFonts w:ascii="Arial" w:cs="Arial" w:eastAsia="Arial" w:hAnsi="Arial"/>
          <w:color w:val="4A4A4A"/>
          <w:sz w:val="21"/>
          <w:szCs w:val="21"/>
        </w:rPr>
        <w:t xml:space="preserve">We reserve the right to suspend or terminate your account if:</w:t>
      </w:r>
    </w:p>
    <w:p>
      <w:pPr>
        <w:pStyle w:val="ListParagraph"/>
        <w:numPr>
          <w:ilvl w:val="0"/>
          <w:numId w:val="2"/>
        </w:numPr>
        <w:spacing w:after="40" w:before="40"/>
      </w:pPr>
      <w:r>
        <w:rPr>
          <w:rFonts w:ascii="Arial" w:cs="Arial" w:eastAsia="Arial" w:hAnsi="Arial"/>
          <w:color w:val="4A4A4A"/>
          <w:sz w:val="21"/>
          <w:szCs w:val="21"/>
        </w:rPr>
        <w:t xml:space="preserve">You breach these Terms or our Acceptable Use Policy;</w:t>
      </w:r>
    </w:p>
    <w:p>
      <w:pPr>
        <w:pStyle w:val="ListParagraph"/>
        <w:numPr>
          <w:ilvl w:val="0"/>
          <w:numId w:val="2"/>
        </w:numPr>
        <w:spacing w:after="40" w:before="40"/>
      </w:pPr>
      <w:r>
        <w:rPr>
          <w:rFonts w:ascii="Arial" w:cs="Arial" w:eastAsia="Arial" w:hAnsi="Arial"/>
          <w:color w:val="4A4A4A"/>
          <w:sz w:val="21"/>
          <w:szCs w:val="21"/>
        </w:rPr>
        <w:t xml:space="preserve">You engage in fraudulent, abusive, or illegal conduct;</w:t>
      </w:r>
    </w:p>
    <w:p>
      <w:pPr>
        <w:pStyle w:val="ListParagraph"/>
        <w:numPr>
          <w:ilvl w:val="0"/>
          <w:numId w:val="2"/>
        </w:numPr>
        <w:spacing w:after="40" w:before="40"/>
      </w:pPr>
      <w:r>
        <w:rPr>
          <w:rFonts w:ascii="Arial" w:cs="Arial" w:eastAsia="Arial" w:hAnsi="Arial"/>
          <w:color w:val="4A4A4A"/>
          <w:sz w:val="21"/>
          <w:szCs w:val="21"/>
        </w:rPr>
        <w:t xml:space="preserve">Court order or regulatory requirement mandates it.</w:t>
      </w:r>
    </w:p>
    <w:p>
      <w:pPr>
        <w:spacing w:after="120" w:before="0"/>
      </w:pPr>
    </w:p>
    <w:p>
      <w:pPr>
        <w:spacing w:after="60" w:before="60"/>
        <w:jc w:val="both"/>
      </w:pPr>
      <w:r>
        <w:rPr>
          <w:rFonts w:ascii="Arial" w:cs="Arial" w:eastAsia="Arial" w:hAnsi="Arial"/>
          <w:color w:val="4A4A4A"/>
          <w:sz w:val="21"/>
          <w:szCs w:val="21"/>
        </w:rPr>
        <w:t xml:space="preserve">Where we terminate your account without cause, we will provide 30 days' notice and refund any unused service credits.</w:t>
      </w:r>
    </w:p>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PART 4 — TERMS OF SERVICE</w:t>
      </w:r>
    </w:p>
    <w:p>
      <w:pPr>
        <w:spacing w:after="12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By accessing https://reviewflo.in or purchasing any service, you agree to be bound by these Terms of Service. If you do not agree, do not use our services.</w:t>
      </w:r>
    </w:p>
    <w:p>
      <w:pPr>
        <w:pStyle w:val="Heading2"/>
        <w:pBdr>
          <w:bottom w:val="single" w:color="2E86AB" w:sz="6" w:space="2"/>
        </w:pBdr>
        <w:spacing w:after="120" w:before="300"/>
      </w:pPr>
      <w:r>
        <w:rPr>
          <w:rFonts w:ascii="Arial" w:cs="Arial" w:eastAsia="Arial" w:hAnsi="Arial"/>
          <w:b/>
          <w:bCs/>
          <w:color w:val="1A3C5E"/>
          <w:sz w:val="26"/>
          <w:szCs w:val="26"/>
        </w:rPr>
        <w:t xml:space="preserve">23. Accounts, Payments &amp; Order Processing</w:t>
      </w:r>
    </w:p>
    <w:p>
      <w:pPr>
        <w:pStyle w:val="Heading3"/>
        <w:spacing w:after="80" w:before="220"/>
      </w:pPr>
      <w:r>
        <w:rPr>
          <w:rFonts w:ascii="Arial" w:cs="Arial" w:eastAsia="Arial" w:hAnsi="Arial"/>
          <w:b/>
          <w:bCs/>
          <w:color w:val="2E86AB"/>
          <w:sz w:val="22"/>
          <w:szCs w:val="22"/>
        </w:rPr>
        <w:t xml:space="preserve">23.1 Account Creation</w:t>
      </w:r>
    </w:p>
    <w:p>
      <w:pPr>
        <w:pStyle w:val="ListParagraph"/>
        <w:numPr>
          <w:ilvl w:val="0"/>
          <w:numId w:val="2"/>
        </w:numPr>
        <w:spacing w:after="40" w:before="40"/>
      </w:pPr>
      <w:r>
        <w:rPr>
          <w:rFonts w:ascii="Arial" w:cs="Arial" w:eastAsia="Arial" w:hAnsi="Arial"/>
          <w:color w:val="4A4A4A"/>
          <w:sz w:val="21"/>
          <w:szCs w:val="21"/>
        </w:rPr>
        <w:t xml:space="preserve">You must be at least 18 years old to create an account.</w:t>
      </w:r>
    </w:p>
    <w:p>
      <w:pPr>
        <w:pStyle w:val="ListParagraph"/>
        <w:numPr>
          <w:ilvl w:val="0"/>
          <w:numId w:val="2"/>
        </w:numPr>
        <w:spacing w:after="40" w:before="40"/>
      </w:pPr>
      <w:r>
        <w:rPr>
          <w:rFonts w:ascii="Arial" w:cs="Arial" w:eastAsia="Arial" w:hAnsi="Arial"/>
          <w:color w:val="4A4A4A"/>
          <w:sz w:val="21"/>
          <w:szCs w:val="21"/>
        </w:rPr>
        <w:t xml:space="preserve">You agree to provide accurate, current, and complete registration information.</w:t>
      </w:r>
    </w:p>
    <w:p>
      <w:pPr>
        <w:pStyle w:val="ListParagraph"/>
        <w:numPr>
          <w:ilvl w:val="0"/>
          <w:numId w:val="2"/>
        </w:numPr>
        <w:spacing w:after="40" w:before="40"/>
      </w:pPr>
      <w:r>
        <w:rPr>
          <w:rFonts w:ascii="Arial" w:cs="Arial" w:eastAsia="Arial" w:hAnsi="Arial"/>
          <w:color w:val="4A4A4A"/>
          <w:sz w:val="21"/>
          <w:szCs w:val="21"/>
        </w:rPr>
        <w:t xml:space="preserve">You are responsible for maintaining the security of your login credentials.</w:t>
      </w:r>
    </w:p>
    <w:p>
      <w:pPr>
        <w:pStyle w:val="ListParagraph"/>
        <w:numPr>
          <w:ilvl w:val="0"/>
          <w:numId w:val="2"/>
        </w:numPr>
        <w:spacing w:after="40" w:before="40"/>
      </w:pPr>
      <w:r>
        <w:rPr>
          <w:rFonts w:ascii="Arial" w:cs="Arial" w:eastAsia="Arial" w:hAnsi="Arial"/>
          <w:color w:val="4A4A4A"/>
          <w:sz w:val="21"/>
          <w:szCs w:val="21"/>
        </w:rPr>
        <w:t xml:space="preserve">One account per individual or business entity (duplicate accounts may be suspended).</w:t>
      </w:r>
    </w:p>
    <w:p>
      <w:pPr>
        <w:pStyle w:val="Heading3"/>
        <w:spacing w:after="80" w:before="220"/>
      </w:pPr>
      <w:r>
        <w:rPr>
          <w:rFonts w:ascii="Arial" w:cs="Arial" w:eastAsia="Arial" w:hAnsi="Arial"/>
          <w:b/>
          <w:bCs/>
          <w:color w:val="2E86AB"/>
          <w:sz w:val="22"/>
          <w:szCs w:val="22"/>
        </w:rPr>
        <w:t xml:space="preserve">23.2 Payment</w:t>
      </w:r>
    </w:p>
    <w:p>
      <w:pPr>
        <w:pStyle w:val="ListParagraph"/>
        <w:numPr>
          <w:ilvl w:val="0"/>
          <w:numId w:val="2"/>
        </w:numPr>
        <w:spacing w:after="40" w:before="40"/>
      </w:pPr>
      <w:r>
        <w:rPr>
          <w:rFonts w:ascii="Arial" w:cs="Arial" w:eastAsia="Arial" w:hAnsi="Arial"/>
          <w:color w:val="4A4A4A"/>
          <w:sz w:val="21"/>
          <w:szCs w:val="21"/>
        </w:rPr>
        <w:t xml:space="preserve">All prices are displayed in Indian Rupees (INR) unless otherwise stated. International customers will see converted estimates; final billing is in INR.</w:t>
      </w:r>
    </w:p>
    <w:p>
      <w:pPr>
        <w:pStyle w:val="ListParagraph"/>
        <w:numPr>
          <w:ilvl w:val="0"/>
          <w:numId w:val="2"/>
        </w:numPr>
        <w:spacing w:after="40" w:before="40"/>
      </w:pPr>
      <w:r>
        <w:rPr>
          <w:rFonts w:ascii="Arial" w:cs="Arial" w:eastAsia="Arial" w:hAnsi="Arial"/>
          <w:color w:val="4A4A4A"/>
          <w:sz w:val="21"/>
          <w:szCs w:val="21"/>
        </w:rPr>
        <w:t xml:space="preserve">Payments are processed via PCI-DSS compliant third-party gateways. We do not store card details.</w:t>
      </w:r>
    </w:p>
    <w:p>
      <w:pPr>
        <w:pStyle w:val="ListParagraph"/>
        <w:numPr>
          <w:ilvl w:val="0"/>
          <w:numId w:val="2"/>
        </w:numPr>
        <w:spacing w:after="40" w:before="40"/>
      </w:pPr>
      <w:r>
        <w:rPr>
          <w:rFonts w:ascii="Arial" w:cs="Arial" w:eastAsia="Arial" w:hAnsi="Arial"/>
          <w:color w:val="4A4A4A"/>
          <w:sz w:val="21"/>
          <w:szCs w:val="21"/>
        </w:rPr>
        <w:t xml:space="preserve">Goods and Services Tax (GST) may be applicable and will be itemised on your invoice.</w:t>
      </w:r>
    </w:p>
    <w:p>
      <w:pPr>
        <w:pStyle w:val="ListParagraph"/>
        <w:numPr>
          <w:ilvl w:val="0"/>
          <w:numId w:val="2"/>
        </w:numPr>
        <w:spacing w:after="40" w:before="40"/>
      </w:pPr>
      <w:r>
        <w:rPr>
          <w:rFonts w:ascii="Arial" w:cs="Arial" w:eastAsia="Arial" w:hAnsi="Arial"/>
          <w:color w:val="4A4A4A"/>
          <w:sz w:val="21"/>
          <w:szCs w:val="21"/>
        </w:rPr>
        <w:t xml:space="preserve">Failed payments will result in order suspension until resolved.</w:t>
      </w:r>
    </w:p>
    <w:p>
      <w:pPr>
        <w:pStyle w:val="Heading3"/>
        <w:spacing w:after="80" w:before="220"/>
      </w:pPr>
      <w:r>
        <w:rPr>
          <w:rFonts w:ascii="Arial" w:cs="Arial" w:eastAsia="Arial" w:hAnsi="Arial"/>
          <w:b/>
          <w:bCs/>
          <w:color w:val="2E86AB"/>
          <w:sz w:val="22"/>
          <w:szCs w:val="22"/>
        </w:rPr>
        <w:t xml:space="preserve">23.3 Order Processing &amp; Delivery</w:t>
      </w:r>
    </w:p>
    <w:p>
      <w:pPr>
        <w:pStyle w:val="ListParagraph"/>
        <w:numPr>
          <w:ilvl w:val="0"/>
          <w:numId w:val="2"/>
        </w:numPr>
        <w:spacing w:after="40" w:before="40"/>
      </w:pPr>
      <w:r>
        <w:rPr>
          <w:rFonts w:ascii="Arial" w:cs="Arial" w:eastAsia="Arial" w:hAnsi="Arial"/>
          <w:color w:val="4A4A4A"/>
          <w:sz w:val="21"/>
          <w:szCs w:val="21"/>
        </w:rPr>
        <w:t xml:space="preserve">After successful payment, your order enters our review queue.</w:t>
      </w:r>
    </w:p>
    <w:p>
      <w:pPr>
        <w:pStyle w:val="ListParagraph"/>
        <w:numPr>
          <w:ilvl w:val="0"/>
          <w:numId w:val="2"/>
        </w:numPr>
        <w:spacing w:after="40" w:before="40"/>
      </w:pPr>
      <w:r>
        <w:rPr>
          <w:rFonts w:ascii="Arial" w:cs="Arial" w:eastAsia="Arial" w:hAnsi="Arial"/>
          <w:color w:val="4A4A4A"/>
          <w:sz w:val="21"/>
          <w:szCs w:val="21"/>
        </w:rPr>
        <w:t xml:space="preserve">Standard turnaround: 48–72 business hours (displayed at checkout for each product).</w:t>
      </w:r>
    </w:p>
    <w:p>
      <w:pPr>
        <w:pStyle w:val="ListParagraph"/>
        <w:numPr>
          <w:ilvl w:val="0"/>
          <w:numId w:val="2"/>
        </w:numPr>
        <w:spacing w:after="40" w:before="40"/>
      </w:pPr>
      <w:r>
        <w:rPr>
          <w:rFonts w:ascii="Arial" w:cs="Arial" w:eastAsia="Arial" w:hAnsi="Arial"/>
          <w:color w:val="4A4A4A"/>
          <w:sz w:val="21"/>
          <w:szCs w:val="21"/>
        </w:rPr>
        <w:t xml:space="preserve">Expedited delivery options may be available for an additional fee.</w:t>
      </w:r>
    </w:p>
    <w:p>
      <w:pPr>
        <w:pStyle w:val="ListParagraph"/>
        <w:numPr>
          <w:ilvl w:val="0"/>
          <w:numId w:val="2"/>
        </w:numPr>
        <w:spacing w:after="40" w:before="40"/>
      </w:pPr>
      <w:r>
        <w:rPr>
          <w:rFonts w:ascii="Arial" w:cs="Arial" w:eastAsia="Arial" w:hAnsi="Arial"/>
          <w:color w:val="4A4A4A"/>
          <w:sz w:val="21"/>
          <w:szCs w:val="21"/>
        </w:rPr>
        <w:t xml:space="preserve">Review reports are delivered to your registered email address and accessible via your account dashboard.</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24. Intellectual Property</w:t>
      </w:r>
    </w:p>
    <w:p>
      <w:pPr>
        <w:pStyle w:val="Heading3"/>
        <w:spacing w:after="80" w:before="220"/>
      </w:pPr>
      <w:r>
        <w:rPr>
          <w:rFonts w:ascii="Arial" w:cs="Arial" w:eastAsia="Arial" w:hAnsi="Arial"/>
          <w:b/>
          <w:bCs/>
          <w:color w:val="2E86AB"/>
          <w:sz w:val="22"/>
          <w:szCs w:val="22"/>
        </w:rPr>
        <w:t xml:space="preserve">24.1 Our Content</w:t>
      </w:r>
    </w:p>
    <w:p>
      <w:pPr>
        <w:spacing w:after="60" w:before="60"/>
        <w:jc w:val="both"/>
      </w:pPr>
      <w:r>
        <w:rPr>
          <w:rFonts w:ascii="Arial" w:cs="Arial" w:eastAsia="Arial" w:hAnsi="Arial"/>
          <w:color w:val="4A4A4A"/>
          <w:sz w:val="21"/>
          <w:szCs w:val="21"/>
        </w:rPr>
        <w:t xml:space="preserve">All content on reviewflo.in — including review methodologies, report templates, website design, logos, trademarks, and textual content — is the exclusive intellectual property of reviewflo.in or its licensors, protected under the Copyright Act, 1957 (India), the Trade Marks Act, 1999, and applicable international IP treaties.</w:t>
      </w:r>
    </w:p>
    <w:p>
      <w:pPr>
        <w:pStyle w:val="Heading3"/>
        <w:spacing w:after="80" w:before="220"/>
      </w:pPr>
      <w:r>
        <w:rPr>
          <w:rFonts w:ascii="Arial" w:cs="Arial" w:eastAsia="Arial" w:hAnsi="Arial"/>
          <w:b/>
          <w:bCs/>
          <w:color w:val="2E86AB"/>
          <w:sz w:val="22"/>
          <w:szCs w:val="22"/>
        </w:rPr>
        <w:t xml:space="preserve">24.2 Your Review Report</w:t>
      </w:r>
    </w:p>
    <w:p>
      <w:pPr>
        <w:spacing w:after="60" w:before="60"/>
        <w:jc w:val="both"/>
      </w:pPr>
      <w:r>
        <w:rPr>
          <w:rFonts w:ascii="Arial" w:cs="Arial" w:eastAsia="Arial" w:hAnsi="Arial"/>
          <w:color w:val="4A4A4A"/>
          <w:sz w:val="21"/>
          <w:szCs w:val="21"/>
        </w:rPr>
        <w:t xml:space="preserve">Upon full payment, we grant you a non-exclusive, non-transferable, personal licence to:</w:t>
      </w:r>
    </w:p>
    <w:p>
      <w:pPr>
        <w:pStyle w:val="ListParagraph"/>
        <w:numPr>
          <w:ilvl w:val="0"/>
          <w:numId w:val="2"/>
        </w:numPr>
        <w:spacing w:after="40" w:before="40"/>
      </w:pPr>
      <w:r>
        <w:rPr>
          <w:rFonts w:ascii="Arial" w:cs="Arial" w:eastAsia="Arial" w:hAnsi="Arial"/>
          <w:color w:val="4A4A4A"/>
          <w:sz w:val="21"/>
          <w:szCs w:val="21"/>
        </w:rPr>
        <w:t xml:space="preserve">Read and use the review report for your own internal business purposes.</w:t>
      </w:r>
    </w:p>
    <w:p>
      <w:pPr>
        <w:pStyle w:val="ListParagraph"/>
        <w:numPr>
          <w:ilvl w:val="0"/>
          <w:numId w:val="2"/>
        </w:numPr>
        <w:spacing w:after="40" w:before="40"/>
      </w:pPr>
      <w:r>
        <w:rPr>
          <w:rFonts w:ascii="Arial" w:cs="Arial" w:eastAsia="Arial" w:hAnsi="Arial"/>
          <w:color w:val="4A4A4A"/>
          <w:sz w:val="21"/>
          <w:szCs w:val="21"/>
        </w:rPr>
        <w:t xml:space="preserve">Share the report with your team members or advisers under confidentiality obligations.</w:t>
      </w:r>
    </w:p>
    <w:p>
      <w:pPr>
        <w:spacing w:after="120" w:before="0"/>
      </w:pPr>
    </w:p>
    <w:p>
      <w:pPr>
        <w:pBdr>
          <w:left w:val="single" w:color="C0392B" w:sz="12"/>
        </w:pBdr>
        <w:shd w:fill="FDF2F0" w:val="clear"/>
        <w:spacing w:after="120" w:before="120"/>
        <w:ind w:left="240"/>
      </w:pPr>
      <w:r>
        <w:rPr>
          <w:rFonts w:ascii="Arial" w:cs="Arial" w:eastAsia="Arial" w:hAnsi="Arial"/>
          <w:b/>
          <w:bCs/>
          <w:color w:val="C0392B"/>
          <w:sz w:val="21"/>
          <w:szCs w:val="21"/>
        </w:rPr>
        <w:t xml:space="preserve">⚠  You may NOT reproduce, resell, sublicence, publish, or distribute the review report (in whole or in part) to third parties without our express written consent.</w:t>
      </w:r>
    </w:p>
    <w:p>
      <w:pPr>
        <w:pStyle w:val="Heading3"/>
        <w:spacing w:after="80" w:before="220"/>
      </w:pPr>
      <w:r>
        <w:rPr>
          <w:rFonts w:ascii="Arial" w:cs="Arial" w:eastAsia="Arial" w:hAnsi="Arial"/>
          <w:b/>
          <w:bCs/>
          <w:color w:val="2E86AB"/>
          <w:sz w:val="22"/>
          <w:szCs w:val="22"/>
        </w:rPr>
        <w:t xml:space="preserve">24.3 User-Generated Content</w:t>
      </w:r>
    </w:p>
    <w:p>
      <w:pPr>
        <w:spacing w:after="60" w:before="60"/>
        <w:jc w:val="both"/>
      </w:pPr>
      <w:r>
        <w:rPr>
          <w:rFonts w:ascii="Arial" w:cs="Arial" w:eastAsia="Arial" w:hAnsi="Arial"/>
          <w:color w:val="4A4A4A"/>
          <w:sz w:val="21"/>
          <w:szCs w:val="21"/>
        </w:rPr>
        <w:t xml:space="preserve">Any content you submit to us (domain names, supporting notes, feedback) remains your property. By submitting, you grant us a limited licence to use it solely for delivering and improving our services. We will not publish your submission without consent.</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25. Acceptable Use</w:t>
      </w:r>
    </w:p>
    <w:p>
      <w:pPr>
        <w:spacing w:after="60" w:before="60"/>
        <w:jc w:val="both"/>
      </w:pPr>
      <w:r>
        <w:rPr>
          <w:rFonts w:ascii="Arial" w:cs="Arial" w:eastAsia="Arial" w:hAnsi="Arial"/>
          <w:color w:val="4A4A4A"/>
          <w:sz w:val="21"/>
          <w:szCs w:val="21"/>
        </w:rPr>
        <w:t xml:space="preserve">You agree NOT to:</w:t>
      </w:r>
    </w:p>
    <w:p>
      <w:pPr>
        <w:pStyle w:val="ListParagraph"/>
        <w:numPr>
          <w:ilvl w:val="0"/>
          <w:numId w:val="2"/>
        </w:numPr>
        <w:spacing w:after="40" w:before="40"/>
      </w:pPr>
      <w:r>
        <w:rPr>
          <w:rFonts w:ascii="Arial" w:cs="Arial" w:eastAsia="Arial" w:hAnsi="Arial"/>
          <w:color w:val="4A4A4A"/>
          <w:sz w:val="21"/>
          <w:szCs w:val="21"/>
        </w:rPr>
        <w:t xml:space="preserve">Submit false, misleading, or fraudulent information with an order</w:t>
      </w:r>
    </w:p>
    <w:p>
      <w:pPr>
        <w:pStyle w:val="ListParagraph"/>
        <w:numPr>
          <w:ilvl w:val="0"/>
          <w:numId w:val="2"/>
        </w:numPr>
        <w:spacing w:after="40" w:before="40"/>
      </w:pPr>
      <w:r>
        <w:rPr>
          <w:rFonts w:ascii="Arial" w:cs="Arial" w:eastAsia="Arial" w:hAnsi="Arial"/>
          <w:color w:val="4A4A4A"/>
          <w:sz w:val="21"/>
          <w:szCs w:val="21"/>
        </w:rPr>
        <w:t xml:space="preserve">Attempt to circumvent payment or obtain reviews without payment</w:t>
      </w:r>
    </w:p>
    <w:p>
      <w:pPr>
        <w:pStyle w:val="ListParagraph"/>
        <w:numPr>
          <w:ilvl w:val="0"/>
          <w:numId w:val="2"/>
        </w:numPr>
        <w:spacing w:after="40" w:before="40"/>
      </w:pPr>
      <w:r>
        <w:rPr>
          <w:rFonts w:ascii="Arial" w:cs="Arial" w:eastAsia="Arial" w:hAnsi="Arial"/>
          <w:color w:val="4A4A4A"/>
          <w:sz w:val="21"/>
          <w:szCs w:val="21"/>
        </w:rPr>
        <w:t xml:space="preserve">Use our services for any illegal purpose</w:t>
      </w:r>
    </w:p>
    <w:p>
      <w:pPr>
        <w:pStyle w:val="ListParagraph"/>
        <w:numPr>
          <w:ilvl w:val="0"/>
          <w:numId w:val="2"/>
        </w:numPr>
        <w:spacing w:after="40" w:before="40"/>
      </w:pPr>
      <w:r>
        <w:rPr>
          <w:rFonts w:ascii="Arial" w:cs="Arial" w:eastAsia="Arial" w:hAnsi="Arial"/>
          <w:color w:val="4A4A4A"/>
          <w:sz w:val="21"/>
          <w:szCs w:val="21"/>
        </w:rPr>
        <w:t xml:space="preserve">Reverse engineer, scrape, or extract our review methodologies</w:t>
      </w:r>
    </w:p>
    <w:p>
      <w:pPr>
        <w:pStyle w:val="ListParagraph"/>
        <w:numPr>
          <w:ilvl w:val="0"/>
          <w:numId w:val="2"/>
        </w:numPr>
        <w:spacing w:after="40" w:before="40"/>
      </w:pPr>
      <w:r>
        <w:rPr>
          <w:rFonts w:ascii="Arial" w:cs="Arial" w:eastAsia="Arial" w:hAnsi="Arial"/>
          <w:color w:val="4A4A4A"/>
          <w:sz w:val="21"/>
          <w:szCs w:val="21"/>
        </w:rPr>
        <w:t xml:space="preserve">Defame, harass, or threaten our staff or other users</w:t>
      </w:r>
    </w:p>
    <w:p>
      <w:pPr>
        <w:pStyle w:val="ListParagraph"/>
        <w:numPr>
          <w:ilvl w:val="0"/>
          <w:numId w:val="2"/>
        </w:numPr>
        <w:spacing w:after="40" w:before="40"/>
      </w:pPr>
      <w:r>
        <w:rPr>
          <w:rFonts w:ascii="Arial" w:cs="Arial" w:eastAsia="Arial" w:hAnsi="Arial"/>
          <w:color w:val="4A4A4A"/>
          <w:sz w:val="21"/>
          <w:szCs w:val="21"/>
        </w:rPr>
        <w:t xml:space="preserve">Upload malware, viruses, or harmful code</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26. Disclaimers and Limitation of Liability</w:t>
      </w:r>
    </w:p>
    <w:p>
      <w:pPr>
        <w:pStyle w:val="Heading3"/>
        <w:spacing w:after="80" w:before="220"/>
      </w:pPr>
      <w:r>
        <w:rPr>
          <w:rFonts w:ascii="Arial" w:cs="Arial" w:eastAsia="Arial" w:hAnsi="Arial"/>
          <w:b/>
          <w:bCs/>
          <w:color w:val="2E86AB"/>
          <w:sz w:val="22"/>
          <w:szCs w:val="22"/>
        </w:rPr>
        <w:t xml:space="preserve">26.1 Nature of Reviews</w:t>
      </w:r>
    </w:p>
    <w:p>
      <w:pPr>
        <w:spacing w:after="60" w:before="60"/>
        <w:jc w:val="both"/>
      </w:pPr>
      <w:r>
        <w:rPr>
          <w:rFonts w:ascii="Arial" w:cs="Arial" w:eastAsia="Arial" w:hAnsi="Arial"/>
          <w:color w:val="4A4A4A"/>
          <w:sz w:val="21"/>
          <w:szCs w:val="21"/>
        </w:rPr>
        <w:t xml:space="preserve">Our website name reviews are professional opinions based on our expertise and methodologies. They are not guarantees of commercial success, market performance, legal availability, or trademark clearance. You should consult a qualified legal professional for trademark and domain law advice.</w:t>
      </w:r>
    </w:p>
    <w:p>
      <w:pPr>
        <w:pStyle w:val="Heading3"/>
        <w:spacing w:after="80" w:before="220"/>
      </w:pPr>
      <w:r>
        <w:rPr>
          <w:rFonts w:ascii="Arial" w:cs="Arial" w:eastAsia="Arial" w:hAnsi="Arial"/>
          <w:b/>
          <w:bCs/>
          <w:color w:val="2E86AB"/>
          <w:sz w:val="22"/>
          <w:szCs w:val="22"/>
        </w:rPr>
        <w:t xml:space="preserve">26.2 Limitation of Liability</w:t>
      </w:r>
    </w:p>
    <w:p>
      <w:pPr>
        <w:spacing w:after="60" w:before="60"/>
        <w:jc w:val="both"/>
      </w:pPr>
      <w:r>
        <w:rPr>
          <w:rFonts w:ascii="Arial" w:cs="Arial" w:eastAsia="Arial" w:hAnsi="Arial"/>
          <w:color w:val="4A4A4A"/>
          <w:sz w:val="21"/>
          <w:szCs w:val="21"/>
        </w:rPr>
        <w:t xml:space="preserve">To the maximum extent permitted by applicable law:</w:t>
      </w:r>
    </w:p>
    <w:p>
      <w:pPr>
        <w:pStyle w:val="ListParagraph"/>
        <w:numPr>
          <w:ilvl w:val="0"/>
          <w:numId w:val="2"/>
        </w:numPr>
        <w:spacing w:after="40" w:before="40"/>
      </w:pPr>
      <w:r>
        <w:rPr>
          <w:rFonts w:ascii="Arial" w:cs="Arial" w:eastAsia="Arial" w:hAnsi="Arial"/>
          <w:color w:val="4A4A4A"/>
          <w:sz w:val="21"/>
          <w:szCs w:val="21"/>
        </w:rPr>
        <w:t xml:space="preserve">Our total liability to you for any claim arising from our services is limited to the amount paid for the specific order giving rise to the claim.</w:t>
      </w:r>
    </w:p>
    <w:p>
      <w:pPr>
        <w:pStyle w:val="ListParagraph"/>
        <w:numPr>
          <w:ilvl w:val="0"/>
          <w:numId w:val="2"/>
        </w:numPr>
        <w:spacing w:after="40" w:before="40"/>
      </w:pPr>
      <w:r>
        <w:rPr>
          <w:rFonts w:ascii="Arial" w:cs="Arial" w:eastAsia="Arial" w:hAnsi="Arial"/>
          <w:color w:val="4A4A4A"/>
          <w:sz w:val="21"/>
          <w:szCs w:val="21"/>
        </w:rPr>
        <w:t xml:space="preserve">We exclude liability for indirect, consequential, incidental, or punitive damages.</w:t>
      </w:r>
    </w:p>
    <w:p>
      <w:pPr>
        <w:pStyle w:val="ListParagraph"/>
        <w:numPr>
          <w:ilvl w:val="0"/>
          <w:numId w:val="2"/>
        </w:numPr>
        <w:spacing w:after="40" w:before="40"/>
      </w:pPr>
      <w:r>
        <w:rPr>
          <w:rFonts w:ascii="Arial" w:cs="Arial" w:eastAsia="Arial" w:hAnsi="Arial"/>
          <w:color w:val="4A4A4A"/>
          <w:sz w:val="21"/>
          <w:szCs w:val="21"/>
        </w:rPr>
        <w:t xml:space="preserve">We are not liable for losses arising from your reliance on a review report in a commercial transaction.</w:t>
      </w:r>
    </w:p>
    <w:p>
      <w:pPr>
        <w:spacing w:after="120" w:before="0"/>
      </w:pPr>
    </w:p>
    <w:p>
      <w:pPr>
        <w:pBdr>
          <w:left w:val="single" w:color="2E86AB" w:sz="12"/>
        </w:pBdr>
        <w:shd w:fill="E8F4F8" w:val="clear"/>
        <w:spacing w:after="120" w:before="120"/>
        <w:ind w:left="240"/>
      </w:pPr>
      <w:r>
        <w:rPr>
          <w:rFonts w:ascii="Arial" w:cs="Arial" w:eastAsia="Arial" w:hAnsi="Arial"/>
          <w:i/>
          <w:iCs/>
          <w:color w:val="1A3C5E"/>
          <w:sz w:val="21"/>
          <w:szCs w:val="21"/>
        </w:rPr>
        <w:t xml:space="preserve">Nothing in these Terms limits our liability for death or personal injury caused by our negligence, fraud, or any liability that cannot be excluded under applicable law.</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27. Governing Law &amp; Dispute Resolution</w:t>
      </w:r>
    </w:p>
    <w:p>
      <w:pPr>
        <w:spacing w:after="60" w:before="60"/>
        <w:jc w:val="both"/>
      </w:pPr>
      <w:r>
        <w:rPr>
          <w:rFonts w:ascii="Arial" w:cs="Arial" w:eastAsia="Arial" w:hAnsi="Arial"/>
          <w:color w:val="4A4A4A"/>
          <w:sz w:val="21"/>
          <w:szCs w:val="21"/>
        </w:rPr>
        <w:t xml:space="preserve">These Terms are governed by and construed in accordance with the laws of India, without regard to conflict of law principles.</w:t>
      </w:r>
    </w:p>
    <w:p>
      <w:pPr>
        <w:pStyle w:val="Heading3"/>
        <w:spacing w:after="80" w:before="220"/>
      </w:pPr>
      <w:r>
        <w:rPr>
          <w:rFonts w:ascii="Arial" w:cs="Arial" w:eastAsia="Arial" w:hAnsi="Arial"/>
          <w:b/>
          <w:bCs/>
          <w:color w:val="2E86AB"/>
          <w:sz w:val="22"/>
          <w:szCs w:val="22"/>
        </w:rPr>
        <w:t xml:space="preserve">27.1 Dispute Resolution Process</w:t>
      </w:r>
    </w:p>
    <w:p>
      <w:pPr>
        <w:pStyle w:val="ListParagraph"/>
        <w:numPr>
          <w:ilvl w:val="0"/>
          <w:numId w:val="3"/>
        </w:numPr>
        <w:spacing w:after="40" w:before="40"/>
      </w:pPr>
      <w:r>
        <w:rPr>
          <w:rFonts w:ascii="Arial" w:cs="Arial" w:eastAsia="Arial" w:hAnsi="Arial"/>
          <w:color w:val="4A4A4A"/>
          <w:sz w:val="21"/>
          <w:szCs w:val="21"/>
        </w:rPr>
        <w:t xml:space="preserve">Contact our support team at legal@reviewflo.in — most disputes can be resolved informally.</w:t>
      </w:r>
    </w:p>
    <w:p>
      <w:pPr>
        <w:pStyle w:val="ListParagraph"/>
        <w:numPr>
          <w:ilvl w:val="0"/>
          <w:numId w:val="3"/>
        </w:numPr>
        <w:spacing w:after="40" w:before="40"/>
      </w:pPr>
      <w:r>
        <w:rPr>
          <w:rFonts w:ascii="Arial" w:cs="Arial" w:eastAsia="Arial" w:hAnsi="Arial"/>
          <w:color w:val="4A4A4A"/>
          <w:sz w:val="21"/>
          <w:szCs w:val="21"/>
        </w:rPr>
        <w:t xml:space="preserve">If unresolved within 30 days, either party may initiate mediation through an agreed mediator.</w:t>
      </w:r>
    </w:p>
    <w:p>
      <w:pPr>
        <w:pStyle w:val="ListParagraph"/>
        <w:numPr>
          <w:ilvl w:val="0"/>
          <w:numId w:val="3"/>
        </w:numPr>
        <w:spacing w:after="40" w:before="40"/>
      </w:pPr>
      <w:r>
        <w:rPr>
          <w:rFonts w:ascii="Arial" w:cs="Arial" w:eastAsia="Arial" w:hAnsi="Arial"/>
          <w:color w:val="4A4A4A"/>
          <w:sz w:val="21"/>
          <w:szCs w:val="21"/>
        </w:rPr>
        <w:t xml:space="preserve">Unresolved disputes shall be subject to binding arbitration under the Arbitration and Conciliation Act, 1996 (India), with a sole arbitrator seated in [City, India].</w:t>
      </w:r>
    </w:p>
    <w:p>
      <w:pPr>
        <w:pStyle w:val="ListParagraph"/>
        <w:numPr>
          <w:ilvl w:val="0"/>
          <w:numId w:val="3"/>
        </w:numPr>
        <w:spacing w:after="40" w:before="40"/>
      </w:pPr>
      <w:r>
        <w:rPr>
          <w:rFonts w:ascii="Arial" w:cs="Arial" w:eastAsia="Arial" w:hAnsi="Arial"/>
          <w:color w:val="4A4A4A"/>
          <w:sz w:val="21"/>
          <w:szCs w:val="21"/>
        </w:rPr>
        <w:t xml:space="preserve">For consumer disputes, you may also approach the District Consumer Disputes Redressal Commission under the Consumer Protection Act, 2019 (India).</w:t>
      </w:r>
    </w:p>
    <w:p>
      <w:pPr>
        <w:spacing w:after="120" w:before="0"/>
      </w:pPr>
    </w:p>
    <w:p>
      <w:pPr>
        <w:spacing w:after="60" w:before="60"/>
        <w:jc w:val="both"/>
      </w:pPr>
      <w:r>
        <w:rPr>
          <w:rFonts w:ascii="Arial" w:cs="Arial" w:eastAsia="Arial" w:hAnsi="Arial"/>
          <w:color w:val="4A4A4A"/>
          <w:sz w:val="21"/>
          <w:szCs w:val="21"/>
        </w:rPr>
        <w:t xml:space="preserve">EEA and UK users retain the right to bring proceedings in their local courts as required by EU/UK consumer protection law.</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28. Consumer Rights &amp; Jurisdiction-Specific Disclosures</w:t>
      </w:r>
    </w:p>
    <w:p>
      <w:pPr>
        <w:pStyle w:val="Heading3"/>
        <w:spacing w:after="80" w:before="220"/>
      </w:pPr>
      <w:r>
        <w:rPr>
          <w:rFonts w:ascii="Arial" w:cs="Arial" w:eastAsia="Arial" w:hAnsi="Arial"/>
          <w:b/>
          <w:bCs/>
          <w:color w:val="2E86AB"/>
          <w:sz w:val="22"/>
          <w:szCs w:val="22"/>
        </w:rPr>
        <w:t xml:space="preserve">28.1 Indian Consumers</w:t>
      </w:r>
    </w:p>
    <w:p>
      <w:pPr>
        <w:spacing w:after="60" w:before="60"/>
        <w:jc w:val="both"/>
      </w:pPr>
      <w:r>
        <w:rPr>
          <w:rFonts w:ascii="Arial" w:cs="Arial" w:eastAsia="Arial" w:hAnsi="Arial"/>
          <w:color w:val="4A4A4A"/>
          <w:sz w:val="21"/>
          <w:szCs w:val="21"/>
        </w:rPr>
        <w:t xml:space="preserve">You are protected by the Consumer Protection Act, 2019 (India), the DPDP Act, 2023, and the IT Act, 2000. In the event of unresolved disputes, you may contact the National Consumer Helpline at 1800-11-4000.</w:t>
      </w:r>
    </w:p>
    <w:p>
      <w:pPr>
        <w:pStyle w:val="Heading3"/>
        <w:spacing w:after="80" w:before="220"/>
      </w:pPr>
      <w:r>
        <w:rPr>
          <w:rFonts w:ascii="Arial" w:cs="Arial" w:eastAsia="Arial" w:hAnsi="Arial"/>
          <w:b/>
          <w:bCs/>
          <w:color w:val="2E86AB"/>
          <w:sz w:val="22"/>
          <w:szCs w:val="22"/>
        </w:rPr>
        <w:t xml:space="preserve">28.2 EU / EEA Consumers</w:t>
      </w:r>
    </w:p>
    <w:p>
      <w:pPr>
        <w:spacing w:after="60" w:before="60"/>
        <w:jc w:val="both"/>
      </w:pPr>
      <w:r>
        <w:rPr>
          <w:rFonts w:ascii="Arial" w:cs="Arial" w:eastAsia="Arial" w:hAnsi="Arial"/>
          <w:color w:val="4A4A4A"/>
          <w:sz w:val="21"/>
          <w:szCs w:val="21"/>
        </w:rPr>
        <w:t xml:space="preserve">If you are an EEA consumer, EU consumer protection laws apply. You may use the EU Online Dispute Resolution platform at https://ec.europa.eu/consumers/odr. Our GDPR Data Protection Officer (DPO), if designated, is reachable at dpo@reviewflo.in.</w:t>
      </w:r>
    </w:p>
    <w:p>
      <w:pPr>
        <w:pStyle w:val="Heading3"/>
        <w:spacing w:after="80" w:before="220"/>
      </w:pPr>
      <w:r>
        <w:rPr>
          <w:rFonts w:ascii="Arial" w:cs="Arial" w:eastAsia="Arial" w:hAnsi="Arial"/>
          <w:b/>
          <w:bCs/>
          <w:color w:val="2E86AB"/>
          <w:sz w:val="22"/>
          <w:szCs w:val="22"/>
        </w:rPr>
        <w:t xml:space="preserve">28.3 UK Consumers</w:t>
      </w:r>
    </w:p>
    <w:p>
      <w:pPr>
        <w:spacing w:after="60" w:before="60"/>
        <w:jc w:val="both"/>
      </w:pPr>
      <w:r>
        <w:rPr>
          <w:rFonts w:ascii="Arial" w:cs="Arial" w:eastAsia="Arial" w:hAnsi="Arial"/>
          <w:color w:val="4A4A4A"/>
          <w:sz w:val="21"/>
          <w:szCs w:val="21"/>
        </w:rPr>
        <w:t xml:space="preserve">UK consumers are protected by the Consumer Rights Act 2015. Digital content must be of satisfactory quality, fit for purpose, and as described. You have a 14-day cooling-off period for digital content unless the download or delivery has begun with your explicit prior consent.</w:t>
      </w:r>
    </w:p>
    <w:p>
      <w:pPr>
        <w:pStyle w:val="Heading3"/>
        <w:spacing w:after="80" w:before="220"/>
      </w:pPr>
      <w:r>
        <w:rPr>
          <w:rFonts w:ascii="Arial" w:cs="Arial" w:eastAsia="Arial" w:hAnsi="Arial"/>
          <w:b/>
          <w:bCs/>
          <w:color w:val="2E86AB"/>
          <w:sz w:val="22"/>
          <w:szCs w:val="22"/>
        </w:rPr>
        <w:t xml:space="preserve">28.4 California Consumers</w:t>
      </w:r>
    </w:p>
    <w:p>
      <w:pPr>
        <w:spacing w:after="60" w:before="60"/>
        <w:jc w:val="both"/>
      </w:pPr>
      <w:r>
        <w:rPr>
          <w:rFonts w:ascii="Arial" w:cs="Arial" w:eastAsia="Arial" w:hAnsi="Arial"/>
          <w:color w:val="4A4A4A"/>
          <w:sz w:val="21"/>
          <w:szCs w:val="21"/>
        </w:rPr>
        <w:t xml:space="preserve">California residents have rights under CCPA/CPRA including: right to know, right to delete, right to correct, right to opt out of sale/sharing (we do not sell data), and right to non-discrimination. Requests: privacy@reviewflo.in. Authorised agent requests accepted.</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29. Updates to These Policies</w:t>
      </w:r>
    </w:p>
    <w:p>
      <w:pPr>
        <w:spacing w:after="60" w:before="60"/>
        <w:jc w:val="both"/>
      </w:pPr>
      <w:r>
        <w:rPr>
          <w:rFonts w:ascii="Arial" w:cs="Arial" w:eastAsia="Arial" w:hAnsi="Arial"/>
          <w:color w:val="4A4A4A"/>
          <w:sz w:val="21"/>
          <w:szCs w:val="21"/>
        </w:rPr>
        <w:t xml:space="preserve">We may update these policies from time to time. When we do:</w:t>
      </w:r>
    </w:p>
    <w:p>
      <w:pPr>
        <w:pStyle w:val="ListParagraph"/>
        <w:numPr>
          <w:ilvl w:val="0"/>
          <w:numId w:val="2"/>
        </w:numPr>
        <w:spacing w:after="40" w:before="40"/>
      </w:pPr>
      <w:r>
        <w:rPr>
          <w:rFonts w:ascii="Arial" w:cs="Arial" w:eastAsia="Arial" w:hAnsi="Arial"/>
          <w:color w:val="4A4A4A"/>
          <w:sz w:val="21"/>
          <w:szCs w:val="21"/>
        </w:rPr>
        <w:t xml:space="preserve">The 'Last Updated' date at the top of each document will be revised.</w:t>
      </w:r>
    </w:p>
    <w:p>
      <w:pPr>
        <w:pStyle w:val="ListParagraph"/>
        <w:numPr>
          <w:ilvl w:val="0"/>
          <w:numId w:val="2"/>
        </w:numPr>
        <w:spacing w:after="40" w:before="40"/>
      </w:pPr>
      <w:r>
        <w:rPr>
          <w:rFonts w:ascii="Arial" w:cs="Arial" w:eastAsia="Arial" w:hAnsi="Arial"/>
          <w:color w:val="4A4A4A"/>
          <w:sz w:val="21"/>
          <w:szCs w:val="21"/>
        </w:rPr>
        <w:t xml:space="preserve">Material changes (changes that significantly affect your rights) will be communicated by email to your registered address at least 30 days before taking effect.</w:t>
      </w:r>
    </w:p>
    <w:p>
      <w:pPr>
        <w:pStyle w:val="ListParagraph"/>
        <w:numPr>
          <w:ilvl w:val="0"/>
          <w:numId w:val="2"/>
        </w:numPr>
        <w:spacing w:after="40" w:before="40"/>
      </w:pPr>
      <w:r>
        <w:rPr>
          <w:rFonts w:ascii="Arial" w:cs="Arial" w:eastAsia="Arial" w:hAnsi="Arial"/>
          <w:color w:val="4A4A4A"/>
          <w:sz w:val="21"/>
          <w:szCs w:val="21"/>
        </w:rPr>
        <w:t xml:space="preserve">Minor changes (corrections, clarifications) may be made without notice.</w:t>
      </w:r>
    </w:p>
    <w:p>
      <w:pPr>
        <w:pStyle w:val="ListParagraph"/>
        <w:numPr>
          <w:ilvl w:val="0"/>
          <w:numId w:val="2"/>
        </w:numPr>
        <w:spacing w:after="40" w:before="40"/>
      </w:pPr>
      <w:r>
        <w:rPr>
          <w:rFonts w:ascii="Arial" w:cs="Arial" w:eastAsia="Arial" w:hAnsi="Arial"/>
          <w:color w:val="4A4A4A"/>
          <w:sz w:val="21"/>
          <w:szCs w:val="21"/>
        </w:rPr>
        <w:t xml:space="preserve">Continued use of our services after the effective date constitutes acceptance of the updated terms.</w:t>
      </w:r>
    </w:p>
    <w:p>
      <w:pPr>
        <w:pStyle w:val="ListParagraph"/>
        <w:numPr>
          <w:ilvl w:val="0"/>
          <w:numId w:val="2"/>
        </w:numPr>
        <w:spacing w:after="40" w:before="40"/>
      </w:pPr>
      <w:r>
        <w:rPr>
          <w:rFonts w:ascii="Arial" w:cs="Arial" w:eastAsia="Arial" w:hAnsi="Arial"/>
          <w:color w:val="4A4A4A"/>
          <w:sz w:val="21"/>
          <w:szCs w:val="21"/>
        </w:rPr>
        <w:t xml:space="preserve">If you do not agree to material changes, you may terminate your account before the changes take effect and request a refund for any pending unused services.</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30. Miscellaneous</w:t>
      </w:r>
    </w:p>
    <w:p>
      <w:pPr>
        <w:pStyle w:val="ListParagraph"/>
        <w:numPr>
          <w:ilvl w:val="0"/>
          <w:numId w:val="2"/>
        </w:numPr>
        <w:spacing w:after="40" w:before="40"/>
      </w:pPr>
      <w:r>
        <w:rPr>
          <w:rFonts w:ascii="Arial" w:cs="Arial" w:eastAsia="Arial" w:hAnsi="Arial"/>
          <w:color w:val="4A4A4A"/>
          <w:sz w:val="21"/>
          <w:szCs w:val="21"/>
        </w:rPr>
        <w:t xml:space="preserve">Entire Agreement: These policies constitute the entire agreement between you and reviewflo.in regarding your use of our services.</w:t>
      </w:r>
    </w:p>
    <w:p>
      <w:pPr>
        <w:pStyle w:val="ListParagraph"/>
        <w:numPr>
          <w:ilvl w:val="0"/>
          <w:numId w:val="2"/>
        </w:numPr>
        <w:spacing w:after="40" w:before="40"/>
      </w:pPr>
      <w:r>
        <w:rPr>
          <w:rFonts w:ascii="Arial" w:cs="Arial" w:eastAsia="Arial" w:hAnsi="Arial"/>
          <w:color w:val="4A4A4A"/>
          <w:sz w:val="21"/>
          <w:szCs w:val="21"/>
        </w:rPr>
        <w:t xml:space="preserve">Severability: If any provision is found unenforceable, the remaining provisions remain in full force.</w:t>
      </w:r>
    </w:p>
    <w:p>
      <w:pPr>
        <w:pStyle w:val="ListParagraph"/>
        <w:numPr>
          <w:ilvl w:val="0"/>
          <w:numId w:val="2"/>
        </w:numPr>
        <w:spacing w:after="40" w:before="40"/>
      </w:pPr>
      <w:r>
        <w:rPr>
          <w:rFonts w:ascii="Arial" w:cs="Arial" w:eastAsia="Arial" w:hAnsi="Arial"/>
          <w:color w:val="4A4A4A"/>
          <w:sz w:val="21"/>
          <w:szCs w:val="21"/>
        </w:rPr>
        <w:t xml:space="preserve">Waiver: Failure to enforce any right does not constitute a waiver of that right.</w:t>
      </w:r>
    </w:p>
    <w:p>
      <w:pPr>
        <w:pStyle w:val="ListParagraph"/>
        <w:numPr>
          <w:ilvl w:val="0"/>
          <w:numId w:val="2"/>
        </w:numPr>
        <w:spacing w:after="40" w:before="40"/>
      </w:pPr>
      <w:r>
        <w:rPr>
          <w:rFonts w:ascii="Arial" w:cs="Arial" w:eastAsia="Arial" w:hAnsi="Arial"/>
          <w:color w:val="4A4A4A"/>
          <w:sz w:val="21"/>
          <w:szCs w:val="21"/>
        </w:rPr>
        <w:t xml:space="preserve">Force Majeure: We are not liable for delays caused by circumstances beyond our reasonable control (natural disasters, internet outages, government actions).</w:t>
      </w:r>
    </w:p>
    <w:p>
      <w:pPr>
        <w:pStyle w:val="ListParagraph"/>
        <w:numPr>
          <w:ilvl w:val="0"/>
          <w:numId w:val="2"/>
        </w:numPr>
        <w:spacing w:after="40" w:before="40"/>
      </w:pPr>
      <w:r>
        <w:rPr>
          <w:rFonts w:ascii="Arial" w:cs="Arial" w:eastAsia="Arial" w:hAnsi="Arial"/>
          <w:color w:val="4A4A4A"/>
          <w:sz w:val="21"/>
          <w:szCs w:val="21"/>
        </w:rPr>
        <w:t xml:space="preserve">Assignment: We may assign our rights and obligations to a successor entity; you may not assign your rights without written consent.</w:t>
      </w:r>
    </w:p>
    <w:p>
      <w:pPr>
        <w:spacing w:after="120" w:before="0"/>
      </w:pPr>
    </w:p>
    <w:p>
      <w:pPr>
        <w:pStyle w:val="Heading2"/>
        <w:pBdr>
          <w:bottom w:val="single" w:color="2E86AB" w:sz="6" w:space="2"/>
        </w:pBdr>
        <w:spacing w:after="120" w:before="300"/>
      </w:pPr>
      <w:r>
        <w:rPr>
          <w:rFonts w:ascii="Arial" w:cs="Arial" w:eastAsia="Arial" w:hAnsi="Arial"/>
          <w:b/>
          <w:bCs/>
          <w:color w:val="1A3C5E"/>
          <w:sz w:val="26"/>
          <w:szCs w:val="26"/>
        </w:rPr>
        <w:t xml:space="preserve">31. Contact Information</w:t>
      </w:r>
    </w:p>
    <w:p>
      <w:pPr>
        <w:spacing w:after="60" w:before="60"/>
        <w:jc w:val="both"/>
      </w:pPr>
      <w:r>
        <w:rPr>
          <w:rFonts w:ascii="Arial" w:cs="Arial" w:eastAsia="Arial" w:hAnsi="Arial"/>
          <w:color w:val="4A4A4A"/>
          <w:sz w:val="21"/>
          <w:szCs w:val="21"/>
        </w:rPr>
        <w:t xml:space="preserve">For all enquiries relating to these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General Support</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support@reviewflo.in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Privacy / Data Rights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privacy@reviewflo.in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Legal &amp; Contracts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legal@reviewflo.in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Refunds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refunds@reviewflo.in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Grievance Officer (India)</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grievance@reviewflo.in</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Postal Address</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[Company Name], [Street Address], [City, State, PIN], India</w:t>
            </w:r>
          </w:p>
        </w:tc>
      </w:tr>
      <w:tr>
        <w:tc>
          <w:tcPr>
            <w:tcW w:type="dxa" w:w="3000"/>
            <w:tcBorders>
              <w:top w:val="single" w:color="CCCCCC" w:sz="1"/>
              <w:left w:val="single" w:color="CCCCCC" w:sz="1"/>
              <w:bottom w:val="single" w:color="CCCCCC" w:sz="1"/>
              <w:right w:val="single" w:color="CCCCCC" w:sz="1"/>
            </w:tcBorders>
            <w:shd w:fill="E8F4F8" w:val="clear"/>
            <w:tcMar>
              <w:top w:type="dxa" w:w="80"/>
              <w:left w:type="dxa" w:w="160"/>
              <w:bottom w:type="dxa" w:w="80"/>
              <w:right w:type="dxa" w:w="160"/>
            </w:tcMar>
          </w:tcPr>
          <w:p>
            <w:r>
              <w:rPr>
                <w:rFonts w:ascii="Arial" w:cs="Arial" w:eastAsia="Arial" w:hAnsi="Arial"/>
                <w:b/>
                <w:bCs/>
                <w:color w:val="1A3C5E"/>
                <w:sz w:val="19"/>
                <w:szCs w:val="19"/>
              </w:rPr>
              <w:t xml:space="preserve">Response Time</w:t>
            </w:r>
          </w:p>
        </w:tc>
        <w:tc>
          <w:tcPr>
            <w:tcW w:type="dxa" w:w="6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4A4A4A"/>
                <w:sz w:val="19"/>
                <w:szCs w:val="19"/>
              </w:rPr>
              <w:t xml:space="preserve">We aim to respond to all enquiries within 2 business days.</w:t>
            </w:r>
          </w:p>
        </w:tc>
      </w:tr>
    </w:tbl>
    <w:p>
      <w:r>
        <w:br w:type="page"/>
      </w:r>
    </w:p>
    <w:p>
      <w:pPr>
        <w:pStyle w:val="Heading1"/>
        <w:shd w:fill="1A3C5E" w:val="clear"/>
        <w:spacing w:after="200" w:before="360"/>
        <w:ind w:left="200" w:right="200"/>
      </w:pPr>
      <w:r>
        <w:rPr>
          <w:rFonts w:ascii="Arial" w:cs="Arial" w:eastAsia="Arial" w:hAnsi="Arial"/>
          <w:b/>
          <w:bCs/>
          <w:color w:val="FFFFFF"/>
          <w:sz w:val="32"/>
          <w:szCs w:val="32"/>
        </w:rPr>
        <w:t xml:space="preserve">GLOSSARY OF KEY TERMS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Consent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A freely given, specific, informed, and unambiguous indication of agreement to data processing.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Controller / Data Fiduciary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The entity (reviewflo.in) that determines the purposes and means of processing personal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Cookies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Small text files stored on your device by a website to track preferences and sessions.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CCPA / CPRA</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California Consumer Privacy Act / California Privacy Rights Act — US state laws protecting California residents' data rights.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Data 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An incident resulting in unauthorised access, disclosure, alteration, or destruction of personal data.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Data Portability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The right to receive a copy of your personal data in a structured, commonly used format.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DPDP 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India's Digital Personal Data Protection Act, 2023 — the primary federal data protection law in India.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Domain Name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A human-readable internet address (e.g., 'reviewflo.in') used to identify a website.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GDPR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General Data Protection Regulation — EU regulation governing the processing of personal data of EEA residents.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Grievance Officer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A person designated under Indian law to handle data-related complaints from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IP Address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A numerical label assigned to each device connected to the internet.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Legitimate Interests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A legal basis for processing personal data where the business has a valid reason that is not overridden by individuals' rights.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Personal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Any information that identifies or can be used to identify a natural person (name, email, IP address, etc.).</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Processing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Any operation performed on personal data — collecting, storing, using, disclosing, erasing,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Review Report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The written digital deliverable produced by reviewflo.in assessing a website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Sub-processor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A third party engaged by reviewflo.in to process personal data on our behalf.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color w:val="1A3C5E"/>
                <w:sz w:val="19"/>
                <w:szCs w:val="19"/>
              </w:rPr>
              <w:t xml:space="preserve">UK GDPR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A4A4A"/>
                <w:sz w:val="19"/>
                <w:szCs w:val="19"/>
              </w:rPr>
              <w:t xml:space="preserve">The retained version of the EU GDPR applicable in the United Kingdom post-Brexit.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b/>
                <w:bCs/>
                <w:color w:val="1A3C5E"/>
                <w:sz w:val="19"/>
                <w:szCs w:val="19"/>
              </w:rPr>
              <w:t xml:space="preserve">Website Name Review</w:t>
            </w:r>
          </w:p>
        </w:tc>
        <w:tc>
          <w:tcPr>
            <w:tcW w:type="dxa" w:w="6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4A4A4A"/>
                <w:sz w:val="19"/>
                <w:szCs w:val="19"/>
              </w:rPr>
              <w:t xml:space="preserve">Our core service: a professional analysis of a domain name or website name for branding, memorability, and market suitability.</w:t>
            </w:r>
          </w:p>
        </w:tc>
      </w:tr>
    </w:tbl>
    <w:p>
      <w:pPr>
        <w:spacing w:after="120" w:before="0"/>
      </w:pPr>
    </w:p>
    <w:p>
      <w:pPr>
        <w:pBdr>
          <w:bottom w:val="single" w:color="2E86AB" w:sz="10"/>
        </w:pBdr>
        <w:spacing w:after="80" w:before="80"/>
      </w:pPr>
    </w:p>
    <w:p>
      <w:pPr>
        <w:spacing w:after="0" w:before="160"/>
        <w:jc w:val="center"/>
      </w:pPr>
      <w:r>
        <w:rPr>
          <w:rFonts w:ascii="Arial" w:cs="Arial" w:eastAsia="Arial" w:hAnsi="Arial"/>
          <w:i/>
          <w:iCs/>
          <w:color w:val="888888"/>
          <w:sz w:val="16"/>
          <w:szCs w:val="16"/>
        </w:rPr>
        <w:t xml:space="preserve">reviewflo.in  |  Legal &amp; Policy Documentation  |  Effective 1 January 2025  |  v2.0  |  legal@reviewflo.in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86A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2026-06-22T07:19:25.122Z</dcterms:created>
  <dcterms:modified xsi:type="dcterms:W3CDTF">2026-06-22T07:19:25.123Z</dcterms:modified>
</cp:coreProperties>
</file>

<file path=docProps/custom.xml><?xml version="1.0" encoding="utf-8"?>
<Properties xmlns="http://schemas.openxmlformats.org/officeDocument/2006/custom-properties" xmlns:vt="http://schemas.openxmlformats.org/officeDocument/2006/docPropsVTypes"/>
</file>