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80" w:before="0"/>
        <w:jc w:val="center"/>
      </w:pPr>
      <w:r>
        <w:rPr>
          <w:rFonts w:ascii="Calibri" w:cs="Calibri" w:eastAsia="Calibri" w:hAnsi="Calibri"/>
          <w:b/>
          <w:bCs/>
          <w:color w:val="0D2B45"/>
          <w:sz w:val="80"/>
          <w:szCs w:val="80"/>
        </w:rPr>
        <w:t xml:space="preserve">TemplateFlow</w:t>
      </w:r>
    </w:p>
    <w:p>
      <w:pPr>
        <w:spacing w:after="60" w:before="0"/>
        <w:jc w:val="center"/>
      </w:pPr>
      <w:r>
        <w:rPr>
          <w:rFonts w:ascii="Calibri" w:cs="Calibri" w:eastAsia="Calibri" w:hAnsi="Calibri"/>
          <w:color w:val="0E7490"/>
          <w:sz w:val="32"/>
          <w:szCs w:val="32"/>
        </w:rPr>
        <w:t xml:space="preserve">Website Template &amp; Design Review Platform</w:t>
      </w:r>
    </w:p>
    <w:p>
      <w:pPr>
        <w:spacing w:after="500" w:before="0"/>
        <w:jc w:val="center"/>
      </w:pPr>
      <w:r>
        <w:rPr>
          <w:rFonts w:ascii="Calibri" w:cs="Calibri" w:eastAsia="Calibri" w:hAnsi="Calibri"/>
          <w:i/>
          <w:iCs/>
          <w:color w:val="475569"/>
          <w:sz w:val="26"/>
          <w:szCs w:val="26"/>
        </w:rPr>
        <w:t xml:space="preserve">Legal, Privacy &amp; Compliance Policy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Document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3.1 (June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Effective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1 January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Audience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Business customers, procurement teams, and administrators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Jurisdiction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India (primary); GDPR / UK GDPR / CCPA honoured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Website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https://templateflow.io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Legal Inquiries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legal@templateflow.io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Privacy Officer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privacy@templateflow.io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Registered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[Company Name], [Street], [City, State, PIN], India</w:t>
            </w:r>
          </w:p>
        </w:tc>
      </w:tr>
    </w:tbl>
    <w:p>
      <w:pPr>
        <w:spacing w:after="40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This document governs the collection, use, and protection of data by TemplateFlow and the terms under which our B2B website template and design review services are provided. It should be reviewed by legal, procurement, and IT security teams before onboarding.</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EXECUTIVE SUMMARY</w:t>
      </w:r>
    </w:p>
    <w:p>
      <w:pPr>
        <w:spacing w:after="120" w:before="0"/>
      </w:pPr>
    </w:p>
    <w:p>
      <w:pPr>
        <w:spacing w:after="60" w:before="60"/>
        <w:jc w:val="both"/>
      </w:pPr>
      <w:r>
        <w:rPr>
          <w:rFonts w:ascii="Calibri" w:cs="Calibri" w:eastAsia="Calibri" w:hAnsi="Calibri"/>
          <w:color w:val="475569"/>
          <w:sz w:val="20"/>
          <w:szCs w:val="20"/>
        </w:rPr>
        <w:t xml:space="preserve">This section provides a high-level overview for procurement and legal review teams. The full binding terms follow in subsequent sections.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Topic</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Summary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Service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Cloud-based SaaS platform offering website template libraries, interactive design previews, and a structured client review and approval workflow.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Data We Collect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Business contact details, account credentials, usage analytics, template customisation data, client review submissions, and payment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Legal Bases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Contract performance, legitimate interests, legal obligations, and consent (for marketing and non-essential cookies).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Data Residency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Primary data stored in India (AWS Mumbai). EU customers may request EEA-resident storage under a Data Processing Agreement (DPA).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Sub-processors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AWS, Razorpay/Stripe, SendGrid, Google Analytics, Cloudflare, Freshdesk. Full list at templateflow.io/subprocessors.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Data Never Sold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We do not sell, rent, or broker personal or business data to third parties.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Account data: life of contract + 3 years. Financial records: 7 years. Logs: 90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DPA / GDPR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Data Processing Agreement is available on request. We support SCCs for EEA transfers.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Security Posture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TLS 1.3, AES-256 at rest, SOC 2 Type II aligned controls, 72-hr breach notification.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Refund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Pro-rata refund for unused subscription periods; no refund on delivered design review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Governing Law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Laws of India; EEA/UK/California user rights fully honoured.</w:t>
            </w:r>
          </w:p>
        </w:tc>
      </w:tr>
    </w:tbl>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1 — PRIVACY POLICY</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Effective Date: 1 January 2025  |  Last Reviewed: 22 June 2026  |  Applies to all TemplateFlow business account holders and authorised users.</w:t>
      </w:r>
    </w:p>
    <w:p>
      <w:pPr>
        <w:pStyle w:val="Heading2"/>
        <w:pBdr>
          <w:bottom w:val="single" w:color="0E7490" w:sz="8" w:space="2"/>
        </w:pBdr>
        <w:spacing w:after="120" w:before="320"/>
      </w:pPr>
      <w:r>
        <w:rPr>
          <w:rFonts w:ascii="Calibri" w:cs="Calibri" w:eastAsia="Calibri" w:hAnsi="Calibri"/>
          <w:b/>
          <w:bCs/>
          <w:color w:val="0D2B45"/>
          <w:sz w:val="26"/>
          <w:szCs w:val="26"/>
        </w:rPr>
        <w:t xml:space="preserve">1.1  Identity of the Data Controller</w:t>
      </w:r>
    </w:p>
    <w:p>
      <w:pPr>
        <w:spacing w:after="60" w:before="60"/>
        <w:jc w:val="both"/>
      </w:pPr>
      <w:r>
        <w:rPr>
          <w:rFonts w:ascii="Calibri" w:cs="Calibri" w:eastAsia="Calibri" w:hAnsi="Calibri"/>
          <w:color w:val="475569"/>
          <w:sz w:val="20"/>
          <w:szCs w:val="20"/>
        </w:rPr>
        <w:t xml:space="preserve">TemplateFlow ('we', 'us', 'our') operates the SaaS platform at https://templateflow.io. For the purposes of applicable data protection law, TemplateFlow is the data controller (or 'data fiduciary' under the DPDP Act 2023) in respect of personal data processed through our platform.</w:t>
      </w:r>
    </w:p>
    <w:p>
      <w:pPr>
        <w:spacing w:after="60" w:before="60"/>
        <w:jc w:val="both"/>
      </w:pPr>
      <w:r>
        <w:rPr>
          <w:rFonts w:ascii="Calibri" w:cs="Calibri" w:eastAsia="Calibri" w:hAnsi="Calibri"/>
          <w:color w:val="475569"/>
          <w:sz w:val="20"/>
          <w:szCs w:val="20"/>
        </w:rPr>
        <w:t xml:space="preserve">Our designated Privacy Officer can be reached at privacy@templateflow.io.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1.2  Scope</w:t>
      </w:r>
    </w:p>
    <w:p>
      <w:pPr>
        <w:spacing w:after="60" w:before="60"/>
        <w:jc w:val="both"/>
      </w:pPr>
      <w:r>
        <w:rPr>
          <w:rFonts w:ascii="Calibri" w:cs="Calibri" w:eastAsia="Calibri" w:hAnsi="Calibri"/>
          <w:color w:val="475569"/>
          <w:sz w:val="20"/>
          <w:szCs w:val="20"/>
        </w:rPr>
        <w:t xml:space="preserve">This Privacy Policy applies to:</w:t>
      </w:r>
    </w:p>
    <w:p>
      <w:pPr>
        <w:pStyle w:val="ListParagraph"/>
        <w:numPr>
          <w:ilvl w:val="0"/>
          <w:numId w:val="2"/>
        </w:numPr>
        <w:spacing w:after="40" w:before="40"/>
      </w:pPr>
      <w:r>
        <w:rPr>
          <w:rFonts w:ascii="Calibri" w:cs="Calibri" w:eastAsia="Calibri" w:hAnsi="Calibri"/>
          <w:color w:val="475569"/>
          <w:sz w:val="20"/>
          <w:szCs w:val="20"/>
        </w:rPr>
        <w:t xml:space="preserve">All individuals who access or use the TemplateFlow platform, including account administrators, team members added by business customers, and end-client contacts whose data is submitted through the review workflow;</w:t>
      </w:r>
    </w:p>
    <w:p>
      <w:pPr>
        <w:pStyle w:val="ListParagraph"/>
        <w:numPr>
          <w:ilvl w:val="0"/>
          <w:numId w:val="2"/>
        </w:numPr>
        <w:spacing w:after="40" w:before="40"/>
      </w:pPr>
      <w:r>
        <w:rPr>
          <w:rFonts w:ascii="Calibri" w:cs="Calibri" w:eastAsia="Calibri" w:hAnsi="Calibri"/>
          <w:color w:val="475569"/>
          <w:sz w:val="20"/>
          <w:szCs w:val="20"/>
        </w:rPr>
        <w:t xml:space="preserve">Visitors to templateflow.io who have not created an account;</w:t>
      </w:r>
    </w:p>
    <w:p>
      <w:pPr>
        <w:pStyle w:val="ListParagraph"/>
        <w:numPr>
          <w:ilvl w:val="0"/>
          <w:numId w:val="2"/>
        </w:numPr>
        <w:spacing w:after="40" w:before="40"/>
      </w:pPr>
      <w:r>
        <w:rPr>
          <w:rFonts w:ascii="Calibri" w:cs="Calibri" w:eastAsia="Calibri" w:hAnsi="Calibri"/>
          <w:color w:val="475569"/>
          <w:sz w:val="20"/>
          <w:szCs w:val="20"/>
        </w:rPr>
        <w:t xml:space="preserve">Prospective customers engaging with us in pre-sales.</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Where our business customers ('Controllers') upload personal data of their own clients into the platform for review workflows, TemplateFlow acts as a data processor. The business customer is responsible for the lawful basis of that upstream collection. See Section 1.10 for processor obligations.</w:t>
      </w:r>
    </w:p>
    <w:p>
      <w:pPr>
        <w:pStyle w:val="Heading2"/>
        <w:pBdr>
          <w:bottom w:val="single" w:color="0E7490" w:sz="8" w:space="2"/>
        </w:pBdr>
        <w:spacing w:after="120" w:before="320"/>
      </w:pPr>
      <w:r>
        <w:rPr>
          <w:rFonts w:ascii="Calibri" w:cs="Calibri" w:eastAsia="Calibri" w:hAnsi="Calibri"/>
          <w:b/>
          <w:bCs/>
          <w:color w:val="0D2B45"/>
          <w:sz w:val="26"/>
          <w:szCs w:val="26"/>
        </w:rPr>
        <w:t xml:space="preserve">1.3  Categories of Personal Data Collected</w:t>
      </w:r>
    </w:p>
    <w:p>
      <w:pPr>
        <w:pStyle w:val="Heading3"/>
        <w:spacing w:after="80" w:before="220"/>
      </w:pPr>
      <w:r>
        <w:rPr>
          <w:rFonts w:ascii="Calibri" w:cs="Calibri" w:eastAsia="Calibri" w:hAnsi="Calibri"/>
          <w:b/>
          <w:bCs/>
          <w:color w:val="0E7490"/>
          <w:sz w:val="22"/>
          <w:szCs w:val="22"/>
        </w:rPr>
        <w:t xml:space="preserve">1.3.1  Data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Data Category</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Account Identity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Company name, administrator full name, business email, phone number, job title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Email address, hashed password, MFA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Billing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Billing contact name, billing address, GST/VAT number. Card numbers are NOT stored — processed by PCI-DSS gateway.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Team Member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Names and email addresses of users invited to your workspace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Client Review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Client names, email addresses, and feedback submitted through the review portal (where customer uploads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Support &amp; Communications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Correspondence, support tickets, live-chat transcripts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Template Customisation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Brand colours, fonts, logo files, content uploaded to customise previews</w:t>
            </w:r>
          </w:p>
        </w:tc>
      </w:tr>
    </w:tbl>
    <w:p>
      <w:pPr>
        <w:pStyle w:val="Heading3"/>
        <w:spacing w:after="80" w:before="220"/>
      </w:pPr>
      <w:r>
        <w:rPr>
          <w:rFonts w:ascii="Calibri" w:cs="Calibri" w:eastAsia="Calibri" w:hAnsi="Calibri"/>
          <w:b/>
          <w:bCs/>
          <w:color w:val="0E7490"/>
          <w:sz w:val="22"/>
          <w:szCs w:val="22"/>
        </w:rPr>
        <w:t xml:space="preserve">1.3.2  Data Collected Automatically</w:t>
      </w:r>
    </w:p>
    <w:p>
      <w:pPr>
        <w:pStyle w:val="ListParagraph"/>
        <w:numPr>
          <w:ilvl w:val="0"/>
          <w:numId w:val="2"/>
        </w:numPr>
        <w:spacing w:after="40" w:before="40"/>
      </w:pPr>
      <w:r>
        <w:rPr>
          <w:rFonts w:ascii="Calibri" w:cs="Calibri" w:eastAsia="Calibri" w:hAnsi="Calibri"/>
          <w:color w:val="475569"/>
          <w:sz w:val="20"/>
          <w:szCs w:val="20"/>
        </w:rPr>
        <w:t xml:space="preserve">IP address and inferred geolocation (country / city level)</w:t>
      </w:r>
    </w:p>
    <w:p>
      <w:pPr>
        <w:pStyle w:val="ListParagraph"/>
        <w:numPr>
          <w:ilvl w:val="0"/>
          <w:numId w:val="2"/>
        </w:numPr>
        <w:spacing w:after="40" w:before="40"/>
      </w:pPr>
      <w:r>
        <w:rPr>
          <w:rFonts w:ascii="Calibri" w:cs="Calibri" w:eastAsia="Calibri" w:hAnsi="Calibri"/>
          <w:color w:val="475569"/>
          <w:sz w:val="20"/>
          <w:szCs w:val="20"/>
        </w:rPr>
        <w:t xml:space="preserve">Browser type, OS, screen resolution, device identifiers</w:t>
      </w:r>
    </w:p>
    <w:p>
      <w:pPr>
        <w:pStyle w:val="ListParagraph"/>
        <w:numPr>
          <w:ilvl w:val="0"/>
          <w:numId w:val="2"/>
        </w:numPr>
        <w:spacing w:after="40" w:before="40"/>
      </w:pPr>
      <w:r>
        <w:rPr>
          <w:rFonts w:ascii="Calibri" w:cs="Calibri" w:eastAsia="Calibri" w:hAnsi="Calibri"/>
          <w:color w:val="475569"/>
          <w:sz w:val="20"/>
          <w:szCs w:val="20"/>
        </w:rPr>
        <w:t xml:space="preserve">Session duration, pages visited, features used, click-path analytics</w:t>
      </w:r>
    </w:p>
    <w:p>
      <w:pPr>
        <w:pStyle w:val="ListParagraph"/>
        <w:numPr>
          <w:ilvl w:val="0"/>
          <w:numId w:val="2"/>
        </w:numPr>
        <w:spacing w:after="40" w:before="40"/>
      </w:pPr>
      <w:r>
        <w:rPr>
          <w:rFonts w:ascii="Calibri" w:cs="Calibri" w:eastAsia="Calibri" w:hAnsi="Calibri"/>
          <w:color w:val="475569"/>
          <w:sz w:val="20"/>
          <w:szCs w:val="20"/>
        </w:rPr>
        <w:t xml:space="preserve">API request logs, error logs</w:t>
      </w:r>
    </w:p>
    <w:p>
      <w:pPr>
        <w:pStyle w:val="ListParagraph"/>
        <w:numPr>
          <w:ilvl w:val="0"/>
          <w:numId w:val="2"/>
        </w:numPr>
        <w:spacing w:after="40" w:before="40"/>
      </w:pPr>
      <w:r>
        <w:rPr>
          <w:rFonts w:ascii="Calibri" w:cs="Calibri" w:eastAsia="Calibri" w:hAnsi="Calibri"/>
          <w:color w:val="475569"/>
          <w:sz w:val="20"/>
          <w:szCs w:val="20"/>
        </w:rPr>
        <w:t xml:space="preserve">Cookie identifiers and session tokens (see Section 3)</w:t>
      </w:r>
    </w:p>
    <w:p>
      <w:pPr>
        <w:pStyle w:val="Heading3"/>
        <w:spacing w:after="80" w:before="220"/>
      </w:pPr>
      <w:r>
        <w:rPr>
          <w:rFonts w:ascii="Calibri" w:cs="Calibri" w:eastAsia="Calibri" w:hAnsi="Calibri"/>
          <w:b/>
          <w:bCs/>
          <w:color w:val="0E7490"/>
          <w:sz w:val="22"/>
          <w:szCs w:val="22"/>
        </w:rPr>
        <w:t xml:space="preserve">1.3.3  Data from Third Parties</w:t>
      </w:r>
    </w:p>
    <w:p>
      <w:pPr>
        <w:pStyle w:val="ListParagraph"/>
        <w:numPr>
          <w:ilvl w:val="0"/>
          <w:numId w:val="2"/>
        </w:numPr>
        <w:spacing w:after="40" w:before="40"/>
      </w:pPr>
      <w:r>
        <w:rPr>
          <w:rFonts w:ascii="Calibri" w:cs="Calibri" w:eastAsia="Calibri" w:hAnsi="Calibri"/>
          <w:color w:val="475569"/>
          <w:sz w:val="20"/>
          <w:szCs w:val="20"/>
        </w:rPr>
        <w:t xml:space="preserve">Payment confirmation and fraud signals from payment gateways</w:t>
      </w:r>
    </w:p>
    <w:p>
      <w:pPr>
        <w:pStyle w:val="ListParagraph"/>
        <w:numPr>
          <w:ilvl w:val="0"/>
          <w:numId w:val="2"/>
        </w:numPr>
        <w:spacing w:after="40" w:before="40"/>
      </w:pPr>
      <w:r>
        <w:rPr>
          <w:rFonts w:ascii="Calibri" w:cs="Calibri" w:eastAsia="Calibri" w:hAnsi="Calibri"/>
          <w:color w:val="475569"/>
          <w:sz w:val="20"/>
          <w:szCs w:val="20"/>
        </w:rPr>
        <w:t xml:space="preserve">SSO / OAuth identity tokens (Google Workspace, Microsoft Entra) if enabled</w:t>
      </w:r>
    </w:p>
    <w:p>
      <w:pPr>
        <w:pStyle w:val="ListParagraph"/>
        <w:numPr>
          <w:ilvl w:val="0"/>
          <w:numId w:val="2"/>
        </w:numPr>
        <w:spacing w:after="40" w:before="40"/>
      </w:pPr>
      <w:r>
        <w:rPr>
          <w:rFonts w:ascii="Calibri" w:cs="Calibri" w:eastAsia="Calibri" w:hAnsi="Calibri"/>
          <w:color w:val="475569"/>
          <w:sz w:val="20"/>
          <w:szCs w:val="20"/>
        </w:rPr>
        <w:t xml:space="preserve">Aggregated usage benchmarks from analytics partners (never linked to identifiable individuals without consent)</w:t>
      </w:r>
    </w:p>
    <w:p>
      <w:pPr>
        <w:pStyle w:val="Heading2"/>
        <w:pBdr>
          <w:bottom w:val="single" w:color="0E7490" w:sz="8" w:space="2"/>
        </w:pBdr>
        <w:spacing w:after="120" w:before="320"/>
      </w:pPr>
      <w:r>
        <w:rPr>
          <w:rFonts w:ascii="Calibri" w:cs="Calibri" w:eastAsia="Calibri" w:hAnsi="Calibri"/>
          <w:b/>
          <w:bCs/>
          <w:color w:val="0D2B45"/>
          <w:sz w:val="26"/>
          <w:szCs w:val="26"/>
        </w:rPr>
        <w:t xml:space="preserve">1.4  Legal Bases for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Legal Basis</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Examples of Processing Activities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Performance of a Contract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Account creation, platform access, template delivery, invoice generation, customer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Legitimate Interests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Fraud prevention, abuse detection, service improvement, security monitoring, aggregated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Legal Obligation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Tax record retention, financial reporting, responding to lawful government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Consent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Marketing emails, non-essential cookies, participation in surveys or beta programmes</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1.5  Purposes of Processing</w:t>
      </w:r>
    </w:p>
    <w:p>
      <w:pPr>
        <w:pStyle w:val="ListParagraph"/>
        <w:numPr>
          <w:ilvl w:val="0"/>
          <w:numId w:val="2"/>
        </w:numPr>
        <w:spacing w:after="40" w:before="40"/>
      </w:pPr>
      <w:r>
        <w:rPr>
          <w:rFonts w:ascii="Calibri" w:cs="Calibri" w:eastAsia="Calibri" w:hAnsi="Calibri"/>
          <w:color w:val="475569"/>
          <w:sz w:val="20"/>
          <w:szCs w:val="20"/>
        </w:rPr>
        <w:t xml:space="preserve">Provisioning and operating your TemplateFlow workspace</w:t>
      </w:r>
    </w:p>
    <w:p>
      <w:pPr>
        <w:pStyle w:val="ListParagraph"/>
        <w:numPr>
          <w:ilvl w:val="0"/>
          <w:numId w:val="2"/>
        </w:numPr>
        <w:spacing w:after="40" w:before="40"/>
      </w:pPr>
      <w:r>
        <w:rPr>
          <w:rFonts w:ascii="Calibri" w:cs="Calibri" w:eastAsia="Calibri" w:hAnsi="Calibri"/>
          <w:color w:val="475569"/>
          <w:sz w:val="20"/>
          <w:szCs w:val="20"/>
        </w:rPr>
        <w:t xml:space="preserve">Authenticating users and enforcing access controls</w:t>
      </w:r>
    </w:p>
    <w:p>
      <w:pPr>
        <w:pStyle w:val="ListParagraph"/>
        <w:numPr>
          <w:ilvl w:val="0"/>
          <w:numId w:val="2"/>
        </w:numPr>
        <w:spacing w:after="40" w:before="40"/>
      </w:pPr>
      <w:r>
        <w:rPr>
          <w:rFonts w:ascii="Calibri" w:cs="Calibri" w:eastAsia="Calibri" w:hAnsi="Calibri"/>
          <w:color w:val="475569"/>
          <w:sz w:val="20"/>
          <w:szCs w:val="20"/>
        </w:rPr>
        <w:t xml:space="preserve">Processing payments and issuing invoices / tax documents</w:t>
      </w:r>
    </w:p>
    <w:p>
      <w:pPr>
        <w:pStyle w:val="ListParagraph"/>
        <w:numPr>
          <w:ilvl w:val="0"/>
          <w:numId w:val="2"/>
        </w:numPr>
        <w:spacing w:after="40" w:before="40"/>
      </w:pPr>
      <w:r>
        <w:rPr>
          <w:rFonts w:ascii="Calibri" w:cs="Calibri" w:eastAsia="Calibri" w:hAnsi="Calibri"/>
          <w:color w:val="475569"/>
          <w:sz w:val="20"/>
          <w:szCs w:val="20"/>
        </w:rPr>
        <w:t xml:space="preserve">Delivering template previews and managing the design review workflow</w:t>
      </w:r>
    </w:p>
    <w:p>
      <w:pPr>
        <w:pStyle w:val="ListParagraph"/>
        <w:numPr>
          <w:ilvl w:val="0"/>
          <w:numId w:val="2"/>
        </w:numPr>
        <w:spacing w:after="40" w:before="40"/>
      </w:pPr>
      <w:r>
        <w:rPr>
          <w:rFonts w:ascii="Calibri" w:cs="Calibri" w:eastAsia="Calibri" w:hAnsi="Calibri"/>
          <w:color w:val="475569"/>
          <w:sz w:val="20"/>
          <w:szCs w:val="20"/>
        </w:rPr>
        <w:t xml:space="preserve">Providing customer support and resolving disputes</w:t>
      </w:r>
    </w:p>
    <w:p>
      <w:pPr>
        <w:pStyle w:val="ListParagraph"/>
        <w:numPr>
          <w:ilvl w:val="0"/>
          <w:numId w:val="2"/>
        </w:numPr>
        <w:spacing w:after="40" w:before="40"/>
      </w:pPr>
      <w:r>
        <w:rPr>
          <w:rFonts w:ascii="Calibri" w:cs="Calibri" w:eastAsia="Calibri" w:hAnsi="Calibri"/>
          <w:color w:val="475569"/>
          <w:sz w:val="20"/>
          <w:szCs w:val="20"/>
        </w:rPr>
        <w:t xml:space="preserve">Sending transactional notifications (order confirmations, renewal reminders)</w:t>
      </w:r>
    </w:p>
    <w:p>
      <w:pPr>
        <w:pStyle w:val="ListParagraph"/>
        <w:numPr>
          <w:ilvl w:val="0"/>
          <w:numId w:val="2"/>
        </w:numPr>
        <w:spacing w:after="40" w:before="40"/>
      </w:pPr>
      <w:r>
        <w:rPr>
          <w:rFonts w:ascii="Calibri" w:cs="Calibri" w:eastAsia="Calibri" w:hAnsi="Calibri"/>
          <w:color w:val="475569"/>
          <w:sz w:val="20"/>
          <w:szCs w:val="20"/>
        </w:rPr>
        <w:t xml:space="preserve">Sending marketing communications (with consent; you may unsubscribe at any time)</w:t>
      </w:r>
    </w:p>
    <w:p>
      <w:pPr>
        <w:pStyle w:val="ListParagraph"/>
        <w:numPr>
          <w:ilvl w:val="0"/>
          <w:numId w:val="2"/>
        </w:numPr>
        <w:spacing w:after="40" w:before="40"/>
      </w:pPr>
      <w:r>
        <w:rPr>
          <w:rFonts w:ascii="Calibri" w:cs="Calibri" w:eastAsia="Calibri" w:hAnsi="Calibri"/>
          <w:color w:val="475569"/>
          <w:sz w:val="20"/>
          <w:szCs w:val="20"/>
        </w:rPr>
        <w:t xml:space="preserve">Improving product features through aggregated usage analytics</w:t>
      </w:r>
    </w:p>
    <w:p>
      <w:pPr>
        <w:pStyle w:val="ListParagraph"/>
        <w:numPr>
          <w:ilvl w:val="0"/>
          <w:numId w:val="2"/>
        </w:numPr>
        <w:spacing w:after="40" w:before="40"/>
      </w:pPr>
      <w:r>
        <w:rPr>
          <w:rFonts w:ascii="Calibri" w:cs="Calibri" w:eastAsia="Calibri" w:hAnsi="Calibri"/>
          <w:color w:val="475569"/>
          <w:sz w:val="20"/>
          <w:szCs w:val="20"/>
        </w:rPr>
        <w:t xml:space="preserve">Detecting and preventing security incidents, fraud, and abuse</w:t>
      </w:r>
    </w:p>
    <w:p>
      <w:pPr>
        <w:pStyle w:val="ListParagraph"/>
        <w:numPr>
          <w:ilvl w:val="0"/>
          <w:numId w:val="2"/>
        </w:numPr>
        <w:spacing w:after="40" w:before="40"/>
      </w:pPr>
      <w:r>
        <w:rPr>
          <w:rFonts w:ascii="Calibri" w:cs="Calibri" w:eastAsia="Calibri" w:hAnsi="Calibri"/>
          <w:color w:val="475569"/>
          <w:sz w:val="20"/>
          <w:szCs w:val="20"/>
        </w:rPr>
        <w:t xml:space="preserve">Complying with legal and regulatory obligations</w:t>
      </w:r>
    </w:p>
    <w:p>
      <w:pPr>
        <w:pStyle w:val="Heading2"/>
        <w:pBdr>
          <w:bottom w:val="single" w:color="0E7490" w:sz="8" w:space="2"/>
        </w:pBdr>
        <w:spacing w:after="120" w:before="320"/>
      </w:pPr>
      <w:r>
        <w:rPr>
          <w:rFonts w:ascii="Calibri" w:cs="Calibri" w:eastAsia="Calibri" w:hAnsi="Calibri"/>
          <w:b/>
          <w:bCs/>
          <w:color w:val="0D2B45"/>
          <w:sz w:val="26"/>
          <w:szCs w:val="26"/>
        </w:rPr>
        <w:t xml:space="preserve">1.6  Data Retention</w:t>
      </w:r>
    </w:p>
    <w:p>
      <w:pPr>
        <w:spacing w:after="60" w:before="60"/>
        <w:jc w:val="both"/>
      </w:pPr>
      <w:r>
        <w:rPr>
          <w:rFonts w:ascii="Calibri" w:cs="Calibri" w:eastAsia="Calibri" w:hAnsi="Calibri"/>
          <w:color w:val="475569"/>
          <w:sz w:val="20"/>
          <w:szCs w:val="20"/>
        </w:rPr>
        <w:t xml:space="preserve">We retain personal data only for as long as necessary for the stated purpose or as required by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Data Type</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Retention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Account and profile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Duration of active subscription + 3 years post-termination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Financial records and invoices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7 years (GST Act / statutory financial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Template customisation assets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Duration of subscription + 6 months grace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Design review 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3 years from delivery (dispute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Support tickets and communications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2 years from last activity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Server access and API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90 days, then automatically purged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Marketing preference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Until consent is withdrawn + 1 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Security incident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5 years (regulatory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Anonymised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Retained indefinitely (no personal data)</w:t>
            </w:r>
          </w:p>
        </w:tc>
      </w:tr>
    </w:tbl>
    <w:p>
      <w:pPr>
        <w:spacing w:after="120" w:before="0"/>
      </w:pPr>
    </w:p>
    <w:p>
      <w:pPr>
        <w:pBdr>
          <w:left w:val="single" w:color="065F46" w:sz="14"/>
        </w:pBdr>
        <w:shd w:fill="D1FAE5" w:val="clear"/>
        <w:spacing w:after="120" w:before="120"/>
        <w:ind w:left="240" w:right="120"/>
      </w:pPr>
      <w:r>
        <w:rPr>
          <w:rFonts w:ascii="Calibri" w:cs="Calibri" w:eastAsia="Calibri" w:hAnsi="Calibri"/>
          <w:b/>
          <w:bCs/>
          <w:color w:val="065F46"/>
          <w:sz w:val="20"/>
          <w:szCs w:val="20"/>
        </w:rPr>
        <w:t xml:space="preserve">✔ Customers may request early deletion of their data by submitting a written request to privacy@templateflow.io. Deletion will be completed within 30 days except where legal retention obligations apply, which will be communicated in writing.</w:t>
      </w:r>
    </w:p>
    <w:p>
      <w:pPr>
        <w:pStyle w:val="Heading2"/>
        <w:pBdr>
          <w:bottom w:val="single" w:color="0E7490" w:sz="8" w:space="2"/>
        </w:pBdr>
        <w:spacing w:after="120" w:before="320"/>
      </w:pPr>
      <w:r>
        <w:rPr>
          <w:rFonts w:ascii="Calibri" w:cs="Calibri" w:eastAsia="Calibri" w:hAnsi="Calibri"/>
          <w:b/>
          <w:bCs/>
          <w:color w:val="0D2B45"/>
          <w:sz w:val="26"/>
          <w:szCs w:val="26"/>
        </w:rPr>
        <w:t xml:space="preserve">1.7  Your Rights as a Data Subject</w:t>
      </w:r>
    </w:p>
    <w:p>
      <w:pPr>
        <w:spacing w:after="60" w:before="60"/>
        <w:jc w:val="both"/>
      </w:pPr>
      <w:r>
        <w:rPr>
          <w:rFonts w:ascii="Calibri" w:cs="Calibri" w:eastAsia="Calibri" w:hAnsi="Calibri"/>
          <w:color w:val="475569"/>
          <w:sz w:val="20"/>
          <w:szCs w:val="20"/>
        </w:rPr>
        <w:t xml:space="preserve">Depending on your jurisdiction, you or your authorised users have the following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Right</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What It Means in Practice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Request a machine-readable export of all personal data we hold about you.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Correction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Request correction of inaccurate or incomplete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Erasure ('Right to be Forgotten')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Request deletion of personal data, subject to legal retention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Portability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Receive your data in a structured, JSON or CSV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Restriction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Request we pause processing pending dispute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Object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Object to processing based on legitimate interests or for direct marketing.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Withdraw Consent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Withdraw marketing consent or non-essential cookie consent at any time without penalty.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Nominate (DPDP 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Nominate another person to exercise rights on your behalf.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Lodge a Complaint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Contact your national data protection authority.</w:t>
            </w:r>
          </w:p>
        </w:tc>
      </w:tr>
    </w:tbl>
    <w:p>
      <w:pPr>
        <w:spacing w:after="120" w:before="0"/>
      </w:pPr>
    </w:p>
    <w:p>
      <w:pPr>
        <w:spacing w:after="60" w:before="60"/>
        <w:jc w:val="both"/>
      </w:pPr>
      <w:r>
        <w:rPr>
          <w:rFonts w:ascii="Calibri" w:cs="Calibri" w:eastAsia="Calibri" w:hAnsi="Calibri"/>
          <w:color w:val="475569"/>
          <w:sz w:val="20"/>
          <w:szCs w:val="20"/>
        </w:rPr>
        <w:t xml:space="preserve">To exercise rights: email privacy@templateflow.io with subject 'Data Rights Request — [Organisation Name]'. We respond within 30 days (15 days for Indian DPDP requests where required).</w:t>
      </w:r>
    </w:p>
    <w:p>
      <w:pPr>
        <w:pStyle w:val="Heading2"/>
        <w:pBdr>
          <w:bottom w:val="single" w:color="0E7490" w:sz="8" w:space="2"/>
        </w:pBdr>
        <w:spacing w:after="120" w:before="320"/>
      </w:pPr>
      <w:r>
        <w:rPr>
          <w:rFonts w:ascii="Calibri" w:cs="Calibri" w:eastAsia="Calibri" w:hAnsi="Calibri"/>
          <w:b/>
          <w:bCs/>
          <w:color w:val="0D2B45"/>
          <w:sz w:val="26"/>
          <w:szCs w:val="26"/>
        </w:rPr>
        <w:t xml:space="preserve">1.8  Data Sharing and Sub-processors</w:t>
      </w:r>
    </w:p>
    <w:p>
      <w:pPr>
        <w:pBdr>
          <w:left w:val="single" w:color="991B1B" w:sz="14"/>
        </w:pBdr>
        <w:shd w:fill="FEE2E2" w:val="clear"/>
        <w:spacing w:after="120" w:before="120"/>
        <w:ind w:left="240" w:right="120"/>
      </w:pPr>
      <w:r>
        <w:rPr>
          <w:rFonts w:ascii="Calibri" w:cs="Calibri" w:eastAsia="Calibri" w:hAnsi="Calibri"/>
          <w:b/>
          <w:bCs/>
          <w:color w:val="991B1B"/>
          <w:sz w:val="20"/>
          <w:szCs w:val="20"/>
        </w:rPr>
        <w:t xml:space="preserve">✖ We do not sell, rent, trade, or broker your personal or business data to any third party for commercial purposes.</w:t>
      </w:r>
    </w:p>
    <w:p>
      <w:pPr>
        <w:spacing w:after="120" w:before="0"/>
      </w:pPr>
    </w:p>
    <w:p>
      <w:pPr>
        <w:pStyle w:val="Heading3"/>
        <w:spacing w:after="80" w:before="220"/>
      </w:pPr>
      <w:r>
        <w:rPr>
          <w:rFonts w:ascii="Calibri" w:cs="Calibri" w:eastAsia="Calibri" w:hAnsi="Calibri"/>
          <w:b/>
          <w:bCs/>
          <w:color w:val="0E7490"/>
          <w:sz w:val="22"/>
          <w:szCs w:val="22"/>
        </w:rPr>
        <w:t xml:space="preserve">1.8.1  Authorised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Sub-processor</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AWS (Amazon Web Services)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Cloud hosting, storage, and infrastructure — Mumbai region primary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Razorpay / Stripe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Payment processing — PCI-DSS Level 1 compliant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SendGrid / AWS 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Transactional email delivery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Google Analytics (anonymised)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Aggregated website and product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Cloudflare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CDN, DDoS protection, performance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Freshdesk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Customer support ticket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Error monitoring and crash reporting</w:t>
            </w:r>
          </w:p>
        </w:tc>
      </w:tr>
    </w:tbl>
    <w:p>
      <w:pPr>
        <w:spacing w:after="120" w:before="0"/>
      </w:pPr>
    </w:p>
    <w:p>
      <w:pPr>
        <w:spacing w:after="60" w:before="60"/>
        <w:jc w:val="both"/>
      </w:pPr>
      <w:r>
        <w:rPr>
          <w:rFonts w:ascii="Calibri" w:cs="Calibri" w:eastAsia="Calibri" w:hAnsi="Calibri"/>
          <w:color w:val="475569"/>
          <w:sz w:val="20"/>
          <w:szCs w:val="20"/>
        </w:rPr>
        <w:t xml:space="preserve">An up-to-date list is maintained at https://templateflow.io/subprocessors. Customers are notified 30 days in advance of material sub-processor changes and may object within that window.</w:t>
      </w:r>
    </w:p>
    <w:p>
      <w:pPr>
        <w:pStyle w:val="Heading3"/>
        <w:spacing w:after="80" w:before="220"/>
      </w:pPr>
      <w:r>
        <w:rPr>
          <w:rFonts w:ascii="Calibri" w:cs="Calibri" w:eastAsia="Calibri" w:hAnsi="Calibri"/>
          <w:b/>
          <w:bCs/>
          <w:color w:val="0E7490"/>
          <w:sz w:val="22"/>
          <w:szCs w:val="22"/>
        </w:rPr>
        <w:t xml:space="preserve">1.8.2  Other Disclosures</w:t>
      </w:r>
    </w:p>
    <w:p>
      <w:pPr>
        <w:pStyle w:val="ListParagraph"/>
        <w:numPr>
          <w:ilvl w:val="0"/>
          <w:numId w:val="2"/>
        </w:numPr>
        <w:spacing w:after="40" w:before="40"/>
      </w:pPr>
      <w:r>
        <w:rPr>
          <w:rFonts w:ascii="Calibri" w:cs="Calibri" w:eastAsia="Calibri" w:hAnsi="Calibri"/>
          <w:color w:val="475569"/>
          <w:sz w:val="20"/>
          <w:szCs w:val="20"/>
        </w:rPr>
        <w:t xml:space="preserve">Law enforcement — when required by valid legal process or court order</w:t>
      </w:r>
    </w:p>
    <w:p>
      <w:pPr>
        <w:pStyle w:val="ListParagraph"/>
        <w:numPr>
          <w:ilvl w:val="0"/>
          <w:numId w:val="2"/>
        </w:numPr>
        <w:spacing w:after="40" w:before="40"/>
      </w:pPr>
      <w:r>
        <w:rPr>
          <w:rFonts w:ascii="Calibri" w:cs="Calibri" w:eastAsia="Calibri" w:hAnsi="Calibri"/>
          <w:color w:val="475569"/>
          <w:sz w:val="20"/>
          <w:szCs w:val="20"/>
        </w:rPr>
        <w:t xml:space="preserve">Regulatory bodies — in response to audits or investigations</w:t>
      </w:r>
    </w:p>
    <w:p>
      <w:pPr>
        <w:pStyle w:val="ListParagraph"/>
        <w:numPr>
          <w:ilvl w:val="0"/>
          <w:numId w:val="2"/>
        </w:numPr>
        <w:spacing w:after="40" w:before="40"/>
      </w:pPr>
      <w:r>
        <w:rPr>
          <w:rFonts w:ascii="Calibri" w:cs="Calibri" w:eastAsia="Calibri" w:hAnsi="Calibri"/>
          <w:color w:val="475569"/>
          <w:sz w:val="20"/>
          <w:szCs w:val="20"/>
        </w:rPr>
        <w:t xml:space="preserve">Successors — in a merger, acquisition, or asset sale (you will be notified and given opt-out rights)</w:t>
      </w:r>
    </w:p>
    <w:p>
      <w:pPr>
        <w:pStyle w:val="ListParagraph"/>
        <w:numPr>
          <w:ilvl w:val="0"/>
          <w:numId w:val="2"/>
        </w:numPr>
        <w:spacing w:after="40" w:before="40"/>
      </w:pPr>
      <w:r>
        <w:rPr>
          <w:rFonts w:ascii="Calibri" w:cs="Calibri" w:eastAsia="Calibri" w:hAnsi="Calibri"/>
          <w:color w:val="475569"/>
          <w:sz w:val="20"/>
          <w:szCs w:val="20"/>
        </w:rPr>
        <w:t xml:space="preserve">Professional advisers — lawyers and auditors, bound by confidentiality</w:t>
      </w:r>
    </w:p>
    <w:p>
      <w:pPr>
        <w:pStyle w:val="Heading2"/>
        <w:pBdr>
          <w:bottom w:val="single" w:color="0E7490" w:sz="8" w:space="2"/>
        </w:pBdr>
        <w:spacing w:after="120" w:before="320"/>
      </w:pPr>
      <w:r>
        <w:rPr>
          <w:rFonts w:ascii="Calibri" w:cs="Calibri" w:eastAsia="Calibri" w:hAnsi="Calibri"/>
          <w:b/>
          <w:bCs/>
          <w:color w:val="0D2B45"/>
          <w:sz w:val="26"/>
          <w:szCs w:val="26"/>
        </w:rPr>
        <w:t xml:space="preserve">1.9  International Data Transfers</w:t>
      </w:r>
    </w:p>
    <w:p>
      <w:pPr>
        <w:spacing w:after="60" w:before="60"/>
        <w:jc w:val="both"/>
      </w:pPr>
      <w:r>
        <w:rPr>
          <w:rFonts w:ascii="Calibri" w:cs="Calibri" w:eastAsia="Calibri" w:hAnsi="Calibri"/>
          <w:color w:val="475569"/>
          <w:sz w:val="20"/>
          <w:szCs w:val="20"/>
        </w:rPr>
        <w:t xml:space="preserve">Your data may be transferred to and processed in countries outside your own. Where data leaves the EEA or UK:</w:t>
      </w:r>
    </w:p>
    <w:p>
      <w:pPr>
        <w:pStyle w:val="ListParagraph"/>
        <w:numPr>
          <w:ilvl w:val="0"/>
          <w:numId w:val="2"/>
        </w:numPr>
        <w:spacing w:after="40" w:before="40"/>
      </w:pPr>
      <w:r>
        <w:rPr>
          <w:rFonts w:ascii="Calibri" w:cs="Calibri" w:eastAsia="Calibri" w:hAnsi="Calibri"/>
          <w:color w:val="475569"/>
          <w:sz w:val="20"/>
          <w:szCs w:val="20"/>
        </w:rPr>
        <w:t xml:space="preserve">We rely on EU Standard Contractual Clauses (SCCs) and UK International Data Transfer Agreements (IDTAs)</w:t>
      </w:r>
    </w:p>
    <w:p>
      <w:pPr>
        <w:pStyle w:val="ListParagraph"/>
        <w:numPr>
          <w:ilvl w:val="0"/>
          <w:numId w:val="2"/>
        </w:numPr>
        <w:spacing w:after="40" w:before="40"/>
      </w:pPr>
      <w:r>
        <w:rPr>
          <w:rFonts w:ascii="Calibri" w:cs="Calibri" w:eastAsia="Calibri" w:hAnsi="Calibri"/>
          <w:color w:val="475569"/>
          <w:sz w:val="20"/>
          <w:szCs w:val="20"/>
        </w:rPr>
        <w:t xml:space="preserve">We maintain a Data Processing Agreement (DPA) available on request</w:t>
      </w:r>
    </w:p>
    <w:p>
      <w:pPr>
        <w:pStyle w:val="ListParagraph"/>
        <w:numPr>
          <w:ilvl w:val="0"/>
          <w:numId w:val="2"/>
        </w:numPr>
        <w:spacing w:after="40" w:before="40"/>
      </w:pPr>
      <w:r>
        <w:rPr>
          <w:rFonts w:ascii="Calibri" w:cs="Calibri" w:eastAsia="Calibri" w:hAnsi="Calibri"/>
          <w:color w:val="475569"/>
          <w:sz w:val="20"/>
          <w:szCs w:val="20"/>
        </w:rPr>
        <w:t xml:space="preserve">India-based transfers comply with the DPDP Act 2023 cross-border transfer framework</w:t>
      </w:r>
    </w:p>
    <w:p>
      <w:pPr>
        <w:pStyle w:val="ListParagraph"/>
        <w:numPr>
          <w:ilvl w:val="0"/>
          <w:numId w:val="2"/>
        </w:numPr>
        <w:spacing w:after="40" w:before="40"/>
      </w:pPr>
      <w:r>
        <w:rPr>
          <w:rFonts w:ascii="Calibri" w:cs="Calibri" w:eastAsia="Calibri" w:hAnsi="Calibri"/>
          <w:color w:val="475569"/>
          <w:sz w:val="20"/>
          <w:szCs w:val="20"/>
        </w:rPr>
        <w:t xml:space="preserve">EEA customers requiring EU-resident data storage should contact legal@templateflow.io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1.10  TemplateFlow as a Data Processor</w:t>
      </w:r>
    </w:p>
    <w:p>
      <w:pPr>
        <w:spacing w:after="60" w:before="60"/>
        <w:jc w:val="both"/>
      </w:pPr>
      <w:r>
        <w:rPr>
          <w:rFonts w:ascii="Calibri" w:cs="Calibri" w:eastAsia="Calibri" w:hAnsi="Calibri"/>
          <w:color w:val="475569"/>
          <w:sz w:val="20"/>
          <w:szCs w:val="20"/>
        </w:rPr>
        <w:t xml:space="preserve">When business customers upload personal data of their own clients (e.g., client email addresses for review invitations), TemplateFlow processes such data as a data processor on the customer's instructions. In this capacity:</w:t>
      </w:r>
    </w:p>
    <w:p>
      <w:pPr>
        <w:pStyle w:val="ListParagraph"/>
        <w:numPr>
          <w:ilvl w:val="0"/>
          <w:numId w:val="2"/>
        </w:numPr>
        <w:spacing w:after="40" w:before="40"/>
      </w:pPr>
      <w:r>
        <w:rPr>
          <w:rFonts w:ascii="Calibri" w:cs="Calibri" w:eastAsia="Calibri" w:hAnsi="Calibri"/>
          <w:color w:val="475569"/>
          <w:sz w:val="20"/>
          <w:szCs w:val="20"/>
        </w:rPr>
        <w:t xml:space="preserve">We process only as instructed by the customer</w:t>
      </w:r>
    </w:p>
    <w:p>
      <w:pPr>
        <w:pStyle w:val="ListParagraph"/>
        <w:numPr>
          <w:ilvl w:val="0"/>
          <w:numId w:val="2"/>
        </w:numPr>
        <w:spacing w:after="40" w:before="40"/>
      </w:pPr>
      <w:r>
        <w:rPr>
          <w:rFonts w:ascii="Calibri" w:cs="Calibri" w:eastAsia="Calibri" w:hAnsi="Calibri"/>
          <w:color w:val="475569"/>
          <w:sz w:val="20"/>
          <w:szCs w:val="20"/>
        </w:rPr>
        <w:t xml:space="preserve">We do not use client data for our own marketing or analytics</w:t>
      </w:r>
    </w:p>
    <w:p>
      <w:pPr>
        <w:pStyle w:val="ListParagraph"/>
        <w:numPr>
          <w:ilvl w:val="0"/>
          <w:numId w:val="2"/>
        </w:numPr>
        <w:spacing w:after="40" w:before="40"/>
      </w:pPr>
      <w:r>
        <w:rPr>
          <w:rFonts w:ascii="Calibri" w:cs="Calibri" w:eastAsia="Calibri" w:hAnsi="Calibri"/>
          <w:color w:val="475569"/>
          <w:sz w:val="20"/>
          <w:szCs w:val="20"/>
        </w:rPr>
        <w:t xml:space="preserve">We will assist the customer in meeting their own data subject obligations</w:t>
      </w:r>
    </w:p>
    <w:p>
      <w:pPr>
        <w:pStyle w:val="ListParagraph"/>
        <w:numPr>
          <w:ilvl w:val="0"/>
          <w:numId w:val="2"/>
        </w:numPr>
        <w:spacing w:after="40" w:before="40"/>
      </w:pPr>
      <w:r>
        <w:rPr>
          <w:rFonts w:ascii="Calibri" w:cs="Calibri" w:eastAsia="Calibri" w:hAnsi="Calibri"/>
          <w:color w:val="475569"/>
          <w:sz w:val="20"/>
          <w:szCs w:val="20"/>
        </w:rPr>
        <w:t xml:space="preserve">A Data Processing Agreement (DPA) is available at legal@templateflow.io — required for GDPR compliance</w:t>
      </w:r>
    </w:p>
    <w:p>
      <w:pPr>
        <w:pStyle w:val="ListParagraph"/>
        <w:numPr>
          <w:ilvl w:val="0"/>
          <w:numId w:val="2"/>
        </w:numPr>
        <w:spacing w:after="40" w:before="40"/>
      </w:pPr>
      <w:r>
        <w:rPr>
          <w:rFonts w:ascii="Calibri" w:cs="Calibri" w:eastAsia="Calibri" w:hAnsi="Calibri"/>
          <w:color w:val="475569"/>
          <w:sz w:val="20"/>
          <w:szCs w:val="20"/>
        </w:rPr>
        <w:t xml:space="preserve">We will notify the customer without undue delay of any breach involving their data</w:t>
      </w:r>
    </w:p>
    <w:p>
      <w:pPr>
        <w:pStyle w:val="Heading2"/>
        <w:pBdr>
          <w:bottom w:val="single" w:color="0E7490" w:sz="8" w:space="2"/>
        </w:pBdr>
        <w:spacing w:after="120" w:before="320"/>
      </w:pPr>
      <w:r>
        <w:rPr>
          <w:rFonts w:ascii="Calibri" w:cs="Calibri" w:eastAsia="Calibri" w:hAnsi="Calibri"/>
          <w:b/>
          <w:bCs/>
          <w:color w:val="0D2B45"/>
          <w:sz w:val="26"/>
          <w:szCs w:val="26"/>
        </w:rPr>
        <w:t xml:space="preserve">1.11  Children's Privacy</w:t>
      </w:r>
    </w:p>
    <w:p>
      <w:pPr>
        <w:pBdr>
          <w:left w:val="single" w:color="92400E" w:sz="14"/>
        </w:pBdr>
        <w:shd w:fill="FEF3C7" w:val="clear"/>
        <w:spacing w:after="120" w:before="120"/>
        <w:ind w:left="240" w:right="120"/>
      </w:pPr>
      <w:r>
        <w:rPr>
          <w:rFonts w:ascii="Calibri" w:cs="Calibri" w:eastAsia="Calibri" w:hAnsi="Calibri"/>
          <w:b/>
          <w:bCs/>
          <w:color w:val="92400E"/>
          <w:sz w:val="20"/>
          <w:szCs w:val="20"/>
        </w:rPr>
        <w:t xml:space="preserve">⚠ TemplateFlow is a B2B platform intended exclusively for business use. We do not knowingly collect personal data from individuals under 18 years of age. If you become aware that a minor has provided data, contact privacy@templateflow.io for immediate deletion.</w:t>
      </w:r>
    </w:p>
    <w:p>
      <w:pPr>
        <w:pStyle w:val="Heading2"/>
        <w:pBdr>
          <w:bottom w:val="single" w:color="0E7490" w:sz="8" w:space="2"/>
        </w:pBdr>
        <w:spacing w:after="120" w:before="320"/>
      </w:pPr>
      <w:r>
        <w:rPr>
          <w:rFonts w:ascii="Calibri" w:cs="Calibri" w:eastAsia="Calibri" w:hAnsi="Calibri"/>
          <w:b/>
          <w:bCs/>
          <w:color w:val="0D2B45"/>
          <w:sz w:val="26"/>
          <w:szCs w:val="26"/>
        </w:rPr>
        <w:t xml:space="preserve">1.12  Privacy Contacts and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Privacy Officer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privacy@templateflow.io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Legal / DPA Requests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legal@templateflow.io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Postal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[Company Name], [Address], India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India Grievance Officer (DPDP 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[Name], grievance@templateflow.io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EEA Supervisory Authorities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https://edpb.europa.eu/about-edpb/members_en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UK ICO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https://ico.org.uk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California AG (CCPA)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https://oag.ca.gov/privacy/ccpa</w:t>
            </w:r>
          </w:p>
        </w:tc>
      </w:tr>
    </w:tbl>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2 — TERMS OF SERVICE</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By creating a TemplateFlow account or executing an Order Form referencing these Terms, your organisation agrees to be bound by the Terms below. These Terms form a binding agreement between TemplateFlow and the subscribing business entity.</w:t>
      </w:r>
    </w:p>
    <w:p>
      <w:pPr>
        <w:pStyle w:val="Heading2"/>
        <w:pBdr>
          <w:bottom w:val="single" w:color="0E7490" w:sz="8" w:space="2"/>
        </w:pBdr>
        <w:spacing w:after="120" w:before="320"/>
      </w:pPr>
      <w:r>
        <w:rPr>
          <w:rFonts w:ascii="Calibri" w:cs="Calibri" w:eastAsia="Calibri" w:hAnsi="Calibri"/>
          <w:b/>
          <w:bCs/>
          <w:color w:val="0D2B45"/>
          <w:sz w:val="26"/>
          <w:szCs w:val="26"/>
        </w:rPr>
        <w:t xml:space="preserve">2.1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'Customer'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The business entity that has entered into a subscription agreement with TemplateFlow.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'Authorised 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An employee, contractor, or agent of the Customer granted access to the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The TemplateFlow SaaS application and API available at 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pre-built or customisable website design asset available via the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'Design Preview'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An interactive or static rendering of a Template customised with Customer brand assets.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'Review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structured evaluation or feedback record generated through the platform's review workflow.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'Order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signed or digitally accepted document specifying subscription tier, users, and fees.</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2.2  Account Responsibilities</w:t>
      </w:r>
    </w:p>
    <w:p>
      <w:pPr>
        <w:pStyle w:val="Heading3"/>
        <w:spacing w:after="80" w:before="220"/>
      </w:pPr>
      <w:r>
        <w:rPr>
          <w:rFonts w:ascii="Calibri" w:cs="Calibri" w:eastAsia="Calibri" w:hAnsi="Calibri"/>
          <w:b/>
          <w:bCs/>
          <w:color w:val="0E7490"/>
          <w:sz w:val="22"/>
          <w:szCs w:val="22"/>
        </w:rPr>
        <w:t xml:space="preserve">2.2.1  Account Administrator Duties</w:t>
      </w:r>
    </w:p>
    <w:p>
      <w:pPr>
        <w:pStyle w:val="ListParagraph"/>
        <w:numPr>
          <w:ilvl w:val="0"/>
          <w:numId w:val="2"/>
        </w:numPr>
        <w:spacing w:after="40" w:before="40"/>
      </w:pPr>
      <w:r>
        <w:rPr>
          <w:rFonts w:ascii="Calibri" w:cs="Calibri" w:eastAsia="Calibri" w:hAnsi="Calibri"/>
          <w:color w:val="475569"/>
          <w:sz w:val="20"/>
          <w:szCs w:val="20"/>
        </w:rPr>
        <w:t xml:space="preserve">Maintain accurate organisation and billing contact information at all times</w:t>
      </w:r>
    </w:p>
    <w:p>
      <w:pPr>
        <w:pStyle w:val="ListParagraph"/>
        <w:numPr>
          <w:ilvl w:val="0"/>
          <w:numId w:val="2"/>
        </w:numPr>
        <w:spacing w:after="40" w:before="40"/>
      </w:pPr>
      <w:r>
        <w:rPr>
          <w:rFonts w:ascii="Calibri" w:cs="Calibri" w:eastAsia="Calibri" w:hAnsi="Calibri"/>
          <w:color w:val="475569"/>
          <w:sz w:val="20"/>
          <w:szCs w:val="20"/>
        </w:rPr>
        <w:t xml:space="preserve">Ensure only authorised personnel are granted access to the workspace</w:t>
      </w:r>
    </w:p>
    <w:p>
      <w:pPr>
        <w:pStyle w:val="ListParagraph"/>
        <w:numPr>
          <w:ilvl w:val="0"/>
          <w:numId w:val="2"/>
        </w:numPr>
        <w:spacing w:after="40" w:before="40"/>
      </w:pPr>
      <w:r>
        <w:rPr>
          <w:rFonts w:ascii="Calibri" w:cs="Calibri" w:eastAsia="Calibri" w:hAnsi="Calibri"/>
          <w:color w:val="475569"/>
          <w:sz w:val="20"/>
          <w:szCs w:val="20"/>
        </w:rPr>
        <w:t xml:space="preserve">Enforce strong password and, where available, MFA authentication for all users</w:t>
      </w:r>
    </w:p>
    <w:p>
      <w:pPr>
        <w:pStyle w:val="ListParagraph"/>
        <w:numPr>
          <w:ilvl w:val="0"/>
          <w:numId w:val="2"/>
        </w:numPr>
        <w:spacing w:after="40" w:before="40"/>
      </w:pPr>
      <w:r>
        <w:rPr>
          <w:rFonts w:ascii="Calibri" w:cs="Calibri" w:eastAsia="Calibri" w:hAnsi="Calibri"/>
          <w:color w:val="475569"/>
          <w:sz w:val="20"/>
          <w:szCs w:val="20"/>
        </w:rPr>
        <w:t xml:space="preserve">Revoke access of departing employees or contractors promptly</w:t>
      </w:r>
    </w:p>
    <w:p>
      <w:pPr>
        <w:pStyle w:val="ListParagraph"/>
        <w:numPr>
          <w:ilvl w:val="0"/>
          <w:numId w:val="2"/>
        </w:numPr>
        <w:spacing w:after="40" w:before="40"/>
      </w:pPr>
      <w:r>
        <w:rPr>
          <w:rFonts w:ascii="Calibri" w:cs="Calibri" w:eastAsia="Calibri" w:hAnsi="Calibri"/>
          <w:color w:val="475569"/>
          <w:sz w:val="20"/>
          <w:szCs w:val="20"/>
        </w:rPr>
        <w:t xml:space="preserve">Accept updated Terms on behalf of the organisation</w:t>
      </w:r>
    </w:p>
    <w:p>
      <w:pPr>
        <w:pStyle w:val="Heading3"/>
        <w:spacing w:after="80" w:before="220"/>
      </w:pPr>
      <w:r>
        <w:rPr>
          <w:rFonts w:ascii="Calibri" w:cs="Calibri" w:eastAsia="Calibri" w:hAnsi="Calibri"/>
          <w:b/>
          <w:bCs/>
          <w:color w:val="0E7490"/>
          <w:sz w:val="22"/>
          <w:szCs w:val="22"/>
        </w:rPr>
        <w:t xml:space="preserve">2.2.2  Acceptable Use</w:t>
      </w:r>
    </w:p>
    <w:p>
      <w:pPr>
        <w:spacing w:after="60" w:before="60"/>
        <w:jc w:val="both"/>
      </w:pPr>
      <w:r>
        <w:rPr>
          <w:rFonts w:ascii="Calibri" w:cs="Calibri" w:eastAsia="Calibri" w:hAnsi="Calibri"/>
          <w:color w:val="475569"/>
          <w:sz w:val="20"/>
          <w:szCs w:val="20"/>
        </w:rPr>
        <w:t xml:space="preserve">Customer and its Authorised Users must NOT:</w:t>
      </w:r>
    </w:p>
    <w:p>
      <w:pPr>
        <w:pStyle w:val="ListParagraph"/>
        <w:numPr>
          <w:ilvl w:val="0"/>
          <w:numId w:val="2"/>
        </w:numPr>
        <w:spacing w:after="40" w:before="40"/>
      </w:pPr>
      <w:r>
        <w:rPr>
          <w:rFonts w:ascii="Calibri" w:cs="Calibri" w:eastAsia="Calibri" w:hAnsi="Calibri"/>
          <w:color w:val="475569"/>
          <w:sz w:val="20"/>
          <w:szCs w:val="20"/>
        </w:rPr>
        <w:t xml:space="preserve">Share login credentials between multiple individuals</w:t>
      </w:r>
    </w:p>
    <w:p>
      <w:pPr>
        <w:pStyle w:val="ListParagraph"/>
        <w:numPr>
          <w:ilvl w:val="0"/>
          <w:numId w:val="2"/>
        </w:numPr>
        <w:spacing w:after="40" w:before="40"/>
      </w:pPr>
      <w:r>
        <w:rPr>
          <w:rFonts w:ascii="Calibri" w:cs="Calibri" w:eastAsia="Calibri" w:hAnsi="Calibri"/>
          <w:color w:val="475569"/>
          <w:sz w:val="20"/>
          <w:szCs w:val="20"/>
        </w:rPr>
        <w:t xml:space="preserve">Attempt to reverse-engineer, scrape, or extract the platform's underlying code or proprietary methodologies</w:t>
      </w:r>
    </w:p>
    <w:p>
      <w:pPr>
        <w:pStyle w:val="ListParagraph"/>
        <w:numPr>
          <w:ilvl w:val="0"/>
          <w:numId w:val="2"/>
        </w:numPr>
        <w:spacing w:after="40" w:before="40"/>
      </w:pPr>
      <w:r>
        <w:rPr>
          <w:rFonts w:ascii="Calibri" w:cs="Calibri" w:eastAsia="Calibri" w:hAnsi="Calibri"/>
          <w:color w:val="475569"/>
          <w:sz w:val="20"/>
          <w:szCs w:val="20"/>
        </w:rPr>
        <w:t xml:space="preserve">Upload malicious code, viruses, or content designed to disrupt the platform</w:t>
      </w:r>
    </w:p>
    <w:p>
      <w:pPr>
        <w:pStyle w:val="ListParagraph"/>
        <w:numPr>
          <w:ilvl w:val="0"/>
          <w:numId w:val="2"/>
        </w:numPr>
        <w:spacing w:after="40" w:before="40"/>
      </w:pPr>
      <w:r>
        <w:rPr>
          <w:rFonts w:ascii="Calibri" w:cs="Calibri" w:eastAsia="Calibri" w:hAnsi="Calibri"/>
          <w:color w:val="475569"/>
          <w:sz w:val="20"/>
          <w:szCs w:val="20"/>
        </w:rPr>
        <w:t xml:space="preserve">Use the platform for any unlawful purpose or to process data for which they have no lawful basis</w:t>
      </w:r>
    </w:p>
    <w:p>
      <w:pPr>
        <w:pStyle w:val="ListParagraph"/>
        <w:numPr>
          <w:ilvl w:val="0"/>
          <w:numId w:val="2"/>
        </w:numPr>
        <w:spacing w:after="40" w:before="40"/>
      </w:pPr>
      <w:r>
        <w:rPr>
          <w:rFonts w:ascii="Calibri" w:cs="Calibri" w:eastAsia="Calibri" w:hAnsi="Calibri"/>
          <w:color w:val="475569"/>
          <w:sz w:val="20"/>
          <w:szCs w:val="20"/>
        </w:rPr>
        <w:t xml:space="preserve">Sublicence, resell, or white-label the platform to third parties without a written reseller agreement</w:t>
      </w:r>
    </w:p>
    <w:p>
      <w:pPr>
        <w:pStyle w:val="ListParagraph"/>
        <w:numPr>
          <w:ilvl w:val="0"/>
          <w:numId w:val="2"/>
        </w:numPr>
        <w:spacing w:after="40" w:before="40"/>
      </w:pPr>
      <w:r>
        <w:rPr>
          <w:rFonts w:ascii="Calibri" w:cs="Calibri" w:eastAsia="Calibri" w:hAnsi="Calibri"/>
          <w:color w:val="475569"/>
          <w:sz w:val="20"/>
          <w:szCs w:val="20"/>
        </w:rPr>
        <w:t xml:space="preserve">Use automated bots or scripts to access the platform in a manner that degrades performance</w:t>
      </w:r>
    </w:p>
    <w:p>
      <w:pPr>
        <w:pStyle w:val="Heading2"/>
        <w:pBdr>
          <w:bottom w:val="single" w:color="0E7490" w:sz="8" w:space="2"/>
        </w:pBdr>
        <w:spacing w:after="120" w:before="320"/>
      </w:pPr>
      <w:r>
        <w:rPr>
          <w:rFonts w:ascii="Calibri" w:cs="Calibri" w:eastAsia="Calibri" w:hAnsi="Calibri"/>
          <w:b/>
          <w:bCs/>
          <w:color w:val="0D2B45"/>
          <w:sz w:val="26"/>
          <w:szCs w:val="26"/>
        </w:rPr>
        <w:t xml:space="preserve">2.3  Payment Terms</w:t>
      </w:r>
    </w:p>
    <w:p>
      <w:pPr>
        <w:pStyle w:val="Heading3"/>
        <w:spacing w:after="80" w:before="220"/>
      </w:pPr>
      <w:r>
        <w:rPr>
          <w:rFonts w:ascii="Calibri" w:cs="Calibri" w:eastAsia="Calibri" w:hAnsi="Calibri"/>
          <w:b/>
          <w:bCs/>
          <w:color w:val="0E7490"/>
          <w:sz w:val="22"/>
          <w:szCs w:val="22"/>
        </w:rPr>
        <w:t xml:space="preserve">2.3.1  Subscription Fees</w:t>
      </w:r>
    </w:p>
    <w:p>
      <w:pPr>
        <w:pStyle w:val="ListParagraph"/>
        <w:numPr>
          <w:ilvl w:val="0"/>
          <w:numId w:val="2"/>
        </w:numPr>
        <w:spacing w:after="40" w:before="40"/>
      </w:pPr>
      <w:r>
        <w:rPr>
          <w:rFonts w:ascii="Calibri" w:cs="Calibri" w:eastAsia="Calibri" w:hAnsi="Calibri"/>
          <w:color w:val="475569"/>
          <w:sz w:val="20"/>
          <w:szCs w:val="20"/>
        </w:rPr>
        <w:t xml:space="preserve">Fees are as set out in the applicable Order Form or pricing page at checkout</w:t>
      </w:r>
    </w:p>
    <w:p>
      <w:pPr>
        <w:pStyle w:val="ListParagraph"/>
        <w:numPr>
          <w:ilvl w:val="0"/>
          <w:numId w:val="2"/>
        </w:numPr>
        <w:spacing w:after="40" w:before="40"/>
      </w:pPr>
      <w:r>
        <w:rPr>
          <w:rFonts w:ascii="Calibri" w:cs="Calibri" w:eastAsia="Calibri" w:hAnsi="Calibri"/>
          <w:color w:val="475569"/>
          <w:sz w:val="20"/>
          <w:szCs w:val="20"/>
        </w:rPr>
        <w:t xml:space="preserve">Subscriptions are billed monthly or annually in advance, in Indian Rupees (INR) unless otherwise agreed</w:t>
      </w:r>
    </w:p>
    <w:p>
      <w:pPr>
        <w:pStyle w:val="ListParagraph"/>
        <w:numPr>
          <w:ilvl w:val="0"/>
          <w:numId w:val="2"/>
        </w:numPr>
        <w:spacing w:after="40" w:before="40"/>
      </w:pPr>
      <w:r>
        <w:rPr>
          <w:rFonts w:ascii="Calibri" w:cs="Calibri" w:eastAsia="Calibri" w:hAnsi="Calibri"/>
          <w:color w:val="475569"/>
          <w:sz w:val="20"/>
          <w:szCs w:val="20"/>
        </w:rPr>
        <w:t xml:space="preserve">International customers are billed in INR; currency conversion is the customer's responsibility</w:t>
      </w:r>
    </w:p>
    <w:p>
      <w:pPr>
        <w:pStyle w:val="ListParagraph"/>
        <w:numPr>
          <w:ilvl w:val="0"/>
          <w:numId w:val="2"/>
        </w:numPr>
        <w:spacing w:after="40" w:before="40"/>
      </w:pPr>
      <w:r>
        <w:rPr>
          <w:rFonts w:ascii="Calibri" w:cs="Calibri" w:eastAsia="Calibri" w:hAnsi="Calibri"/>
          <w:color w:val="475569"/>
          <w:sz w:val="20"/>
          <w:szCs w:val="20"/>
        </w:rPr>
        <w:t xml:space="preserve">GST will be applied to Indian customers at the prevailing rate and itemised on invoices</w:t>
      </w:r>
    </w:p>
    <w:p>
      <w:pPr>
        <w:pStyle w:val="Heading3"/>
        <w:spacing w:after="80" w:before="220"/>
      </w:pPr>
      <w:r>
        <w:rPr>
          <w:rFonts w:ascii="Calibri" w:cs="Calibri" w:eastAsia="Calibri" w:hAnsi="Calibri"/>
          <w:b/>
          <w:bCs/>
          <w:color w:val="0E7490"/>
          <w:sz w:val="22"/>
          <w:szCs w:val="22"/>
        </w:rPr>
        <w:t xml:space="preserve">2.3.2  Payment Processing</w:t>
      </w:r>
    </w:p>
    <w:p>
      <w:pPr>
        <w:pStyle w:val="ListParagraph"/>
        <w:numPr>
          <w:ilvl w:val="0"/>
          <w:numId w:val="2"/>
        </w:numPr>
        <w:spacing w:after="40" w:before="40"/>
      </w:pPr>
      <w:r>
        <w:rPr>
          <w:rFonts w:ascii="Calibri" w:cs="Calibri" w:eastAsia="Calibri" w:hAnsi="Calibri"/>
          <w:color w:val="475569"/>
          <w:sz w:val="20"/>
          <w:szCs w:val="20"/>
        </w:rPr>
        <w:t xml:space="preserve">Payments processed via Razorpay or Stripe — PCI-DSS Level 1 compliant</w:t>
      </w:r>
    </w:p>
    <w:p>
      <w:pPr>
        <w:pStyle w:val="ListParagraph"/>
        <w:numPr>
          <w:ilvl w:val="0"/>
          <w:numId w:val="2"/>
        </w:numPr>
        <w:spacing w:after="40" w:before="40"/>
      </w:pPr>
      <w:r>
        <w:rPr>
          <w:rFonts w:ascii="Calibri" w:cs="Calibri" w:eastAsia="Calibri" w:hAnsi="Calibri"/>
          <w:color w:val="475569"/>
          <w:sz w:val="20"/>
          <w:szCs w:val="20"/>
        </w:rPr>
        <w:t xml:space="preserve">We do not store card numbers, CVVs, or bank account credentials</w:t>
      </w:r>
    </w:p>
    <w:p>
      <w:pPr>
        <w:pStyle w:val="ListParagraph"/>
        <w:numPr>
          <w:ilvl w:val="0"/>
          <w:numId w:val="2"/>
        </w:numPr>
        <w:spacing w:after="40" w:before="40"/>
      </w:pPr>
      <w:r>
        <w:rPr>
          <w:rFonts w:ascii="Calibri" w:cs="Calibri" w:eastAsia="Calibri" w:hAnsi="Calibri"/>
          <w:color w:val="475569"/>
          <w:sz w:val="20"/>
          <w:szCs w:val="20"/>
        </w:rPr>
        <w:t xml:space="preserve">Failed payment will trigger a 7-day grace period before service suspension</w:t>
      </w:r>
    </w:p>
    <w:p>
      <w:pPr>
        <w:pStyle w:val="ListParagraph"/>
        <w:numPr>
          <w:ilvl w:val="0"/>
          <w:numId w:val="2"/>
        </w:numPr>
        <w:spacing w:after="40" w:before="40"/>
      </w:pPr>
      <w:r>
        <w:rPr>
          <w:rFonts w:ascii="Calibri" w:cs="Calibri" w:eastAsia="Calibri" w:hAnsi="Calibri"/>
          <w:color w:val="475569"/>
          <w:sz w:val="20"/>
          <w:szCs w:val="20"/>
        </w:rPr>
        <w:t xml:space="preserve">Reinstatement after suspension requires payment of all outstanding amounts</w:t>
      </w:r>
    </w:p>
    <w:p>
      <w:pPr>
        <w:pStyle w:val="Heading3"/>
        <w:spacing w:after="80" w:before="220"/>
      </w:pPr>
      <w:r>
        <w:rPr>
          <w:rFonts w:ascii="Calibri" w:cs="Calibri" w:eastAsia="Calibri" w:hAnsi="Calibri"/>
          <w:b/>
          <w:bCs/>
          <w:color w:val="0E7490"/>
          <w:sz w:val="22"/>
          <w:szCs w:val="22"/>
        </w:rPr>
        <w:t xml:space="preserve">2.3.3  Price Changes</w:t>
      </w:r>
    </w:p>
    <w:p>
      <w:pPr>
        <w:pStyle w:val="ListParagraph"/>
        <w:numPr>
          <w:ilvl w:val="0"/>
          <w:numId w:val="2"/>
        </w:numPr>
        <w:spacing w:after="40" w:before="40"/>
      </w:pPr>
      <w:r>
        <w:rPr>
          <w:rFonts w:ascii="Calibri" w:cs="Calibri" w:eastAsia="Calibri" w:hAnsi="Calibri"/>
          <w:color w:val="475569"/>
          <w:sz w:val="20"/>
          <w:szCs w:val="20"/>
        </w:rPr>
        <w:t xml:space="preserve">We will provide 60 days' written notice of subscription price increases</w:t>
      </w:r>
    </w:p>
    <w:p>
      <w:pPr>
        <w:pStyle w:val="ListParagraph"/>
        <w:numPr>
          <w:ilvl w:val="0"/>
          <w:numId w:val="2"/>
        </w:numPr>
        <w:spacing w:after="40" w:before="40"/>
      </w:pPr>
      <w:r>
        <w:rPr>
          <w:rFonts w:ascii="Calibri" w:cs="Calibri" w:eastAsia="Calibri" w:hAnsi="Calibri"/>
          <w:color w:val="475569"/>
          <w:sz w:val="20"/>
          <w:szCs w:val="20"/>
        </w:rPr>
        <w:t xml:space="preserve">Price changes take effect at the next renewal following the notice period</w:t>
      </w:r>
    </w:p>
    <w:p>
      <w:pPr>
        <w:pStyle w:val="ListParagraph"/>
        <w:numPr>
          <w:ilvl w:val="0"/>
          <w:numId w:val="2"/>
        </w:numPr>
        <w:spacing w:after="40" w:before="40"/>
      </w:pPr>
      <w:r>
        <w:rPr>
          <w:rFonts w:ascii="Calibri" w:cs="Calibri" w:eastAsia="Calibri" w:hAnsi="Calibri"/>
          <w:color w:val="475569"/>
          <w:sz w:val="20"/>
          <w:szCs w:val="20"/>
        </w:rPr>
        <w:t xml:space="preserve">Annual commitments are locked at the contracted rate for the current term</w:t>
      </w:r>
    </w:p>
    <w:p>
      <w:pPr>
        <w:pStyle w:val="Heading2"/>
        <w:pBdr>
          <w:bottom w:val="single" w:color="0E7490" w:sz="8" w:space="2"/>
        </w:pBdr>
        <w:spacing w:after="120" w:before="320"/>
      </w:pPr>
      <w:r>
        <w:rPr>
          <w:rFonts w:ascii="Calibri" w:cs="Calibri" w:eastAsia="Calibri" w:hAnsi="Calibri"/>
          <w:b/>
          <w:bCs/>
          <w:color w:val="0D2B45"/>
          <w:sz w:val="26"/>
          <w:szCs w:val="26"/>
        </w:rPr>
        <w:t xml:space="preserve">2.4  Refund Policy</w:t>
      </w:r>
    </w:p>
    <w:p>
      <w:pPr>
        <w:pStyle w:val="Heading3"/>
        <w:spacing w:after="80" w:before="220"/>
      </w:pPr>
      <w:r>
        <w:rPr>
          <w:rFonts w:ascii="Calibri" w:cs="Calibri" w:eastAsia="Calibri" w:hAnsi="Calibri"/>
          <w:b/>
          <w:bCs/>
          <w:color w:val="0E7490"/>
          <w:sz w:val="22"/>
          <w:szCs w:val="22"/>
        </w:rPr>
        <w:t xml:space="preserve">2.4.1  Monthly Subscriptions</w:t>
      </w:r>
    </w:p>
    <w:p>
      <w:pPr>
        <w:pStyle w:val="ListParagraph"/>
        <w:numPr>
          <w:ilvl w:val="0"/>
          <w:numId w:val="2"/>
        </w:numPr>
        <w:spacing w:after="40" w:before="40"/>
      </w:pPr>
      <w:r>
        <w:rPr>
          <w:rFonts w:ascii="Calibri" w:cs="Calibri" w:eastAsia="Calibri" w:hAnsi="Calibri"/>
          <w:color w:val="475569"/>
          <w:sz w:val="20"/>
          <w:szCs w:val="20"/>
        </w:rPr>
        <w:t xml:space="preserve">No refund is provided for partial months unless TemplateFlow materially fails to deliver the service</w:t>
      </w:r>
    </w:p>
    <w:p>
      <w:pPr>
        <w:pStyle w:val="ListParagraph"/>
        <w:numPr>
          <w:ilvl w:val="0"/>
          <w:numId w:val="2"/>
        </w:numPr>
        <w:spacing w:after="40" w:before="40"/>
      </w:pPr>
      <w:r>
        <w:rPr>
          <w:rFonts w:ascii="Calibri" w:cs="Calibri" w:eastAsia="Calibri" w:hAnsi="Calibri"/>
          <w:color w:val="475569"/>
          <w:sz w:val="20"/>
          <w:szCs w:val="20"/>
        </w:rPr>
        <w:t xml:space="preserve">Cancellation takes effect at the end of the current billing period</w:t>
      </w:r>
    </w:p>
    <w:p>
      <w:pPr>
        <w:pStyle w:val="Heading3"/>
        <w:spacing w:after="80" w:before="220"/>
      </w:pPr>
      <w:r>
        <w:rPr>
          <w:rFonts w:ascii="Calibri" w:cs="Calibri" w:eastAsia="Calibri" w:hAnsi="Calibri"/>
          <w:b/>
          <w:bCs/>
          <w:color w:val="0E7490"/>
          <w:sz w:val="22"/>
          <w:szCs w:val="22"/>
        </w:rPr>
        <w:t xml:space="preserve">2.4.2  Annual Subscriptions</w:t>
      </w:r>
    </w:p>
    <w:p>
      <w:pPr>
        <w:pStyle w:val="ListParagraph"/>
        <w:numPr>
          <w:ilvl w:val="0"/>
          <w:numId w:val="2"/>
        </w:numPr>
        <w:spacing w:after="40" w:before="40"/>
      </w:pPr>
      <w:r>
        <w:rPr>
          <w:rFonts w:ascii="Calibri" w:cs="Calibri" w:eastAsia="Calibri" w:hAnsi="Calibri"/>
          <w:color w:val="475569"/>
          <w:sz w:val="20"/>
          <w:szCs w:val="20"/>
        </w:rPr>
        <w:t xml:space="preserve">Refund of unused complete months available if cancellation is requested within the first 30 days of the annual term</w:t>
      </w:r>
    </w:p>
    <w:p>
      <w:pPr>
        <w:pStyle w:val="ListParagraph"/>
        <w:numPr>
          <w:ilvl w:val="0"/>
          <w:numId w:val="2"/>
        </w:numPr>
        <w:spacing w:after="40" w:before="40"/>
      </w:pPr>
      <w:r>
        <w:rPr>
          <w:rFonts w:ascii="Calibri" w:cs="Calibri" w:eastAsia="Calibri" w:hAnsi="Calibri"/>
          <w:color w:val="475569"/>
          <w:sz w:val="20"/>
          <w:szCs w:val="20"/>
        </w:rPr>
        <w:t xml:space="preserve">No refund is available after 30 days of an annual term</w:t>
      </w:r>
    </w:p>
    <w:p>
      <w:pPr>
        <w:pStyle w:val="ListParagraph"/>
        <w:numPr>
          <w:ilvl w:val="0"/>
          <w:numId w:val="2"/>
        </w:numPr>
        <w:spacing w:after="40" w:before="40"/>
      </w:pPr>
      <w:r>
        <w:rPr>
          <w:rFonts w:ascii="Calibri" w:cs="Calibri" w:eastAsia="Calibri" w:hAnsi="Calibri"/>
          <w:color w:val="475569"/>
          <w:sz w:val="20"/>
          <w:szCs w:val="20"/>
        </w:rPr>
        <w:t xml:space="preserve">Pro-rata credit toward a future purchase may be offered at TemplateFlow's discretion</w:t>
      </w:r>
    </w:p>
    <w:p>
      <w:pPr>
        <w:pStyle w:val="Heading3"/>
        <w:spacing w:after="80" w:before="220"/>
      </w:pPr>
      <w:r>
        <w:rPr>
          <w:rFonts w:ascii="Calibri" w:cs="Calibri" w:eastAsia="Calibri" w:hAnsi="Calibri"/>
          <w:b/>
          <w:bCs/>
          <w:color w:val="0E7490"/>
          <w:sz w:val="22"/>
          <w:szCs w:val="22"/>
        </w:rPr>
        <w:t xml:space="preserve">2.4.3  One-Time Design Review Reports</w:t>
      </w:r>
    </w:p>
    <w:p>
      <w:pPr>
        <w:pBdr>
          <w:left w:val="single" w:color="991B1B" w:sz="14"/>
        </w:pBdr>
        <w:shd w:fill="FEE2E2" w:val="clear"/>
        <w:spacing w:after="120" w:before="120"/>
        <w:ind w:left="240" w:right="120"/>
      </w:pPr>
      <w:r>
        <w:rPr>
          <w:rFonts w:ascii="Calibri" w:cs="Calibri" w:eastAsia="Calibri" w:hAnsi="Calibri"/>
          <w:b/>
          <w:bCs/>
          <w:color w:val="991B1B"/>
          <w:sz w:val="20"/>
          <w:szCs w:val="20"/>
        </w:rPr>
        <w:t xml:space="preserve">✖ Design Review Reports are delivered as digital deliverables. Once a report has been delivered to your account dashboard or registered email address, no refund will be issued regardless of the reason, including disagreement with the report's findings.</w:t>
      </w:r>
    </w:p>
    <w:p>
      <w:pPr>
        <w:spacing w:after="120" w:before="0"/>
      </w:pPr>
    </w:p>
    <w:p>
      <w:pPr>
        <w:pStyle w:val="ListParagraph"/>
        <w:numPr>
          <w:ilvl w:val="0"/>
          <w:numId w:val="2"/>
        </w:numPr>
        <w:spacing w:after="40" w:before="40"/>
      </w:pPr>
      <w:r>
        <w:rPr>
          <w:rFonts w:ascii="Calibri" w:cs="Calibri" w:eastAsia="Calibri" w:hAnsi="Calibri"/>
          <w:color w:val="475569"/>
          <w:sz w:val="20"/>
          <w:szCs w:val="20"/>
        </w:rPr>
        <w:t xml:space="preserve">If a report was delivered for the wrong domain or template due to our error, we will re-deliver at no cost</w:t>
      </w:r>
    </w:p>
    <w:p>
      <w:pPr>
        <w:pStyle w:val="ListParagraph"/>
        <w:numPr>
          <w:ilvl w:val="0"/>
          <w:numId w:val="2"/>
        </w:numPr>
        <w:spacing w:after="40" w:before="40"/>
      </w:pPr>
      <w:r>
        <w:rPr>
          <w:rFonts w:ascii="Calibri" w:cs="Calibri" w:eastAsia="Calibri" w:hAnsi="Calibri"/>
          <w:color w:val="475569"/>
          <w:sz w:val="20"/>
          <w:szCs w:val="20"/>
        </w:rPr>
        <w:t xml:space="preserve">If delivery is not made within the stated turnaround time, a full refund will be issued on request</w:t>
      </w:r>
    </w:p>
    <w:p>
      <w:pPr>
        <w:pStyle w:val="Heading3"/>
        <w:spacing w:after="80" w:before="220"/>
      </w:pPr>
      <w:r>
        <w:rPr>
          <w:rFonts w:ascii="Calibri" w:cs="Calibri" w:eastAsia="Calibri" w:hAnsi="Calibri"/>
          <w:b/>
          <w:bCs/>
          <w:color w:val="0E7490"/>
          <w:sz w:val="22"/>
          <w:szCs w:val="22"/>
        </w:rPr>
        <w:t xml:space="preserve">2.4.4  Refund Requests</w:t>
      </w:r>
    </w:p>
    <w:p>
      <w:pPr>
        <w:pStyle w:val="ListParagraph"/>
        <w:numPr>
          <w:ilvl w:val="0"/>
          <w:numId w:val="2"/>
        </w:numPr>
        <w:spacing w:after="40" w:before="40"/>
      </w:pPr>
      <w:r>
        <w:rPr>
          <w:rFonts w:ascii="Calibri" w:cs="Calibri" w:eastAsia="Calibri" w:hAnsi="Calibri"/>
          <w:color w:val="475569"/>
          <w:sz w:val="20"/>
          <w:szCs w:val="20"/>
        </w:rPr>
        <w:t xml:space="preserve">Submit to refunds@templateflow.io within 14 days of the triggering event</w:t>
      </w:r>
    </w:p>
    <w:p>
      <w:pPr>
        <w:pStyle w:val="ListParagraph"/>
        <w:numPr>
          <w:ilvl w:val="0"/>
          <w:numId w:val="2"/>
        </w:numPr>
        <w:spacing w:after="40" w:before="40"/>
      </w:pPr>
      <w:r>
        <w:rPr>
          <w:rFonts w:ascii="Calibri" w:cs="Calibri" w:eastAsia="Calibri" w:hAnsi="Calibri"/>
          <w:color w:val="475569"/>
          <w:sz w:val="20"/>
          <w:szCs w:val="20"/>
        </w:rPr>
        <w:t xml:space="preserve">Include your Order ID, organisation name, and a brief statement of grounds</w:t>
      </w:r>
    </w:p>
    <w:p>
      <w:pPr>
        <w:pStyle w:val="ListParagraph"/>
        <w:numPr>
          <w:ilvl w:val="0"/>
          <w:numId w:val="2"/>
        </w:numPr>
        <w:spacing w:after="40" w:before="40"/>
      </w:pPr>
      <w:r>
        <w:rPr>
          <w:rFonts w:ascii="Calibri" w:cs="Calibri" w:eastAsia="Calibri" w:hAnsi="Calibri"/>
          <w:color w:val="475569"/>
          <w:sz w:val="20"/>
          <w:szCs w:val="20"/>
        </w:rPr>
        <w:t xml:space="preserve">Eligible refunds will be processed within 7 business days</w:t>
      </w:r>
    </w:p>
    <w:p>
      <w:pPr>
        <w:pStyle w:val="Heading2"/>
        <w:pBdr>
          <w:bottom w:val="single" w:color="0E7490" w:sz="8" w:space="2"/>
        </w:pBdr>
        <w:spacing w:after="120" w:before="320"/>
      </w:pPr>
      <w:r>
        <w:rPr>
          <w:rFonts w:ascii="Calibri" w:cs="Calibri" w:eastAsia="Calibri" w:hAnsi="Calibri"/>
          <w:b/>
          <w:bCs/>
          <w:color w:val="0D2B45"/>
          <w:sz w:val="26"/>
          <w:szCs w:val="26"/>
        </w:rPr>
        <w:t xml:space="preserve">2.5  Licence to Template Usage</w:t>
      </w:r>
    </w:p>
    <w:p>
      <w:pPr>
        <w:pStyle w:val="Heading3"/>
        <w:spacing w:after="80" w:before="220"/>
      </w:pPr>
      <w:r>
        <w:rPr>
          <w:rFonts w:ascii="Calibri" w:cs="Calibri" w:eastAsia="Calibri" w:hAnsi="Calibri"/>
          <w:b/>
          <w:bCs/>
          <w:color w:val="0E7490"/>
          <w:sz w:val="22"/>
          <w:szCs w:val="22"/>
        </w:rPr>
        <w:t xml:space="preserve">2.5.1  What We Grant You</w:t>
      </w:r>
    </w:p>
    <w:p>
      <w:pPr>
        <w:spacing w:after="60" w:before="60"/>
        <w:jc w:val="both"/>
      </w:pPr>
      <w:r>
        <w:rPr>
          <w:rFonts w:ascii="Calibri" w:cs="Calibri" w:eastAsia="Calibri" w:hAnsi="Calibri"/>
          <w:color w:val="475569"/>
          <w:sz w:val="20"/>
          <w:szCs w:val="20"/>
        </w:rPr>
        <w:t xml:space="preserve">Subject to payment of applicable fees and compliance with these Terms, TemplateFlow grants Customer a:</w:t>
      </w:r>
    </w:p>
    <w:p>
      <w:pPr>
        <w:pStyle w:val="ListParagraph"/>
        <w:numPr>
          <w:ilvl w:val="0"/>
          <w:numId w:val="2"/>
        </w:numPr>
        <w:spacing w:after="40" w:before="40"/>
      </w:pPr>
      <w:r>
        <w:rPr>
          <w:rFonts w:ascii="Calibri" w:cs="Calibri" w:eastAsia="Calibri" w:hAnsi="Calibri"/>
          <w:color w:val="475569"/>
          <w:sz w:val="20"/>
          <w:szCs w:val="20"/>
        </w:rPr>
        <w:t xml:space="preserve">Non-exclusive, non-transferable, revocable licence</w:t>
      </w:r>
    </w:p>
    <w:p>
      <w:pPr>
        <w:pStyle w:val="ListParagraph"/>
        <w:numPr>
          <w:ilvl w:val="0"/>
          <w:numId w:val="2"/>
        </w:numPr>
        <w:spacing w:after="40" w:before="40"/>
      </w:pPr>
      <w:r>
        <w:rPr>
          <w:rFonts w:ascii="Calibri" w:cs="Calibri" w:eastAsia="Calibri" w:hAnsi="Calibri"/>
          <w:color w:val="475569"/>
          <w:sz w:val="20"/>
          <w:szCs w:val="20"/>
        </w:rPr>
        <w:t xml:space="preserve">To access, customise, and deploy Templates from the platform</w:t>
      </w:r>
    </w:p>
    <w:p>
      <w:pPr>
        <w:pStyle w:val="ListParagraph"/>
        <w:numPr>
          <w:ilvl w:val="0"/>
          <w:numId w:val="2"/>
        </w:numPr>
        <w:spacing w:after="40" w:before="40"/>
      </w:pPr>
      <w:r>
        <w:rPr>
          <w:rFonts w:ascii="Calibri" w:cs="Calibri" w:eastAsia="Calibri" w:hAnsi="Calibri"/>
          <w:color w:val="475569"/>
          <w:sz w:val="20"/>
          <w:szCs w:val="20"/>
        </w:rPr>
        <w:t xml:space="preserve">For the Customer's own internal or client-facing business websites</w:t>
      </w:r>
    </w:p>
    <w:p>
      <w:pPr>
        <w:pStyle w:val="ListParagraph"/>
        <w:numPr>
          <w:ilvl w:val="0"/>
          <w:numId w:val="2"/>
        </w:numPr>
        <w:spacing w:after="40" w:before="40"/>
      </w:pPr>
      <w:r>
        <w:rPr>
          <w:rFonts w:ascii="Calibri" w:cs="Calibri" w:eastAsia="Calibri" w:hAnsi="Calibri"/>
          <w:color w:val="475569"/>
          <w:sz w:val="20"/>
          <w:szCs w:val="20"/>
        </w:rPr>
        <w:t xml:space="preserve">For the duration of the active subscription or as specified in the Order Form</w:t>
      </w:r>
    </w:p>
    <w:p>
      <w:pPr>
        <w:pStyle w:val="Heading3"/>
        <w:spacing w:after="80" w:before="220"/>
      </w:pPr>
      <w:r>
        <w:rPr>
          <w:rFonts w:ascii="Calibri" w:cs="Calibri" w:eastAsia="Calibri" w:hAnsi="Calibri"/>
          <w:b/>
          <w:bCs/>
          <w:color w:val="0E7490"/>
          <w:sz w:val="22"/>
          <w:szCs w:val="22"/>
        </w:rPr>
        <w:t xml:space="preserve">2.5.2  What Is NOT Permitted</w:t>
      </w:r>
    </w:p>
    <w:p>
      <w:pPr>
        <w:pStyle w:val="ListParagraph"/>
        <w:numPr>
          <w:ilvl w:val="0"/>
          <w:numId w:val="2"/>
        </w:numPr>
        <w:spacing w:after="40" w:before="40"/>
      </w:pPr>
      <w:r>
        <w:rPr>
          <w:rFonts w:ascii="Calibri" w:cs="Calibri" w:eastAsia="Calibri" w:hAnsi="Calibri"/>
          <w:color w:val="475569"/>
          <w:sz w:val="20"/>
          <w:szCs w:val="20"/>
        </w:rPr>
        <w:t xml:space="preserve">Redistributing, reselling, or sublicensing Templates or Design Previews to third parties</w:t>
      </w:r>
    </w:p>
    <w:p>
      <w:pPr>
        <w:pStyle w:val="ListParagraph"/>
        <w:numPr>
          <w:ilvl w:val="0"/>
          <w:numId w:val="2"/>
        </w:numPr>
        <w:spacing w:after="40" w:before="40"/>
      </w:pPr>
      <w:r>
        <w:rPr>
          <w:rFonts w:ascii="Calibri" w:cs="Calibri" w:eastAsia="Calibri" w:hAnsi="Calibri"/>
          <w:color w:val="475569"/>
          <w:sz w:val="20"/>
          <w:szCs w:val="20"/>
        </w:rPr>
        <w:t xml:space="preserve">Using Templates to build competing template-selling services</w:t>
      </w:r>
    </w:p>
    <w:p>
      <w:pPr>
        <w:pStyle w:val="ListParagraph"/>
        <w:numPr>
          <w:ilvl w:val="0"/>
          <w:numId w:val="2"/>
        </w:numPr>
        <w:spacing w:after="40" w:before="40"/>
      </w:pPr>
      <w:r>
        <w:rPr>
          <w:rFonts w:ascii="Calibri" w:cs="Calibri" w:eastAsia="Calibri" w:hAnsi="Calibri"/>
          <w:color w:val="475569"/>
          <w:sz w:val="20"/>
          <w:szCs w:val="20"/>
        </w:rPr>
        <w:t xml:space="preserve">Removing or obscuring any proprietary notices or attribution within Templates</w:t>
      </w:r>
    </w:p>
    <w:p>
      <w:pPr>
        <w:pStyle w:val="ListParagraph"/>
        <w:numPr>
          <w:ilvl w:val="0"/>
          <w:numId w:val="2"/>
        </w:numPr>
        <w:spacing w:after="40" w:before="40"/>
      </w:pPr>
      <w:r>
        <w:rPr>
          <w:rFonts w:ascii="Calibri" w:cs="Calibri" w:eastAsia="Calibri" w:hAnsi="Calibri"/>
          <w:color w:val="475569"/>
          <w:sz w:val="20"/>
          <w:szCs w:val="20"/>
        </w:rPr>
        <w:t xml:space="preserve">Using Templates for defamatory, illegal, or harmful purposes</w:t>
      </w:r>
    </w:p>
    <w:p>
      <w:pPr>
        <w:pBdr>
          <w:left w:val="single" w:color="92400E" w:sz="14"/>
        </w:pBdr>
        <w:shd w:fill="FEF3C7" w:val="clear"/>
        <w:spacing w:after="120" w:before="120"/>
        <w:ind w:left="240" w:right="120"/>
      </w:pPr>
      <w:r>
        <w:rPr>
          <w:rFonts w:ascii="Calibri" w:cs="Calibri" w:eastAsia="Calibri" w:hAnsi="Calibri"/>
          <w:b/>
          <w:bCs/>
          <w:color w:val="92400E"/>
          <w:sz w:val="20"/>
          <w:szCs w:val="20"/>
        </w:rPr>
        <w:t xml:space="preserve">⚠ Deployment rights for client websites: the licence grants the right to deploy a Template for one live client website per Template purchase unless a multi-site licence is specified in the Order Form.</w:t>
      </w:r>
    </w:p>
    <w:p>
      <w:pPr>
        <w:pStyle w:val="Heading3"/>
        <w:spacing w:after="80" w:before="220"/>
      </w:pPr>
      <w:r>
        <w:rPr>
          <w:rFonts w:ascii="Calibri" w:cs="Calibri" w:eastAsia="Calibri" w:hAnsi="Calibri"/>
          <w:b/>
          <w:bCs/>
          <w:color w:val="0E7490"/>
          <w:sz w:val="22"/>
          <w:szCs w:val="22"/>
        </w:rPr>
        <w:t xml:space="preserve">2.5.3  Open-Source Components</w:t>
      </w:r>
    </w:p>
    <w:p>
      <w:pPr>
        <w:spacing w:after="60" w:before="60"/>
        <w:jc w:val="both"/>
      </w:pPr>
      <w:r>
        <w:rPr>
          <w:rFonts w:ascii="Calibri" w:cs="Calibri" w:eastAsia="Calibri" w:hAnsi="Calibri"/>
          <w:color w:val="475569"/>
          <w:sz w:val="20"/>
          <w:szCs w:val="20"/>
        </w:rPr>
        <w:t xml:space="preserve">Some Templates may incorporate open-source libraries (e.g., Bootstrap, Tailwind CSS). These remain subject to their respective licences, which are documented in the Template's metadata file.</w:t>
      </w:r>
    </w:p>
    <w:p>
      <w:pPr>
        <w:pStyle w:val="Heading2"/>
        <w:pBdr>
          <w:bottom w:val="single" w:color="0E7490" w:sz="8" w:space="2"/>
        </w:pBdr>
        <w:spacing w:after="120" w:before="320"/>
      </w:pPr>
      <w:r>
        <w:rPr>
          <w:rFonts w:ascii="Calibri" w:cs="Calibri" w:eastAsia="Calibri" w:hAnsi="Calibri"/>
          <w:b/>
          <w:bCs/>
          <w:color w:val="0D2B45"/>
          <w:sz w:val="26"/>
          <w:szCs w:val="26"/>
        </w:rPr>
        <w:t xml:space="preserve">2.6  Intellectual Property</w:t>
      </w:r>
    </w:p>
    <w:p>
      <w:pPr>
        <w:pStyle w:val="ListParagraph"/>
        <w:numPr>
          <w:ilvl w:val="0"/>
          <w:numId w:val="2"/>
        </w:numPr>
        <w:spacing w:after="40" w:before="40"/>
      </w:pPr>
      <w:r>
        <w:rPr>
          <w:rFonts w:ascii="Calibri" w:cs="Calibri" w:eastAsia="Calibri" w:hAnsi="Calibri"/>
          <w:color w:val="475569"/>
          <w:sz w:val="20"/>
          <w:szCs w:val="20"/>
        </w:rPr>
        <w:t xml:space="preserve">TemplateFlow retains all IP rights in the Platform, Templates, review methodologies, and documentation</w:t>
      </w:r>
    </w:p>
    <w:p>
      <w:pPr>
        <w:pStyle w:val="ListParagraph"/>
        <w:numPr>
          <w:ilvl w:val="0"/>
          <w:numId w:val="2"/>
        </w:numPr>
        <w:spacing w:after="40" w:before="40"/>
      </w:pPr>
      <w:r>
        <w:rPr>
          <w:rFonts w:ascii="Calibri" w:cs="Calibri" w:eastAsia="Calibri" w:hAnsi="Calibri"/>
          <w:color w:val="475569"/>
          <w:sz w:val="20"/>
          <w:szCs w:val="20"/>
        </w:rPr>
        <w:t xml:space="preserve">Customer retains all IP rights in their brand assets, content, and original materials uploaded to the platform</w:t>
      </w:r>
    </w:p>
    <w:p>
      <w:pPr>
        <w:pStyle w:val="ListParagraph"/>
        <w:numPr>
          <w:ilvl w:val="0"/>
          <w:numId w:val="2"/>
        </w:numPr>
        <w:spacing w:after="40" w:before="40"/>
      </w:pPr>
      <w:r>
        <w:rPr>
          <w:rFonts w:ascii="Calibri" w:cs="Calibri" w:eastAsia="Calibri" w:hAnsi="Calibri"/>
          <w:color w:val="475569"/>
          <w:sz w:val="20"/>
          <w:szCs w:val="20"/>
        </w:rPr>
        <w:t xml:space="preserve">Customer grants TemplateFlow a limited licence to use uploaded brand assets solely to render Design Previews and deliver the service</w:t>
      </w:r>
    </w:p>
    <w:p>
      <w:pPr>
        <w:pStyle w:val="ListParagraph"/>
        <w:numPr>
          <w:ilvl w:val="0"/>
          <w:numId w:val="2"/>
        </w:numPr>
        <w:spacing w:after="40" w:before="40"/>
      </w:pPr>
      <w:r>
        <w:rPr>
          <w:rFonts w:ascii="Calibri" w:cs="Calibri" w:eastAsia="Calibri" w:hAnsi="Calibri"/>
          <w:color w:val="475569"/>
          <w:sz w:val="20"/>
          <w:szCs w:val="20"/>
        </w:rPr>
        <w:t xml:space="preserve">Aggregated, anonymised usage data derived from Customer's use of the platform may be used by TemplateFlow for product improvement</w:t>
      </w:r>
    </w:p>
    <w:p>
      <w:pPr>
        <w:pStyle w:val="Heading2"/>
        <w:pBdr>
          <w:bottom w:val="single" w:color="0E7490" w:sz="8" w:space="2"/>
        </w:pBdr>
        <w:spacing w:after="120" w:before="320"/>
      </w:pPr>
      <w:r>
        <w:rPr>
          <w:rFonts w:ascii="Calibri" w:cs="Calibri" w:eastAsia="Calibri" w:hAnsi="Calibri"/>
          <w:b/>
          <w:bCs/>
          <w:color w:val="0D2B45"/>
          <w:sz w:val="26"/>
          <w:szCs w:val="26"/>
        </w:rPr>
        <w:t xml:space="preserve">2.7  Warranty and Disclaimer</w:t>
      </w:r>
    </w:p>
    <w:p>
      <w:pPr>
        <w:spacing w:after="60" w:before="60"/>
        <w:jc w:val="both"/>
      </w:pPr>
      <w:r>
        <w:rPr>
          <w:rFonts w:ascii="Calibri" w:cs="Calibri" w:eastAsia="Calibri" w:hAnsi="Calibri"/>
          <w:color w:val="475569"/>
          <w:sz w:val="20"/>
          <w:szCs w:val="20"/>
        </w:rPr>
        <w:t xml:space="preserve">TemplateFlow warrants that:</w:t>
      </w:r>
    </w:p>
    <w:p>
      <w:pPr>
        <w:pStyle w:val="ListParagraph"/>
        <w:numPr>
          <w:ilvl w:val="0"/>
          <w:numId w:val="2"/>
        </w:numPr>
        <w:spacing w:after="40" w:before="40"/>
      </w:pPr>
      <w:r>
        <w:rPr>
          <w:rFonts w:ascii="Calibri" w:cs="Calibri" w:eastAsia="Calibri" w:hAnsi="Calibri"/>
          <w:color w:val="475569"/>
          <w:sz w:val="20"/>
          <w:szCs w:val="20"/>
        </w:rPr>
        <w:t xml:space="preserve">The Platform will perform materially in accordance with its published documentation</w:t>
      </w:r>
    </w:p>
    <w:p>
      <w:pPr>
        <w:pStyle w:val="ListParagraph"/>
        <w:numPr>
          <w:ilvl w:val="0"/>
          <w:numId w:val="2"/>
        </w:numPr>
        <w:spacing w:after="40" w:before="40"/>
      </w:pPr>
      <w:r>
        <w:rPr>
          <w:rFonts w:ascii="Calibri" w:cs="Calibri" w:eastAsia="Calibri" w:hAnsi="Calibri"/>
          <w:color w:val="475569"/>
          <w:sz w:val="20"/>
          <w:szCs w:val="20"/>
        </w:rPr>
        <w:t xml:space="preserve">We will use commercially reasonable efforts to maintain 99.5% monthly uptime (excluding scheduled maintenance)</w:t>
      </w:r>
    </w:p>
    <w:p>
      <w:pPr>
        <w:pStyle w:val="ListParagraph"/>
        <w:numPr>
          <w:ilvl w:val="0"/>
          <w:numId w:val="2"/>
        </w:numPr>
        <w:spacing w:after="40" w:before="40"/>
      </w:pPr>
      <w:r>
        <w:rPr>
          <w:rFonts w:ascii="Calibri" w:cs="Calibri" w:eastAsia="Calibri" w:hAnsi="Calibri"/>
          <w:color w:val="475569"/>
          <w:sz w:val="20"/>
          <w:szCs w:val="20"/>
        </w:rPr>
        <w:t xml:space="preserve">Security controls are maintained in line with Section 4 of this document</w:t>
      </w:r>
    </w:p>
    <w:p>
      <w:pPr>
        <w:spacing w:after="120" w:before="0"/>
      </w:pPr>
    </w:p>
    <w:p>
      <w:pPr>
        <w:pBdr>
          <w:left w:val="single" w:color="991B1B" w:sz="14"/>
        </w:pBdr>
        <w:shd w:fill="FEE2E2" w:val="clear"/>
        <w:spacing w:after="120" w:before="120"/>
        <w:ind w:left="240" w:right="120"/>
      </w:pPr>
      <w:r>
        <w:rPr>
          <w:rFonts w:ascii="Calibri" w:cs="Calibri" w:eastAsia="Calibri" w:hAnsi="Calibri"/>
          <w:b/>
          <w:bCs/>
          <w:color w:val="991B1B"/>
          <w:sz w:val="20"/>
          <w:szCs w:val="20"/>
        </w:rPr>
        <w:t xml:space="preserve">✖ Except as expressly stated, the Platform is provided 'as is'. We do not warrant that Templates will be free from errors, or that Design Previews will meet any particular aesthetic or commercial standard. Review Reports represent professional opinions, not guarantees of commercial outcome.</w:t>
      </w:r>
    </w:p>
    <w:p>
      <w:pPr>
        <w:pStyle w:val="Heading2"/>
        <w:pBdr>
          <w:bottom w:val="single" w:color="0E7490" w:sz="8" w:space="2"/>
        </w:pBdr>
        <w:spacing w:after="120" w:before="320"/>
      </w:pPr>
      <w:r>
        <w:rPr>
          <w:rFonts w:ascii="Calibri" w:cs="Calibri" w:eastAsia="Calibri" w:hAnsi="Calibri"/>
          <w:b/>
          <w:bCs/>
          <w:color w:val="0D2B45"/>
          <w:sz w:val="26"/>
          <w:szCs w:val="26"/>
        </w:rPr>
        <w:t xml:space="preserve">2.8  Limitation of Liability</w:t>
      </w:r>
    </w:p>
    <w:p>
      <w:pPr>
        <w:pStyle w:val="ListParagraph"/>
        <w:numPr>
          <w:ilvl w:val="0"/>
          <w:numId w:val="2"/>
        </w:numPr>
        <w:spacing w:after="40" w:before="40"/>
      </w:pPr>
      <w:r>
        <w:rPr>
          <w:rFonts w:ascii="Calibri" w:cs="Calibri" w:eastAsia="Calibri" w:hAnsi="Calibri"/>
          <w:color w:val="475569"/>
          <w:sz w:val="20"/>
          <w:szCs w:val="20"/>
        </w:rPr>
        <w:t xml:space="preserve">TemplateFlow's total aggregate liability for all claims arising under or related to these Terms shall not exceed the total fees paid by Customer in the 12 months preceding the claim</w:t>
      </w:r>
    </w:p>
    <w:p>
      <w:pPr>
        <w:pStyle w:val="ListParagraph"/>
        <w:numPr>
          <w:ilvl w:val="0"/>
          <w:numId w:val="2"/>
        </w:numPr>
        <w:spacing w:after="40" w:before="40"/>
      </w:pPr>
      <w:r>
        <w:rPr>
          <w:rFonts w:ascii="Calibri" w:cs="Calibri" w:eastAsia="Calibri" w:hAnsi="Calibri"/>
          <w:color w:val="475569"/>
          <w:sz w:val="20"/>
          <w:szCs w:val="20"/>
        </w:rPr>
        <w:t xml:space="preserve">We exclude all liability for indirect, consequential, incidental, or special damages, including loss of profit, loss of business, or loss of data</w:t>
      </w:r>
    </w:p>
    <w:p>
      <w:pPr>
        <w:pStyle w:val="ListParagraph"/>
        <w:numPr>
          <w:ilvl w:val="0"/>
          <w:numId w:val="2"/>
        </w:numPr>
        <w:spacing w:after="40" w:before="40"/>
      </w:pPr>
      <w:r>
        <w:rPr>
          <w:rFonts w:ascii="Calibri" w:cs="Calibri" w:eastAsia="Calibri" w:hAnsi="Calibri"/>
          <w:color w:val="475569"/>
          <w:sz w:val="20"/>
          <w:szCs w:val="20"/>
        </w:rPr>
        <w:t xml:space="preserve">Nothing in these Terms limits liability for death or personal injury caused by negligence, fraud, or any other liability that cannot lawfully be excluded</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Enterprise customers may negotiate enhanced SLAs and liability caps via a separately executed Master Services Agreement (MSA). Contact sales@templateflow.io.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2.9  Term and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By Customer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Cancel anytime via account settings. Service continues to end of billing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By TemplateFlow (for cause)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Immediate suspension for material breach of Terms, fraud, or unlawful activity. 15 days' notice to cure before termination.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By TemplateFlow (without cause)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30 days' written notice. Pro-rata refund for unexpired paid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Effect of termination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Account data retained for 90 days post-termination for export. Template deployments remain live (already-deployed sites are not affected). Platform access ceases.</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2.10  Governing Law and Dispute Resolution</w:t>
      </w:r>
    </w:p>
    <w:p>
      <w:pPr>
        <w:pStyle w:val="ListParagraph"/>
        <w:numPr>
          <w:ilvl w:val="0"/>
          <w:numId w:val="2"/>
        </w:numPr>
        <w:spacing w:after="40" w:before="40"/>
      </w:pPr>
      <w:r>
        <w:rPr>
          <w:rFonts w:ascii="Calibri" w:cs="Calibri" w:eastAsia="Calibri" w:hAnsi="Calibri"/>
          <w:color w:val="475569"/>
          <w:sz w:val="20"/>
          <w:szCs w:val="20"/>
        </w:rPr>
        <w:t xml:space="preserve">These Terms are governed by the laws of India</w:t>
      </w:r>
    </w:p>
    <w:p>
      <w:pPr>
        <w:pStyle w:val="ListParagraph"/>
        <w:numPr>
          <w:ilvl w:val="0"/>
          <w:numId w:val="2"/>
        </w:numPr>
        <w:spacing w:after="40" w:before="40"/>
      </w:pPr>
      <w:r>
        <w:rPr>
          <w:rFonts w:ascii="Calibri" w:cs="Calibri" w:eastAsia="Calibri" w:hAnsi="Calibri"/>
          <w:color w:val="475569"/>
          <w:sz w:val="20"/>
          <w:szCs w:val="20"/>
        </w:rPr>
        <w:t xml:space="preserve">Disputes shall first be escalated to legal@templateflow.io for informal resolution (30-day window)</w:t>
      </w:r>
    </w:p>
    <w:p>
      <w:pPr>
        <w:pStyle w:val="ListParagraph"/>
        <w:numPr>
          <w:ilvl w:val="0"/>
          <w:numId w:val="2"/>
        </w:numPr>
        <w:spacing w:after="40" w:before="40"/>
      </w:pPr>
      <w:r>
        <w:rPr>
          <w:rFonts w:ascii="Calibri" w:cs="Calibri" w:eastAsia="Calibri" w:hAnsi="Calibri"/>
          <w:color w:val="475569"/>
          <w:sz w:val="20"/>
          <w:szCs w:val="20"/>
        </w:rPr>
        <w:t xml:space="preserve">Unresolved disputes shall be subject to binding arbitration under the Arbitration and Conciliation Act, 1996 (India), seated in [City], India</w:t>
      </w:r>
    </w:p>
    <w:p>
      <w:pPr>
        <w:pStyle w:val="ListParagraph"/>
        <w:numPr>
          <w:ilvl w:val="0"/>
          <w:numId w:val="2"/>
        </w:numPr>
        <w:spacing w:after="40" w:before="40"/>
      </w:pPr>
      <w:r>
        <w:rPr>
          <w:rFonts w:ascii="Calibri" w:cs="Calibri" w:eastAsia="Calibri" w:hAnsi="Calibri"/>
          <w:color w:val="475569"/>
          <w:sz w:val="20"/>
          <w:szCs w:val="20"/>
        </w:rPr>
        <w:t xml:space="preserve">EEA and UK customers retain the right to bring proceedings in their local courts as required by applicable consumer or B2B protection law</w:t>
      </w:r>
    </w:p>
    <w:p>
      <w:pPr>
        <w:pStyle w:val="ListParagraph"/>
        <w:numPr>
          <w:ilvl w:val="0"/>
          <w:numId w:val="2"/>
        </w:numPr>
        <w:spacing w:after="40" w:before="40"/>
      </w:pPr>
      <w:r>
        <w:rPr>
          <w:rFonts w:ascii="Calibri" w:cs="Calibri" w:eastAsia="Calibri" w:hAnsi="Calibri"/>
          <w:color w:val="475569"/>
          <w:sz w:val="20"/>
          <w:szCs w:val="20"/>
        </w:rPr>
        <w:t xml:space="preserve">Nothing prevents either party from seeking emergency injunctive relief from a court of competent jurisdiction</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3 — COOKIES AND TRACKING POLICY</w:t>
      </w:r>
    </w:p>
    <w:p>
      <w:pPr>
        <w:spacing w:after="120" w:before="0"/>
      </w:pPr>
    </w:p>
    <w:p>
      <w:pPr>
        <w:pStyle w:val="Heading2"/>
        <w:pBdr>
          <w:bottom w:val="single" w:color="0E7490" w:sz="8" w:space="2"/>
        </w:pBdr>
        <w:spacing w:after="120" w:before="320"/>
      </w:pPr>
      <w:r>
        <w:rPr>
          <w:rFonts w:ascii="Calibri" w:cs="Calibri" w:eastAsia="Calibri" w:hAnsi="Calibri"/>
          <w:b/>
          <w:bCs/>
          <w:color w:val="0D2B45"/>
          <w:sz w:val="26"/>
          <w:szCs w:val="26"/>
        </w:rPr>
        <w:t xml:space="preserve">3.1  What Are Cookies and Tracking Technologies?</w:t>
      </w:r>
    </w:p>
    <w:p>
      <w:pPr>
        <w:spacing w:after="60" w:before="60"/>
        <w:jc w:val="both"/>
      </w:pPr>
      <w:r>
        <w:rPr>
          <w:rFonts w:ascii="Calibri" w:cs="Calibri" w:eastAsia="Calibri" w:hAnsi="Calibri"/>
          <w:color w:val="475569"/>
          <w:sz w:val="20"/>
          <w:szCs w:val="20"/>
        </w:rPr>
        <w:t xml:space="preserve">Cookies are small text files stored on your device by a website. We also use similar technologies including web beacons, pixel tags, local storage, and session tokens. Collectively, these technologies are referred to in this section as 'Cookies'.</w:t>
      </w:r>
    </w:p>
    <w:p>
      <w:pPr>
        <w:pStyle w:val="Heading2"/>
        <w:pBdr>
          <w:bottom w:val="single" w:color="0E7490" w:sz="8" w:space="2"/>
        </w:pBdr>
        <w:spacing w:after="120" w:before="320"/>
      </w:pPr>
      <w:r>
        <w:rPr>
          <w:rFonts w:ascii="Calibri" w:cs="Calibri" w:eastAsia="Calibri" w:hAnsi="Calibri"/>
          <w:b/>
          <w:bCs/>
          <w:color w:val="0D2B45"/>
          <w:sz w:val="26"/>
          <w:szCs w:val="26"/>
        </w:rPr>
        <w:t xml:space="preserve">3.2  Categories of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Category</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Purpose and 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Strictly Necessary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Required for the platform to function. Cannot be disabled. Examples: authentication tokens, CSRF security tokens, load-balancer session IDs, cookie consent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Performance &amp;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Help us understand platform usage to improve features. Data is pseudonymised. Example: Google Analytics (IP anonymisation enabled), Sentry error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Functional / Preference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Remember workspace settings, language preferences, and UI layout choices.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Marketing &amp; Targeting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Used (with consent) for remarketing campaigns. Currently deployed: Google Ads, LinkedIn Insight Tag. Can be disabled via consent manager.</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3.3  Consent and User Controls</w:t>
      </w:r>
    </w:p>
    <w:p>
      <w:pPr>
        <w:pStyle w:val="ListParagraph"/>
        <w:numPr>
          <w:ilvl w:val="0"/>
          <w:numId w:val="2"/>
        </w:numPr>
        <w:spacing w:after="40" w:before="40"/>
      </w:pPr>
      <w:r>
        <w:rPr>
          <w:rFonts w:ascii="Calibri" w:cs="Calibri" w:eastAsia="Calibri" w:hAnsi="Calibri"/>
          <w:color w:val="475569"/>
          <w:sz w:val="20"/>
          <w:szCs w:val="20"/>
        </w:rPr>
        <w:t xml:space="preserve">A cookie consent banner is displayed on first visit to templateflow.io and on first login from a new device</w:t>
      </w:r>
    </w:p>
    <w:p>
      <w:pPr>
        <w:pStyle w:val="ListParagraph"/>
        <w:numPr>
          <w:ilvl w:val="0"/>
          <w:numId w:val="2"/>
        </w:numPr>
        <w:spacing w:after="40" w:before="40"/>
      </w:pPr>
      <w:r>
        <w:rPr>
          <w:rFonts w:ascii="Calibri" w:cs="Calibri" w:eastAsia="Calibri" w:hAnsi="Calibri"/>
          <w:color w:val="475569"/>
          <w:sz w:val="20"/>
          <w:szCs w:val="20"/>
        </w:rPr>
        <w:t xml:space="preserve">You may select: Accept All, Reject Non-Essential, or Customise Preferences by category</w:t>
      </w:r>
    </w:p>
    <w:p>
      <w:pPr>
        <w:pStyle w:val="ListParagraph"/>
        <w:numPr>
          <w:ilvl w:val="0"/>
          <w:numId w:val="2"/>
        </w:numPr>
        <w:spacing w:after="40" w:before="40"/>
      </w:pPr>
      <w:r>
        <w:rPr>
          <w:rFonts w:ascii="Calibri" w:cs="Calibri" w:eastAsia="Calibri" w:hAnsi="Calibri"/>
          <w:color w:val="475569"/>
          <w:sz w:val="20"/>
          <w:szCs w:val="20"/>
        </w:rPr>
        <w:t xml:space="preserve">Consent is recorded with a timestamp and stored for 12 months</w:t>
      </w:r>
    </w:p>
    <w:p>
      <w:pPr>
        <w:pStyle w:val="ListParagraph"/>
        <w:numPr>
          <w:ilvl w:val="0"/>
          <w:numId w:val="2"/>
        </w:numPr>
        <w:spacing w:after="40" w:before="40"/>
      </w:pPr>
      <w:r>
        <w:rPr>
          <w:rFonts w:ascii="Calibri" w:cs="Calibri" w:eastAsia="Calibri" w:hAnsi="Calibri"/>
          <w:color w:val="475569"/>
          <w:sz w:val="20"/>
          <w:szCs w:val="20"/>
        </w:rPr>
        <w:t xml:space="preserve">You may update your preferences at any time by clicking 'Cookie Settings' in the platform footer</w:t>
      </w:r>
    </w:p>
    <w:p>
      <w:pPr>
        <w:pStyle w:val="ListParagraph"/>
        <w:numPr>
          <w:ilvl w:val="0"/>
          <w:numId w:val="2"/>
        </w:numPr>
        <w:spacing w:after="40" w:before="40"/>
      </w:pPr>
      <w:r>
        <w:rPr>
          <w:rFonts w:ascii="Calibri" w:cs="Calibri" w:eastAsia="Calibri" w:hAnsi="Calibri"/>
          <w:color w:val="475569"/>
          <w:sz w:val="20"/>
          <w:szCs w:val="20"/>
        </w:rPr>
        <w:t xml:space="preserve">Withdrawing consent for analytics or marketing cookies does not affect platform functionality</w:t>
      </w:r>
    </w:p>
    <w:p>
      <w:pPr>
        <w:pStyle w:val="Heading2"/>
        <w:pBdr>
          <w:bottom w:val="single" w:color="0E7490" w:sz="8" w:space="2"/>
        </w:pBdr>
        <w:spacing w:after="120" w:before="320"/>
      </w:pPr>
      <w:r>
        <w:rPr>
          <w:rFonts w:ascii="Calibri" w:cs="Calibri" w:eastAsia="Calibri" w:hAnsi="Calibri"/>
          <w:b/>
          <w:bCs/>
          <w:color w:val="0D2B45"/>
          <w:sz w:val="26"/>
          <w:szCs w:val="26"/>
        </w:rPr>
        <w:t xml:space="preserve">3.4  Managing Cookies at Browser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Browser</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Settings 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Google Chrome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Settings &gt; Privacy and security &gt; Cookies and other site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Mozilla Firefox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Options &gt; Privacy &amp; Security &gt; Cookies and Site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Safari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Preferences &gt; Privacy &gt; Manage Website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Microsoft Edge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Settings &gt; Cookies and site permissions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Opera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Settings &gt; Advanced &gt; Privacy &amp; security &gt; Cookies</w:t>
            </w:r>
          </w:p>
        </w:tc>
      </w:tr>
    </w:tbl>
    <w:p>
      <w:pPr>
        <w:pBdr>
          <w:left w:val="single" w:color="92400E" w:sz="14"/>
        </w:pBdr>
        <w:shd w:fill="FEF3C7" w:val="clear"/>
        <w:spacing w:after="120" w:before="120"/>
        <w:ind w:left="240" w:right="120"/>
      </w:pPr>
      <w:r>
        <w:rPr>
          <w:rFonts w:ascii="Calibri" w:cs="Calibri" w:eastAsia="Calibri" w:hAnsi="Calibri"/>
          <w:b/>
          <w:bCs/>
          <w:color w:val="92400E"/>
          <w:sz w:val="20"/>
          <w:szCs w:val="20"/>
        </w:rPr>
        <w:t xml:space="preserve">⚠ Disabling strictly necessary cookies will prevent login and platform access. This is separate from our consent manager and must be managed at browser level.</w:t>
      </w:r>
    </w:p>
    <w:p>
      <w:pPr>
        <w:pStyle w:val="Heading2"/>
        <w:pBdr>
          <w:bottom w:val="single" w:color="0E7490" w:sz="8" w:space="2"/>
        </w:pBdr>
        <w:spacing w:after="120" w:before="320"/>
      </w:pPr>
      <w:r>
        <w:rPr>
          <w:rFonts w:ascii="Calibri" w:cs="Calibri" w:eastAsia="Calibri" w:hAnsi="Calibri"/>
          <w:b/>
          <w:bCs/>
          <w:color w:val="0D2B45"/>
          <w:sz w:val="26"/>
          <w:szCs w:val="26"/>
        </w:rPr>
        <w:t xml:space="preserve">3.5  Third-Party Cookies</w:t>
      </w:r>
    </w:p>
    <w:p>
      <w:pPr>
        <w:spacing w:after="60" w:before="60"/>
        <w:jc w:val="both"/>
      </w:pPr>
      <w:r>
        <w:rPr>
          <w:rFonts w:ascii="Calibri" w:cs="Calibri" w:eastAsia="Calibri" w:hAnsi="Calibri"/>
          <w:color w:val="475569"/>
          <w:sz w:val="20"/>
          <w:szCs w:val="20"/>
        </w:rPr>
        <w:t xml:space="preserve">The following third parties may set cookies. Their use is subject to their own privacy policies:</w:t>
      </w:r>
    </w:p>
    <w:p>
      <w:pPr>
        <w:pStyle w:val="ListParagraph"/>
        <w:numPr>
          <w:ilvl w:val="0"/>
          <w:numId w:val="2"/>
        </w:numPr>
        <w:spacing w:after="40" w:before="40"/>
      </w:pPr>
      <w:r>
        <w:rPr>
          <w:rFonts w:ascii="Calibri" w:cs="Calibri" w:eastAsia="Calibri" w:hAnsi="Calibri"/>
          <w:color w:val="475569"/>
          <w:sz w:val="20"/>
          <w:szCs w:val="20"/>
        </w:rPr>
        <w:t xml:space="preserve">Google Analytics — https://policies.google.com/privacy</w:t>
      </w:r>
    </w:p>
    <w:p>
      <w:pPr>
        <w:pStyle w:val="ListParagraph"/>
        <w:numPr>
          <w:ilvl w:val="0"/>
          <w:numId w:val="2"/>
        </w:numPr>
        <w:spacing w:after="40" w:before="40"/>
      </w:pPr>
      <w:r>
        <w:rPr>
          <w:rFonts w:ascii="Calibri" w:cs="Calibri" w:eastAsia="Calibri" w:hAnsi="Calibri"/>
          <w:color w:val="475569"/>
          <w:sz w:val="20"/>
          <w:szCs w:val="20"/>
        </w:rPr>
        <w:t xml:space="preserve">Google Ads — https://policies.google.com/privacy</w:t>
      </w:r>
    </w:p>
    <w:p>
      <w:pPr>
        <w:pStyle w:val="ListParagraph"/>
        <w:numPr>
          <w:ilvl w:val="0"/>
          <w:numId w:val="2"/>
        </w:numPr>
        <w:spacing w:after="40" w:before="40"/>
      </w:pPr>
      <w:r>
        <w:rPr>
          <w:rFonts w:ascii="Calibri" w:cs="Calibri" w:eastAsia="Calibri" w:hAnsi="Calibri"/>
          <w:color w:val="475569"/>
          <w:sz w:val="20"/>
          <w:szCs w:val="20"/>
        </w:rPr>
        <w:t xml:space="preserve">LinkedIn Insight Tag — https://www.linkedin.com/legal/privacy-policy</w:t>
      </w:r>
    </w:p>
    <w:p>
      <w:pPr>
        <w:pStyle w:val="ListParagraph"/>
        <w:numPr>
          <w:ilvl w:val="0"/>
          <w:numId w:val="2"/>
        </w:numPr>
        <w:spacing w:after="40" w:before="40"/>
      </w:pPr>
      <w:r>
        <w:rPr>
          <w:rFonts w:ascii="Calibri" w:cs="Calibri" w:eastAsia="Calibri" w:hAnsi="Calibri"/>
          <w:color w:val="475569"/>
          <w:sz w:val="20"/>
          <w:szCs w:val="20"/>
        </w:rPr>
        <w:t xml:space="preserve">Razorpay / Stripe — payment security cookies</w:t>
      </w:r>
    </w:p>
    <w:p>
      <w:pPr>
        <w:pStyle w:val="ListParagraph"/>
        <w:numPr>
          <w:ilvl w:val="0"/>
          <w:numId w:val="2"/>
        </w:numPr>
        <w:spacing w:after="40" w:before="40"/>
      </w:pPr>
      <w:r>
        <w:rPr>
          <w:rFonts w:ascii="Calibri" w:cs="Calibri" w:eastAsia="Calibri" w:hAnsi="Calibri"/>
          <w:color w:val="475569"/>
          <w:sz w:val="20"/>
          <w:szCs w:val="20"/>
        </w:rPr>
        <w:t xml:space="preserve">Cloudflare — performance and security cookies</w:t>
      </w:r>
    </w:p>
    <w:p>
      <w:pPr>
        <w:pStyle w:val="ListParagraph"/>
        <w:numPr>
          <w:ilvl w:val="0"/>
          <w:numId w:val="2"/>
        </w:numPr>
        <w:spacing w:after="40" w:before="40"/>
      </w:pPr>
      <w:r>
        <w:rPr>
          <w:rFonts w:ascii="Calibri" w:cs="Calibri" w:eastAsia="Calibri" w:hAnsi="Calibri"/>
          <w:color w:val="475569"/>
          <w:sz w:val="20"/>
          <w:szCs w:val="20"/>
        </w:rPr>
        <w:t xml:space="preserve">Freshdesk — customer support widget cookies</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4 — DATA SECURITY MEASURES</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This section is designed for IT security and procurement teams conducting vendor assessments. A completed security questionnaire (e.g., SIG Lite, CAIQ) is available on request at security@templateflow.io.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4.1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Control</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Implementation 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Data in Transit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TLS 1.3 (minimum TLS 1.2). HSTS enforced. Certificate managed via AWS ACM.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Data at Rest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AES-256 encryption for all S3 buckets and RDS instances.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Passwords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Bcrypt with adaptive cost factor; salted. Raw passwords never stored.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API Keys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Stored as SHA-256 hashed values. Original key displayed only once at generation.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Backups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Encrypted at rest using AES-256; stored in geographically separate AWS region.</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4.2  Access Controls</w:t>
      </w:r>
    </w:p>
    <w:p>
      <w:pPr>
        <w:pStyle w:val="ListParagraph"/>
        <w:numPr>
          <w:ilvl w:val="0"/>
          <w:numId w:val="2"/>
        </w:numPr>
        <w:spacing w:after="40" w:before="40"/>
      </w:pPr>
      <w:r>
        <w:rPr>
          <w:rFonts w:ascii="Calibri" w:cs="Calibri" w:eastAsia="Calibri" w:hAnsi="Calibri"/>
          <w:color w:val="475569"/>
          <w:sz w:val="20"/>
          <w:szCs w:val="20"/>
        </w:rPr>
        <w:t xml:space="preserve">Role-based access control (RBAC) with principle of least privilege</w:t>
      </w:r>
    </w:p>
    <w:p>
      <w:pPr>
        <w:pStyle w:val="ListParagraph"/>
        <w:numPr>
          <w:ilvl w:val="0"/>
          <w:numId w:val="2"/>
        </w:numPr>
        <w:spacing w:after="40" w:before="40"/>
      </w:pPr>
      <w:r>
        <w:rPr>
          <w:rFonts w:ascii="Calibri" w:cs="Calibri" w:eastAsia="Calibri" w:hAnsi="Calibri"/>
          <w:color w:val="475569"/>
          <w:sz w:val="20"/>
          <w:szCs w:val="20"/>
        </w:rPr>
        <w:t xml:space="preserve">Production environment access restricted to senior engineers; logged and auditable</w:t>
      </w:r>
    </w:p>
    <w:p>
      <w:pPr>
        <w:pStyle w:val="ListParagraph"/>
        <w:numPr>
          <w:ilvl w:val="0"/>
          <w:numId w:val="2"/>
        </w:numPr>
        <w:spacing w:after="40" w:before="40"/>
      </w:pPr>
      <w:r>
        <w:rPr>
          <w:rFonts w:ascii="Calibri" w:cs="Calibri" w:eastAsia="Calibri" w:hAnsi="Calibri"/>
          <w:color w:val="475569"/>
          <w:sz w:val="20"/>
          <w:szCs w:val="20"/>
        </w:rPr>
        <w:t xml:space="preserve">All staff access to production systems requires multi-factor authentication (MFA)</w:t>
      </w:r>
    </w:p>
    <w:p>
      <w:pPr>
        <w:pStyle w:val="ListParagraph"/>
        <w:numPr>
          <w:ilvl w:val="0"/>
          <w:numId w:val="2"/>
        </w:numPr>
        <w:spacing w:after="40" w:before="40"/>
      </w:pPr>
      <w:r>
        <w:rPr>
          <w:rFonts w:ascii="Calibri" w:cs="Calibri" w:eastAsia="Calibri" w:hAnsi="Calibri"/>
          <w:color w:val="475569"/>
          <w:sz w:val="20"/>
          <w:szCs w:val="20"/>
        </w:rPr>
        <w:t xml:space="preserve">Privileged access management (PAM) system in place for infrastructure access</w:t>
      </w:r>
    </w:p>
    <w:p>
      <w:pPr>
        <w:pStyle w:val="ListParagraph"/>
        <w:numPr>
          <w:ilvl w:val="0"/>
          <w:numId w:val="2"/>
        </w:numPr>
        <w:spacing w:after="40" w:before="40"/>
      </w:pPr>
      <w:r>
        <w:rPr>
          <w:rFonts w:ascii="Calibri" w:cs="Calibri" w:eastAsia="Calibri" w:hAnsi="Calibri"/>
          <w:color w:val="475569"/>
          <w:sz w:val="20"/>
          <w:szCs w:val="20"/>
        </w:rPr>
        <w:t xml:space="preserve">Annual access review; immediate revocation upon staff departure</w:t>
      </w:r>
    </w:p>
    <w:p>
      <w:pPr>
        <w:pStyle w:val="ListParagraph"/>
        <w:numPr>
          <w:ilvl w:val="0"/>
          <w:numId w:val="2"/>
        </w:numPr>
        <w:spacing w:after="40" w:before="40"/>
      </w:pPr>
      <w:r>
        <w:rPr>
          <w:rFonts w:ascii="Calibri" w:cs="Calibri" w:eastAsia="Calibri" w:hAnsi="Calibri"/>
          <w:color w:val="475569"/>
          <w:sz w:val="20"/>
          <w:szCs w:val="20"/>
        </w:rPr>
        <w:t xml:space="preserve">Customer data logically segregated by tenant ID; cross-tenant access is architecturally prevented</w:t>
      </w:r>
    </w:p>
    <w:p>
      <w:pPr>
        <w:pStyle w:val="Heading2"/>
        <w:pBdr>
          <w:bottom w:val="single" w:color="0E7490" w:sz="8" w:space="2"/>
        </w:pBdr>
        <w:spacing w:after="120" w:before="320"/>
      </w:pPr>
      <w:r>
        <w:rPr>
          <w:rFonts w:ascii="Calibri" w:cs="Calibri" w:eastAsia="Calibri" w:hAnsi="Calibri"/>
          <w:b/>
          <w:bCs/>
          <w:color w:val="0D2B45"/>
          <w:sz w:val="26"/>
          <w:szCs w:val="26"/>
        </w:rPr>
        <w:t xml:space="preserve">4.3  Infrastructure Security</w:t>
      </w:r>
    </w:p>
    <w:p>
      <w:pPr>
        <w:pStyle w:val="ListParagraph"/>
        <w:numPr>
          <w:ilvl w:val="0"/>
          <w:numId w:val="2"/>
        </w:numPr>
        <w:spacing w:after="40" w:before="40"/>
      </w:pPr>
      <w:r>
        <w:rPr>
          <w:rFonts w:ascii="Calibri" w:cs="Calibri" w:eastAsia="Calibri" w:hAnsi="Calibri"/>
          <w:color w:val="475569"/>
          <w:sz w:val="20"/>
          <w:szCs w:val="20"/>
        </w:rPr>
        <w:t xml:space="preserve">Hosted on AWS; primary region: ap-south-1 (Mumbai)</w:t>
      </w:r>
    </w:p>
    <w:p>
      <w:pPr>
        <w:pStyle w:val="ListParagraph"/>
        <w:numPr>
          <w:ilvl w:val="0"/>
          <w:numId w:val="2"/>
        </w:numPr>
        <w:spacing w:after="40" w:before="40"/>
      </w:pPr>
      <w:r>
        <w:rPr>
          <w:rFonts w:ascii="Calibri" w:cs="Calibri" w:eastAsia="Calibri" w:hAnsi="Calibri"/>
          <w:color w:val="475569"/>
          <w:sz w:val="20"/>
          <w:szCs w:val="20"/>
        </w:rPr>
        <w:t xml:space="preserve">VPC with private subnets; no direct internet access to database tier</w:t>
      </w:r>
    </w:p>
    <w:p>
      <w:pPr>
        <w:pStyle w:val="ListParagraph"/>
        <w:numPr>
          <w:ilvl w:val="0"/>
          <w:numId w:val="2"/>
        </w:numPr>
        <w:spacing w:after="40" w:before="40"/>
      </w:pPr>
      <w:r>
        <w:rPr>
          <w:rFonts w:ascii="Calibri" w:cs="Calibri" w:eastAsia="Calibri" w:hAnsi="Calibri"/>
          <w:color w:val="475569"/>
          <w:sz w:val="20"/>
          <w:szCs w:val="20"/>
        </w:rPr>
        <w:t xml:space="preserve">Web Application Firewall (WAF) — AWS WAF + Cloudflare</w:t>
      </w:r>
    </w:p>
    <w:p>
      <w:pPr>
        <w:pStyle w:val="ListParagraph"/>
        <w:numPr>
          <w:ilvl w:val="0"/>
          <w:numId w:val="2"/>
        </w:numPr>
        <w:spacing w:after="40" w:before="40"/>
      </w:pPr>
      <w:r>
        <w:rPr>
          <w:rFonts w:ascii="Calibri" w:cs="Calibri" w:eastAsia="Calibri" w:hAnsi="Calibri"/>
          <w:color w:val="475569"/>
          <w:sz w:val="20"/>
          <w:szCs w:val="20"/>
        </w:rPr>
        <w:t xml:space="preserve">DDoS mitigation via Cloudflare Magic Transit</w:t>
      </w:r>
    </w:p>
    <w:p>
      <w:pPr>
        <w:pStyle w:val="ListParagraph"/>
        <w:numPr>
          <w:ilvl w:val="0"/>
          <w:numId w:val="2"/>
        </w:numPr>
        <w:spacing w:after="40" w:before="40"/>
      </w:pPr>
      <w:r>
        <w:rPr>
          <w:rFonts w:ascii="Calibri" w:cs="Calibri" w:eastAsia="Calibri" w:hAnsi="Calibri"/>
          <w:color w:val="475569"/>
          <w:sz w:val="20"/>
          <w:szCs w:val="20"/>
        </w:rPr>
        <w:t xml:space="preserve">Vulnerability scanning with automated daily scans and weekly reports</w:t>
      </w:r>
    </w:p>
    <w:p>
      <w:pPr>
        <w:pStyle w:val="ListParagraph"/>
        <w:numPr>
          <w:ilvl w:val="0"/>
          <w:numId w:val="2"/>
        </w:numPr>
        <w:spacing w:after="40" w:before="40"/>
      </w:pPr>
      <w:r>
        <w:rPr>
          <w:rFonts w:ascii="Calibri" w:cs="Calibri" w:eastAsia="Calibri" w:hAnsi="Calibri"/>
          <w:color w:val="475569"/>
          <w:sz w:val="20"/>
          <w:szCs w:val="20"/>
        </w:rPr>
        <w:t xml:space="preserve">Penetration testing by independent third party at least annually</w:t>
      </w:r>
    </w:p>
    <w:p>
      <w:pPr>
        <w:pStyle w:val="ListParagraph"/>
        <w:numPr>
          <w:ilvl w:val="0"/>
          <w:numId w:val="2"/>
        </w:numPr>
        <w:spacing w:after="40" w:before="40"/>
      </w:pPr>
      <w:r>
        <w:rPr>
          <w:rFonts w:ascii="Calibri" w:cs="Calibri" w:eastAsia="Calibri" w:hAnsi="Calibri"/>
          <w:color w:val="475569"/>
          <w:sz w:val="20"/>
          <w:szCs w:val="20"/>
        </w:rPr>
        <w:t xml:space="preserve">Dependency and container image scanning in CI/CD pipeline</w:t>
      </w:r>
    </w:p>
    <w:p>
      <w:pPr>
        <w:pStyle w:val="Heading2"/>
        <w:pBdr>
          <w:bottom w:val="single" w:color="0E7490" w:sz="8" w:space="2"/>
        </w:pBdr>
        <w:spacing w:after="120" w:before="320"/>
      </w:pPr>
      <w:r>
        <w:rPr>
          <w:rFonts w:ascii="Calibri" w:cs="Calibri" w:eastAsia="Calibri" w:hAnsi="Calibri"/>
          <w:b/>
          <w:bCs/>
          <w:color w:val="0D2B45"/>
          <w:sz w:val="26"/>
          <w:szCs w:val="26"/>
        </w:rPr>
        <w:t xml:space="preserve">4.4  Operational Security</w:t>
      </w:r>
    </w:p>
    <w:p>
      <w:pPr>
        <w:pStyle w:val="ListParagraph"/>
        <w:numPr>
          <w:ilvl w:val="0"/>
          <w:numId w:val="2"/>
        </w:numPr>
        <w:spacing w:after="40" w:before="40"/>
      </w:pPr>
      <w:r>
        <w:rPr>
          <w:rFonts w:ascii="Calibri" w:cs="Calibri" w:eastAsia="Calibri" w:hAnsi="Calibri"/>
          <w:color w:val="475569"/>
          <w:sz w:val="20"/>
          <w:szCs w:val="20"/>
        </w:rPr>
        <w:t xml:space="preserve">Security Awareness training for all staff on onboarding and annually thereafter</w:t>
      </w:r>
    </w:p>
    <w:p>
      <w:pPr>
        <w:pStyle w:val="ListParagraph"/>
        <w:numPr>
          <w:ilvl w:val="0"/>
          <w:numId w:val="2"/>
        </w:numPr>
        <w:spacing w:after="40" w:before="40"/>
      </w:pPr>
      <w:r>
        <w:rPr>
          <w:rFonts w:ascii="Calibri" w:cs="Calibri" w:eastAsia="Calibri" w:hAnsi="Calibri"/>
          <w:color w:val="475569"/>
          <w:sz w:val="20"/>
          <w:szCs w:val="20"/>
        </w:rPr>
        <w:t xml:space="preserve">Vendor due diligence for all sub-processors</w:t>
      </w:r>
    </w:p>
    <w:p>
      <w:pPr>
        <w:pStyle w:val="ListParagraph"/>
        <w:numPr>
          <w:ilvl w:val="0"/>
          <w:numId w:val="2"/>
        </w:numPr>
        <w:spacing w:after="40" w:before="40"/>
      </w:pPr>
      <w:r>
        <w:rPr>
          <w:rFonts w:ascii="Calibri" w:cs="Calibri" w:eastAsia="Calibri" w:hAnsi="Calibri"/>
          <w:color w:val="475569"/>
          <w:sz w:val="20"/>
          <w:szCs w:val="20"/>
        </w:rPr>
        <w:t xml:space="preserve">Change management process with peer review and automated testing prior to production deployment</w:t>
      </w:r>
    </w:p>
    <w:p>
      <w:pPr>
        <w:pStyle w:val="ListParagraph"/>
        <w:numPr>
          <w:ilvl w:val="0"/>
          <w:numId w:val="2"/>
        </w:numPr>
        <w:spacing w:after="40" w:before="40"/>
      </w:pPr>
      <w:r>
        <w:rPr>
          <w:rFonts w:ascii="Calibri" w:cs="Calibri" w:eastAsia="Calibri" w:hAnsi="Calibri"/>
          <w:color w:val="475569"/>
          <w:sz w:val="20"/>
          <w:szCs w:val="20"/>
        </w:rPr>
        <w:t xml:space="preserve">Audit logs retained for 5 years; tamper-evident via AWS CloudTrail</w:t>
      </w:r>
    </w:p>
    <w:p>
      <w:pPr>
        <w:pStyle w:val="Heading2"/>
        <w:pBdr>
          <w:bottom w:val="single" w:color="0E7490" w:sz="8" w:space="2"/>
        </w:pBdr>
        <w:spacing w:after="120" w:before="320"/>
      </w:pPr>
      <w:r>
        <w:rPr>
          <w:rFonts w:ascii="Calibri" w:cs="Calibri" w:eastAsia="Calibri" w:hAnsi="Calibri"/>
          <w:b/>
          <w:bCs/>
          <w:color w:val="0D2B45"/>
          <w:sz w:val="26"/>
          <w:szCs w:val="26"/>
        </w:rPr>
        <w:t xml:space="preserve">4.5  Incident Response</w:t>
      </w:r>
    </w:p>
    <w:p>
      <w:pPr>
        <w:pStyle w:val="Heading3"/>
        <w:spacing w:after="80" w:before="220"/>
      </w:pPr>
      <w:r>
        <w:rPr>
          <w:rFonts w:ascii="Calibri" w:cs="Calibri" w:eastAsia="Calibri" w:hAnsi="Calibri"/>
          <w:b/>
          <w:bCs/>
          <w:color w:val="0E7490"/>
          <w:sz w:val="22"/>
          <w:szCs w:val="22"/>
        </w:rPr>
        <w:t xml:space="preserve">4.5.1  Detection and Triage</w:t>
      </w:r>
    </w:p>
    <w:p>
      <w:pPr>
        <w:pStyle w:val="ListParagraph"/>
        <w:numPr>
          <w:ilvl w:val="0"/>
          <w:numId w:val="2"/>
        </w:numPr>
        <w:spacing w:after="40" w:before="40"/>
      </w:pPr>
      <w:r>
        <w:rPr>
          <w:rFonts w:ascii="Calibri" w:cs="Calibri" w:eastAsia="Calibri" w:hAnsi="Calibri"/>
          <w:color w:val="475569"/>
          <w:sz w:val="20"/>
          <w:szCs w:val="20"/>
        </w:rPr>
        <w:t xml:space="preserve">24/7 automated alerting via AWS GuardDuty, CloudWatch, and Sentry</w:t>
      </w:r>
    </w:p>
    <w:p>
      <w:pPr>
        <w:pStyle w:val="ListParagraph"/>
        <w:numPr>
          <w:ilvl w:val="0"/>
          <w:numId w:val="2"/>
        </w:numPr>
        <w:spacing w:after="40" w:before="40"/>
      </w:pPr>
      <w:r>
        <w:rPr>
          <w:rFonts w:ascii="Calibri" w:cs="Calibri" w:eastAsia="Calibri" w:hAnsi="Calibri"/>
          <w:color w:val="475569"/>
          <w:sz w:val="20"/>
          <w:szCs w:val="20"/>
        </w:rPr>
        <w:t xml:space="preserve">Security incidents are triaged within 1 hour of detection</w:t>
      </w:r>
    </w:p>
    <w:p>
      <w:pPr>
        <w:pStyle w:val="ListParagraph"/>
        <w:numPr>
          <w:ilvl w:val="0"/>
          <w:numId w:val="2"/>
        </w:numPr>
        <w:spacing w:after="40" w:before="40"/>
      </w:pPr>
      <w:r>
        <w:rPr>
          <w:rFonts w:ascii="Calibri" w:cs="Calibri" w:eastAsia="Calibri" w:hAnsi="Calibri"/>
          <w:color w:val="475569"/>
          <w:sz w:val="20"/>
          <w:szCs w:val="20"/>
        </w:rPr>
        <w:t xml:space="preserve">Severity classification: Critical / High / Medium / Low with documented SLA for each</w:t>
      </w:r>
    </w:p>
    <w:p>
      <w:pPr>
        <w:pStyle w:val="Heading3"/>
        <w:spacing w:after="80" w:before="220"/>
      </w:pPr>
      <w:r>
        <w:rPr>
          <w:rFonts w:ascii="Calibri" w:cs="Calibri" w:eastAsia="Calibri" w:hAnsi="Calibri"/>
          <w:b/>
          <w:bCs/>
          <w:color w:val="0E7490"/>
          <w:sz w:val="22"/>
          <w:szCs w:val="22"/>
        </w:rPr>
        <w:t xml:space="preserve">4.5.2  Breach Notification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Jurisdiction</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Notification Obligation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India (DPDP Act 2023)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Notify Data Protection Board of India and affected users as soon as reasonably practicable (72 hours where feasible)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EEA (GDPR)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Notify supervisory authority within 72 hours of awareness. Notify affected data subjects without undue delay if high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UK (UK GDPR)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Notify ICO within 72 hours. Notify individuals without undue delay.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California (CCPA)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Notify affected California residents without unreasonable delay.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B2B Customers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Notify the affected business customer within 48 hours to enable their own obligations.</w:t>
            </w:r>
          </w:p>
        </w:tc>
      </w:tr>
    </w:tbl>
    <w:p>
      <w:pPr>
        <w:pStyle w:val="Heading3"/>
        <w:spacing w:after="80" w:before="220"/>
      </w:pPr>
      <w:r>
        <w:rPr>
          <w:rFonts w:ascii="Calibri" w:cs="Calibri" w:eastAsia="Calibri" w:hAnsi="Calibri"/>
          <w:b/>
          <w:bCs/>
          <w:color w:val="0E7490"/>
          <w:sz w:val="22"/>
          <w:szCs w:val="22"/>
        </w:rPr>
        <w:t xml:space="preserve">4.5.3  Breach Notification Content</w:t>
      </w:r>
    </w:p>
    <w:p>
      <w:pPr>
        <w:pStyle w:val="ListParagraph"/>
        <w:numPr>
          <w:ilvl w:val="0"/>
          <w:numId w:val="2"/>
        </w:numPr>
        <w:spacing w:after="40" w:before="40"/>
      </w:pPr>
      <w:r>
        <w:rPr>
          <w:rFonts w:ascii="Calibri" w:cs="Calibri" w:eastAsia="Calibri" w:hAnsi="Calibri"/>
          <w:color w:val="475569"/>
          <w:sz w:val="20"/>
          <w:szCs w:val="20"/>
        </w:rPr>
        <w:t xml:space="preserve">Nature and scope of the incident</w:t>
      </w:r>
    </w:p>
    <w:p>
      <w:pPr>
        <w:pStyle w:val="ListParagraph"/>
        <w:numPr>
          <w:ilvl w:val="0"/>
          <w:numId w:val="2"/>
        </w:numPr>
        <w:spacing w:after="40" w:before="40"/>
      </w:pPr>
      <w:r>
        <w:rPr>
          <w:rFonts w:ascii="Calibri" w:cs="Calibri" w:eastAsia="Calibri" w:hAnsi="Calibri"/>
          <w:color w:val="475569"/>
          <w:sz w:val="20"/>
          <w:szCs w:val="20"/>
        </w:rPr>
        <w:t xml:space="preserve">Categories and approximate volume of affected records</w:t>
      </w:r>
    </w:p>
    <w:p>
      <w:pPr>
        <w:pStyle w:val="ListParagraph"/>
        <w:numPr>
          <w:ilvl w:val="0"/>
          <w:numId w:val="2"/>
        </w:numPr>
        <w:spacing w:after="40" w:before="40"/>
      </w:pPr>
      <w:r>
        <w:rPr>
          <w:rFonts w:ascii="Calibri" w:cs="Calibri" w:eastAsia="Calibri" w:hAnsi="Calibri"/>
          <w:color w:val="475569"/>
          <w:sz w:val="20"/>
          <w:szCs w:val="20"/>
        </w:rPr>
        <w:t xml:space="preserve">Likely consequences and risk assessment</w:t>
      </w:r>
    </w:p>
    <w:p>
      <w:pPr>
        <w:pStyle w:val="ListParagraph"/>
        <w:numPr>
          <w:ilvl w:val="0"/>
          <w:numId w:val="2"/>
        </w:numPr>
        <w:spacing w:after="40" w:before="40"/>
      </w:pPr>
      <w:r>
        <w:rPr>
          <w:rFonts w:ascii="Calibri" w:cs="Calibri" w:eastAsia="Calibri" w:hAnsi="Calibri"/>
          <w:color w:val="475569"/>
          <w:sz w:val="20"/>
          <w:szCs w:val="20"/>
        </w:rPr>
        <w:t xml:space="preserve">Containment and remediation measures taken or planned</w:t>
      </w:r>
    </w:p>
    <w:p>
      <w:pPr>
        <w:pStyle w:val="ListParagraph"/>
        <w:numPr>
          <w:ilvl w:val="0"/>
          <w:numId w:val="2"/>
        </w:numPr>
        <w:spacing w:after="40" w:before="40"/>
      </w:pPr>
      <w:r>
        <w:rPr>
          <w:rFonts w:ascii="Calibri" w:cs="Calibri" w:eastAsia="Calibri" w:hAnsi="Calibri"/>
          <w:color w:val="475569"/>
          <w:sz w:val="20"/>
          <w:szCs w:val="20"/>
        </w:rPr>
        <w:t xml:space="preserve">Contact point for further information</w:t>
      </w:r>
    </w:p>
    <w:p>
      <w:pPr>
        <w:spacing w:after="120" w:before="0"/>
      </w:pPr>
    </w:p>
    <w:p>
      <w:pPr>
        <w:pBdr>
          <w:left w:val="single" w:color="065F46" w:sz="14"/>
        </w:pBdr>
        <w:shd w:fill="D1FAE5" w:val="clear"/>
        <w:spacing w:after="120" w:before="120"/>
        <w:ind w:left="240" w:right="120"/>
      </w:pPr>
      <w:r>
        <w:rPr>
          <w:rFonts w:ascii="Calibri" w:cs="Calibri" w:eastAsia="Calibri" w:hAnsi="Calibri"/>
          <w:b/>
          <w:bCs/>
          <w:color w:val="065F46"/>
          <w:sz w:val="20"/>
          <w:szCs w:val="20"/>
        </w:rPr>
        <w:t xml:space="preserve">✔ Customers can subscribe to our security incident notifications at security@templateflow.io.</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5 — DATA RETENTION AND DELETION</w:t>
      </w:r>
    </w:p>
    <w:p>
      <w:pPr>
        <w:spacing w:after="120" w:before="0"/>
      </w:pPr>
    </w:p>
    <w:p>
      <w:pPr>
        <w:pStyle w:val="Heading2"/>
        <w:pBdr>
          <w:bottom w:val="single" w:color="0E7490" w:sz="8" w:space="2"/>
        </w:pBdr>
        <w:spacing w:after="120" w:before="320"/>
      </w:pPr>
      <w:r>
        <w:rPr>
          <w:rFonts w:ascii="Calibri" w:cs="Calibri" w:eastAsia="Calibri" w:hAnsi="Calibri"/>
          <w:b/>
          <w:bCs/>
          <w:color w:val="0D2B45"/>
          <w:sz w:val="26"/>
          <w:szCs w:val="26"/>
        </w:rPr>
        <w:t xml:space="preserve">5.1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Data Type</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Retention Period &amp; Basis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Account and profile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Life of contract + 3 years. Basis: contractual and dispute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Financial and billing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7 years from invoice date. Basis: GST Act, Companies Act, statutory 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Template and design assets uploaded by customer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Duration of subscription + 6-month grace period. Deleted on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Design Review 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3 years from delivery. Basis: dispute resolution, quality 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Support tickets and email threads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2 years from resolution. Basis: service improvement and dispute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Server and API access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90 days. Basis: security monitoring. Auto-purged.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Security incident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5 years. Basis: regulatory compliance and 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Marketing consent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Until consent withdrawn + 1 year. Basis: accountability.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Anonymised aggregate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Indefinite (no personal data element).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Cookie consent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3 years. Basis: regulatory accountability.</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5.2  Requesting Data Deletion</w:t>
      </w:r>
    </w:p>
    <w:p>
      <w:pPr>
        <w:spacing w:after="60" w:before="60"/>
        <w:jc w:val="both"/>
      </w:pPr>
      <w:r>
        <w:rPr>
          <w:rFonts w:ascii="Calibri" w:cs="Calibri" w:eastAsia="Calibri" w:hAnsi="Calibri"/>
          <w:color w:val="475569"/>
          <w:sz w:val="20"/>
          <w:szCs w:val="20"/>
        </w:rPr>
        <w:t xml:space="preserve">Authorised account administrators may request deletion of their organisation's data by:</w:t>
      </w:r>
    </w:p>
    <w:p>
      <w:pPr>
        <w:pStyle w:val="ListParagraph"/>
        <w:numPr>
          <w:ilvl w:val="0"/>
          <w:numId w:val="3"/>
        </w:numPr>
        <w:spacing w:after="40" w:before="40"/>
      </w:pPr>
      <w:r>
        <w:rPr>
          <w:rFonts w:ascii="Calibri" w:cs="Calibri" w:eastAsia="Calibri" w:hAnsi="Calibri"/>
          <w:color w:val="475569"/>
          <w:sz w:val="20"/>
          <w:szCs w:val="20"/>
        </w:rPr>
        <w:t xml:space="preserve">Emailing privacy@templateflow.io with subject: 'Data Deletion Request — [Organisation Name]'</w:t>
      </w:r>
    </w:p>
    <w:p>
      <w:pPr>
        <w:pStyle w:val="ListParagraph"/>
        <w:numPr>
          <w:ilvl w:val="0"/>
          <w:numId w:val="3"/>
        </w:numPr>
        <w:spacing w:after="40" w:before="40"/>
      </w:pPr>
      <w:r>
        <w:rPr>
          <w:rFonts w:ascii="Calibri" w:cs="Calibri" w:eastAsia="Calibri" w:hAnsi="Calibri"/>
          <w:color w:val="475569"/>
          <w:sz w:val="20"/>
          <w:szCs w:val="20"/>
        </w:rPr>
        <w:t xml:space="preserve">Including: organisation name, account ID, administrator name, and scope of deletion requested</w:t>
      </w:r>
    </w:p>
    <w:p>
      <w:pPr>
        <w:pStyle w:val="ListParagraph"/>
        <w:numPr>
          <w:ilvl w:val="0"/>
          <w:numId w:val="3"/>
        </w:numPr>
        <w:spacing w:after="40" w:before="40"/>
      </w:pPr>
      <w:r>
        <w:rPr>
          <w:rFonts w:ascii="Calibri" w:cs="Calibri" w:eastAsia="Calibri" w:hAnsi="Calibri"/>
          <w:color w:val="475569"/>
          <w:sz w:val="20"/>
          <w:szCs w:val="20"/>
        </w:rPr>
        <w:t xml:space="preserve">We will acknowledge within 2 business days and confirm completion within 30 days</w:t>
      </w:r>
    </w:p>
    <w:p>
      <w:pPr>
        <w:pStyle w:val="ListParagraph"/>
        <w:numPr>
          <w:ilvl w:val="0"/>
          <w:numId w:val="3"/>
        </w:numPr>
        <w:spacing w:after="40" w:before="40"/>
      </w:pPr>
      <w:r>
        <w:rPr>
          <w:rFonts w:ascii="Calibri" w:cs="Calibri" w:eastAsia="Calibri" w:hAnsi="Calibri"/>
          <w:color w:val="475569"/>
          <w:sz w:val="20"/>
          <w:szCs w:val="20"/>
        </w:rPr>
        <w:t xml:space="preserve">We will notify you of any data that must be retained and the legal basis for retention</w:t>
      </w:r>
    </w:p>
    <w:p>
      <w:pPr>
        <w:spacing w:after="120" w:before="0"/>
      </w:pPr>
    </w:p>
    <w:p>
      <w:pPr>
        <w:spacing w:after="60" w:before="60"/>
        <w:jc w:val="both"/>
      </w:pPr>
      <w:r>
        <w:rPr>
          <w:rFonts w:ascii="Calibri" w:cs="Calibri" w:eastAsia="Calibri" w:hAnsi="Calibri"/>
          <w:color w:val="475569"/>
          <w:sz w:val="20"/>
          <w:szCs w:val="20"/>
        </w:rPr>
        <w:t xml:space="preserve">Account deletion via Settings &gt; Organisation &gt; Delete Workspace will initiate:</w:t>
      </w:r>
    </w:p>
    <w:p>
      <w:pPr>
        <w:pStyle w:val="ListParagraph"/>
        <w:numPr>
          <w:ilvl w:val="0"/>
          <w:numId w:val="2"/>
        </w:numPr>
        <w:spacing w:after="40" w:before="40"/>
      </w:pPr>
      <w:r>
        <w:rPr>
          <w:rFonts w:ascii="Calibri" w:cs="Calibri" w:eastAsia="Calibri" w:hAnsi="Calibri"/>
          <w:color w:val="475569"/>
          <w:sz w:val="20"/>
          <w:szCs w:val="20"/>
        </w:rPr>
        <w:t xml:space="preserve">Immediate suspension of access</w:t>
      </w:r>
    </w:p>
    <w:p>
      <w:pPr>
        <w:pStyle w:val="ListParagraph"/>
        <w:numPr>
          <w:ilvl w:val="0"/>
          <w:numId w:val="2"/>
        </w:numPr>
        <w:spacing w:after="40" w:before="40"/>
      </w:pPr>
      <w:r>
        <w:rPr>
          <w:rFonts w:ascii="Calibri" w:cs="Calibri" w:eastAsia="Calibri" w:hAnsi="Calibri"/>
          <w:color w:val="475569"/>
          <w:sz w:val="20"/>
          <w:szCs w:val="20"/>
        </w:rPr>
        <w:t xml:space="preserve">90-day data export window (data remains accessible for export only)</w:t>
      </w:r>
    </w:p>
    <w:p>
      <w:pPr>
        <w:pStyle w:val="ListParagraph"/>
        <w:numPr>
          <w:ilvl w:val="0"/>
          <w:numId w:val="2"/>
        </w:numPr>
        <w:spacing w:after="40" w:before="40"/>
      </w:pPr>
      <w:r>
        <w:rPr>
          <w:rFonts w:ascii="Calibri" w:cs="Calibri" w:eastAsia="Calibri" w:hAnsi="Calibri"/>
          <w:color w:val="475569"/>
          <w:sz w:val="20"/>
          <w:szCs w:val="20"/>
        </w:rPr>
        <w:t xml:space="preserve">Permanent deletion of all non-legally-required data at day 90</w:t>
      </w:r>
    </w:p>
    <w:p>
      <w:pPr>
        <w:pStyle w:val="Heading2"/>
        <w:pBdr>
          <w:bottom w:val="single" w:color="0E7490" w:sz="8" w:space="2"/>
        </w:pBdr>
        <w:spacing w:after="120" w:before="320"/>
      </w:pPr>
      <w:r>
        <w:rPr>
          <w:rFonts w:ascii="Calibri" w:cs="Calibri" w:eastAsia="Calibri" w:hAnsi="Calibri"/>
          <w:b/>
          <w:bCs/>
          <w:color w:val="0D2B45"/>
          <w:sz w:val="26"/>
          <w:szCs w:val="26"/>
        </w:rPr>
        <w:t xml:space="preserve">5.3  Data Export</w:t>
      </w:r>
    </w:p>
    <w:p>
      <w:pPr>
        <w:pStyle w:val="ListParagraph"/>
        <w:numPr>
          <w:ilvl w:val="0"/>
          <w:numId w:val="2"/>
        </w:numPr>
        <w:spacing w:after="40" w:before="40"/>
      </w:pPr>
      <w:r>
        <w:rPr>
          <w:rFonts w:ascii="Calibri" w:cs="Calibri" w:eastAsia="Calibri" w:hAnsi="Calibri"/>
          <w:color w:val="475569"/>
          <w:sz w:val="20"/>
          <w:szCs w:val="20"/>
        </w:rPr>
        <w:t xml:space="preserve">Customers may export all account data in JSON or CSV format via Settings &gt; Data Export</w:t>
      </w:r>
    </w:p>
    <w:p>
      <w:pPr>
        <w:pStyle w:val="ListParagraph"/>
        <w:numPr>
          <w:ilvl w:val="0"/>
          <w:numId w:val="2"/>
        </w:numPr>
        <w:spacing w:after="40" w:before="40"/>
      </w:pPr>
      <w:r>
        <w:rPr>
          <w:rFonts w:ascii="Calibri" w:cs="Calibri" w:eastAsia="Calibri" w:hAnsi="Calibri"/>
          <w:color w:val="475569"/>
          <w:sz w:val="20"/>
          <w:szCs w:val="20"/>
        </w:rPr>
        <w:t xml:space="preserve">Template assets may be downloaded individually from the asset library</w:t>
      </w:r>
    </w:p>
    <w:p>
      <w:pPr>
        <w:pStyle w:val="ListParagraph"/>
        <w:numPr>
          <w:ilvl w:val="0"/>
          <w:numId w:val="2"/>
        </w:numPr>
        <w:spacing w:after="40" w:before="40"/>
      </w:pPr>
      <w:r>
        <w:rPr>
          <w:rFonts w:ascii="Calibri" w:cs="Calibri" w:eastAsia="Calibri" w:hAnsi="Calibri"/>
          <w:color w:val="475569"/>
          <w:sz w:val="20"/>
          <w:szCs w:val="20"/>
        </w:rPr>
        <w:t xml:space="preserve">Review reports are exportable as PDF from the Review dashboard</w:t>
      </w:r>
    </w:p>
    <w:p>
      <w:pPr>
        <w:pStyle w:val="ListParagraph"/>
        <w:numPr>
          <w:ilvl w:val="0"/>
          <w:numId w:val="2"/>
        </w:numPr>
        <w:spacing w:after="40" w:before="40"/>
      </w:pPr>
      <w:r>
        <w:rPr>
          <w:rFonts w:ascii="Calibri" w:cs="Calibri" w:eastAsia="Calibri" w:hAnsi="Calibri"/>
          <w:color w:val="475569"/>
          <w:sz w:val="20"/>
          <w:szCs w:val="20"/>
        </w:rPr>
        <w:t xml:space="preserve">For bulk exports exceeding 10GB, contact support@templateflow.io</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6 — USER-GENERATED CONTENT (UGC) POLICY</w:t>
      </w:r>
    </w:p>
    <w:p>
      <w:pPr>
        <w:spacing w:after="120" w:before="0"/>
      </w:pPr>
    </w:p>
    <w:p>
      <w:pPr>
        <w:spacing w:after="60" w:before="60"/>
        <w:jc w:val="both"/>
      </w:pPr>
      <w:r>
        <w:rPr>
          <w:rFonts w:ascii="Calibri" w:cs="Calibri" w:eastAsia="Calibri" w:hAnsi="Calibri"/>
          <w:color w:val="475569"/>
          <w:sz w:val="20"/>
          <w:szCs w:val="20"/>
        </w:rPr>
        <w:t xml:space="preserve">'User-generated content' (UGC) in the context of TemplateFlow includes: platform reviews and ratings submitted about Templates, testimonials, feedback submitted through the client review workflow, and content submitted to our public community forum (if applicable).</w:t>
      </w:r>
    </w:p>
    <w:p>
      <w:pPr>
        <w:pStyle w:val="Heading2"/>
        <w:pBdr>
          <w:bottom w:val="single" w:color="0E7490" w:sz="8" w:space="2"/>
        </w:pBdr>
        <w:spacing w:after="120" w:before="320"/>
      </w:pPr>
      <w:r>
        <w:rPr>
          <w:rFonts w:ascii="Calibri" w:cs="Calibri" w:eastAsia="Calibri" w:hAnsi="Calibri"/>
          <w:b/>
          <w:bCs/>
          <w:color w:val="0D2B45"/>
          <w:sz w:val="26"/>
          <w:szCs w:val="26"/>
        </w:rPr>
        <w:t xml:space="preserve">6.1  Who May Submit UGC</w:t>
      </w:r>
    </w:p>
    <w:p>
      <w:pPr>
        <w:pStyle w:val="ListParagraph"/>
        <w:numPr>
          <w:ilvl w:val="0"/>
          <w:numId w:val="2"/>
        </w:numPr>
        <w:spacing w:after="40" w:before="40"/>
      </w:pPr>
      <w:r>
        <w:rPr>
          <w:rFonts w:ascii="Calibri" w:cs="Calibri" w:eastAsia="Calibri" w:hAnsi="Calibri"/>
          <w:color w:val="475569"/>
          <w:sz w:val="20"/>
          <w:szCs w:val="20"/>
        </w:rPr>
        <w:t xml:space="preserve">Only verified account holders may submit reviews or ratings of Templates</w:t>
      </w:r>
    </w:p>
    <w:p>
      <w:pPr>
        <w:pStyle w:val="ListParagraph"/>
        <w:numPr>
          <w:ilvl w:val="0"/>
          <w:numId w:val="2"/>
        </w:numPr>
        <w:spacing w:after="40" w:before="40"/>
      </w:pPr>
      <w:r>
        <w:rPr>
          <w:rFonts w:ascii="Calibri" w:cs="Calibri" w:eastAsia="Calibri" w:hAnsi="Calibri"/>
          <w:color w:val="475569"/>
          <w:sz w:val="20"/>
          <w:szCs w:val="20"/>
        </w:rPr>
        <w:t xml:space="preserve">Authorised Users may submit feedback within the client review workflow</w:t>
      </w:r>
    </w:p>
    <w:p>
      <w:pPr>
        <w:pStyle w:val="ListParagraph"/>
        <w:numPr>
          <w:ilvl w:val="0"/>
          <w:numId w:val="2"/>
        </w:numPr>
        <w:spacing w:after="40" w:before="40"/>
      </w:pPr>
      <w:r>
        <w:rPr>
          <w:rFonts w:ascii="Calibri" w:cs="Calibri" w:eastAsia="Calibri" w:hAnsi="Calibri"/>
          <w:color w:val="475569"/>
          <w:sz w:val="20"/>
          <w:szCs w:val="20"/>
        </w:rPr>
        <w:t xml:space="preserve">Anonymous submissions are not accepted for Template reviews</w:t>
      </w:r>
    </w:p>
    <w:p>
      <w:pPr>
        <w:pStyle w:val="Heading2"/>
        <w:pBdr>
          <w:bottom w:val="single" w:color="0E7490" w:sz="8" w:space="2"/>
        </w:pBdr>
        <w:spacing w:after="120" w:before="320"/>
      </w:pPr>
      <w:r>
        <w:rPr>
          <w:rFonts w:ascii="Calibri" w:cs="Calibri" w:eastAsia="Calibri" w:hAnsi="Calibri"/>
          <w:b/>
          <w:bCs/>
          <w:color w:val="0D2B45"/>
          <w:sz w:val="26"/>
          <w:szCs w:val="26"/>
        </w:rPr>
        <w:t xml:space="preserve">6.2  UGC Standards and Moderation</w:t>
      </w:r>
    </w:p>
    <w:p>
      <w:pPr>
        <w:spacing w:after="60" w:before="60"/>
        <w:jc w:val="both"/>
      </w:pPr>
      <w:r>
        <w:rPr>
          <w:rFonts w:ascii="Calibri" w:cs="Calibri" w:eastAsia="Calibri" w:hAnsi="Calibri"/>
          <w:color w:val="475569"/>
          <w:sz w:val="20"/>
          <w:szCs w:val="20"/>
        </w:rPr>
        <w:t xml:space="preserve">All UGC must comply with the following standards:</w:t>
      </w:r>
    </w:p>
    <w:p>
      <w:pPr>
        <w:pStyle w:val="ListParagraph"/>
        <w:numPr>
          <w:ilvl w:val="0"/>
          <w:numId w:val="2"/>
        </w:numPr>
        <w:spacing w:after="40" w:before="40"/>
      </w:pPr>
      <w:r>
        <w:rPr>
          <w:rFonts w:ascii="Calibri" w:cs="Calibri" w:eastAsia="Calibri" w:hAnsi="Calibri"/>
          <w:color w:val="475569"/>
          <w:sz w:val="20"/>
          <w:szCs w:val="20"/>
        </w:rPr>
        <w:t xml:space="preserve">Be truthful, accurate, and based on genuine first-hand experience</w:t>
      </w:r>
    </w:p>
    <w:p>
      <w:pPr>
        <w:pStyle w:val="ListParagraph"/>
        <w:numPr>
          <w:ilvl w:val="0"/>
          <w:numId w:val="2"/>
        </w:numPr>
        <w:spacing w:after="40" w:before="40"/>
      </w:pPr>
      <w:r>
        <w:rPr>
          <w:rFonts w:ascii="Calibri" w:cs="Calibri" w:eastAsia="Calibri" w:hAnsi="Calibri"/>
          <w:color w:val="475569"/>
          <w:sz w:val="20"/>
          <w:szCs w:val="20"/>
        </w:rPr>
        <w:t xml:space="preserve">Not contain defamatory, abusive, discriminatory, or unlawful content</w:t>
      </w:r>
    </w:p>
    <w:p>
      <w:pPr>
        <w:pStyle w:val="ListParagraph"/>
        <w:numPr>
          <w:ilvl w:val="0"/>
          <w:numId w:val="2"/>
        </w:numPr>
        <w:spacing w:after="40" w:before="40"/>
      </w:pPr>
      <w:r>
        <w:rPr>
          <w:rFonts w:ascii="Calibri" w:cs="Calibri" w:eastAsia="Calibri" w:hAnsi="Calibri"/>
          <w:color w:val="475569"/>
          <w:sz w:val="20"/>
          <w:szCs w:val="20"/>
        </w:rPr>
        <w:t xml:space="preserve">Not include personal data of third parties without their consent</w:t>
      </w:r>
    </w:p>
    <w:p>
      <w:pPr>
        <w:pStyle w:val="ListParagraph"/>
        <w:numPr>
          <w:ilvl w:val="0"/>
          <w:numId w:val="2"/>
        </w:numPr>
        <w:spacing w:after="40" w:before="40"/>
      </w:pPr>
      <w:r>
        <w:rPr>
          <w:rFonts w:ascii="Calibri" w:cs="Calibri" w:eastAsia="Calibri" w:hAnsi="Calibri"/>
          <w:color w:val="475569"/>
          <w:sz w:val="20"/>
          <w:szCs w:val="20"/>
        </w:rPr>
        <w:t xml:space="preserve">Not constitute spam, commercial solicitation, or deliberate misrepresentation</w:t>
      </w:r>
    </w:p>
    <w:p>
      <w:pPr>
        <w:pStyle w:val="ListParagraph"/>
        <w:numPr>
          <w:ilvl w:val="0"/>
          <w:numId w:val="2"/>
        </w:numPr>
        <w:spacing w:after="40" w:before="40"/>
      </w:pPr>
      <w:r>
        <w:rPr>
          <w:rFonts w:ascii="Calibri" w:cs="Calibri" w:eastAsia="Calibri" w:hAnsi="Calibri"/>
          <w:color w:val="475569"/>
          <w:sz w:val="20"/>
          <w:szCs w:val="20"/>
        </w:rPr>
        <w:t xml:space="preserve">Not infringe third-party intellectual property rights</w:t>
      </w:r>
    </w:p>
    <w:p>
      <w:pPr>
        <w:spacing w:after="120" w:before="0"/>
      </w:pPr>
    </w:p>
    <w:p>
      <w:pPr>
        <w:spacing w:after="60" w:before="60"/>
        <w:jc w:val="both"/>
      </w:pPr>
      <w:r>
        <w:rPr>
          <w:rFonts w:ascii="Calibri" w:cs="Calibri" w:eastAsia="Calibri" w:hAnsi="Calibri"/>
          <w:color w:val="475569"/>
          <w:sz w:val="20"/>
          <w:szCs w:val="20"/>
        </w:rPr>
        <w:t xml:space="preserve">Moderation process:</w:t>
      </w:r>
    </w:p>
    <w:p>
      <w:pPr>
        <w:pStyle w:val="ListParagraph"/>
        <w:numPr>
          <w:ilvl w:val="0"/>
          <w:numId w:val="2"/>
        </w:numPr>
        <w:spacing w:after="40" w:before="40"/>
      </w:pPr>
      <w:r>
        <w:rPr>
          <w:rFonts w:ascii="Calibri" w:cs="Calibri" w:eastAsia="Calibri" w:hAnsi="Calibri"/>
          <w:color w:val="475569"/>
          <w:sz w:val="20"/>
          <w:szCs w:val="20"/>
        </w:rPr>
        <w:t xml:space="preserve">All Template reviews are subject to automated screening for prohibited content before publication</w:t>
      </w:r>
    </w:p>
    <w:p>
      <w:pPr>
        <w:pStyle w:val="ListParagraph"/>
        <w:numPr>
          <w:ilvl w:val="0"/>
          <w:numId w:val="2"/>
        </w:numPr>
        <w:spacing w:after="40" w:before="40"/>
      </w:pPr>
      <w:r>
        <w:rPr>
          <w:rFonts w:ascii="Calibri" w:cs="Calibri" w:eastAsia="Calibri" w:hAnsi="Calibri"/>
          <w:color w:val="475569"/>
          <w:sz w:val="20"/>
          <w:szCs w:val="20"/>
        </w:rPr>
        <w:t xml:space="preserve">Flagged content is reviewed by our Trust &amp; Safety team within 3 business days</w:t>
      </w:r>
    </w:p>
    <w:p>
      <w:pPr>
        <w:pStyle w:val="ListParagraph"/>
        <w:numPr>
          <w:ilvl w:val="0"/>
          <w:numId w:val="2"/>
        </w:numPr>
        <w:spacing w:after="40" w:before="40"/>
      </w:pPr>
      <w:r>
        <w:rPr>
          <w:rFonts w:ascii="Calibri" w:cs="Calibri" w:eastAsia="Calibri" w:hAnsi="Calibri"/>
          <w:color w:val="475569"/>
          <w:sz w:val="20"/>
          <w:szCs w:val="20"/>
        </w:rPr>
        <w:t xml:space="preserve">Users are notified if their content is rejected, with the reason and an opportunity to appeal</w:t>
      </w:r>
    </w:p>
    <w:p>
      <w:pPr>
        <w:pStyle w:val="ListParagraph"/>
        <w:numPr>
          <w:ilvl w:val="0"/>
          <w:numId w:val="2"/>
        </w:numPr>
        <w:spacing w:after="40" w:before="40"/>
      </w:pPr>
      <w:r>
        <w:rPr>
          <w:rFonts w:ascii="Calibri" w:cs="Calibri" w:eastAsia="Calibri" w:hAnsi="Calibri"/>
          <w:color w:val="475569"/>
          <w:sz w:val="20"/>
          <w:szCs w:val="20"/>
        </w:rPr>
        <w:t xml:space="preserve">Repeated violations may result in account suspension</w:t>
      </w:r>
    </w:p>
    <w:p>
      <w:pPr>
        <w:pStyle w:val="Heading2"/>
        <w:pBdr>
          <w:bottom w:val="single" w:color="0E7490" w:sz="8" w:space="2"/>
        </w:pBdr>
        <w:spacing w:after="120" w:before="320"/>
      </w:pPr>
      <w:r>
        <w:rPr>
          <w:rFonts w:ascii="Calibri" w:cs="Calibri" w:eastAsia="Calibri" w:hAnsi="Calibri"/>
          <w:b/>
          <w:bCs/>
          <w:color w:val="0D2B45"/>
          <w:sz w:val="26"/>
          <w:szCs w:val="26"/>
        </w:rPr>
        <w:t xml:space="preserve">6.3  Licence Granted by Users for UGC</w:t>
      </w:r>
    </w:p>
    <w:p>
      <w:pPr>
        <w:spacing w:after="60" w:before="60"/>
        <w:jc w:val="both"/>
      </w:pPr>
      <w:r>
        <w:rPr>
          <w:rFonts w:ascii="Calibri" w:cs="Calibri" w:eastAsia="Calibri" w:hAnsi="Calibri"/>
          <w:color w:val="475569"/>
          <w:sz w:val="20"/>
          <w:szCs w:val="20"/>
        </w:rPr>
        <w:t xml:space="preserve">By submitting a Template review or testimonial, you grant TemplateFlow a:</w:t>
      </w:r>
    </w:p>
    <w:p>
      <w:pPr>
        <w:pStyle w:val="ListParagraph"/>
        <w:numPr>
          <w:ilvl w:val="0"/>
          <w:numId w:val="2"/>
        </w:numPr>
        <w:spacing w:after="40" w:before="40"/>
      </w:pPr>
      <w:r>
        <w:rPr>
          <w:rFonts w:ascii="Calibri" w:cs="Calibri" w:eastAsia="Calibri" w:hAnsi="Calibri"/>
          <w:color w:val="475569"/>
          <w:sz w:val="20"/>
          <w:szCs w:val="20"/>
        </w:rPr>
        <w:t xml:space="preserve">Worldwide, royalty-free, perpetual, irrevocable, non-exclusive licence</w:t>
      </w:r>
    </w:p>
    <w:p>
      <w:pPr>
        <w:pStyle w:val="ListParagraph"/>
        <w:numPr>
          <w:ilvl w:val="0"/>
          <w:numId w:val="2"/>
        </w:numPr>
        <w:spacing w:after="40" w:before="40"/>
      </w:pPr>
      <w:r>
        <w:rPr>
          <w:rFonts w:ascii="Calibri" w:cs="Calibri" w:eastAsia="Calibri" w:hAnsi="Calibri"/>
          <w:color w:val="475569"/>
          <w:sz w:val="20"/>
          <w:szCs w:val="20"/>
        </w:rPr>
        <w:t xml:space="preserve">To display, reproduce, adapt, and distribute the review content</w:t>
      </w:r>
    </w:p>
    <w:p>
      <w:pPr>
        <w:pStyle w:val="ListParagraph"/>
        <w:numPr>
          <w:ilvl w:val="0"/>
          <w:numId w:val="2"/>
        </w:numPr>
        <w:spacing w:after="40" w:before="40"/>
      </w:pPr>
      <w:r>
        <w:rPr>
          <w:rFonts w:ascii="Calibri" w:cs="Calibri" w:eastAsia="Calibri" w:hAnsi="Calibri"/>
          <w:color w:val="475569"/>
          <w:sz w:val="20"/>
          <w:szCs w:val="20"/>
        </w:rPr>
        <w:t xml:space="preserve">On the TemplateFlow platform, marketing materials, and third-party listings</w:t>
      </w:r>
    </w:p>
    <w:p>
      <w:pPr>
        <w:pStyle w:val="ListParagraph"/>
        <w:numPr>
          <w:ilvl w:val="0"/>
          <w:numId w:val="2"/>
        </w:numPr>
        <w:spacing w:after="40" w:before="40"/>
      </w:pPr>
      <w:r>
        <w:rPr>
          <w:rFonts w:ascii="Calibri" w:cs="Calibri" w:eastAsia="Calibri" w:hAnsi="Calibri"/>
          <w:color w:val="475569"/>
          <w:sz w:val="20"/>
          <w:szCs w:val="20"/>
        </w:rPr>
        <w:t xml:space="preserve">With attribution to your organisation name (not individual name, unless you opt in)</w:t>
      </w:r>
    </w:p>
    <w:p>
      <w:pPr>
        <w:spacing w:after="120" w:before="0"/>
      </w:pPr>
    </w:p>
    <w:p>
      <w:pPr>
        <w:pBdr>
          <w:left w:val="single" w:color="0E7490" w:sz="14"/>
        </w:pBdr>
        <w:shd w:fill="CFFAFE" w:val="clear"/>
        <w:spacing w:after="120" w:before="120"/>
        <w:ind w:left="240" w:right="120"/>
      </w:pPr>
      <w:r>
        <w:rPr>
          <w:rFonts w:ascii="Calibri" w:cs="Calibri" w:eastAsia="Calibri" w:hAnsi="Calibri"/>
          <w:b/>
          <w:bCs/>
          <w:color w:val="0E7490"/>
          <w:sz w:val="20"/>
          <w:szCs w:val="20"/>
        </w:rPr>
        <w:t xml:space="preserve">ℹ You retain ownership of your review content. The licence above permits us to display and promote it but does not transfer your ownership.</w:t>
      </w:r>
    </w:p>
    <w:p>
      <w:pPr>
        <w:pStyle w:val="Heading2"/>
        <w:pBdr>
          <w:bottom w:val="single" w:color="0E7490" w:sz="8" w:space="2"/>
        </w:pBdr>
        <w:spacing w:after="120" w:before="320"/>
      </w:pPr>
      <w:r>
        <w:rPr>
          <w:rFonts w:ascii="Calibri" w:cs="Calibri" w:eastAsia="Calibri" w:hAnsi="Calibri"/>
          <w:b/>
          <w:bCs/>
          <w:color w:val="0D2B45"/>
          <w:sz w:val="26"/>
          <w:szCs w:val="26"/>
        </w:rPr>
        <w:t xml:space="preserve">6.4  UGC Within the Client Review Workflow</w:t>
      </w:r>
    </w:p>
    <w:p>
      <w:pPr>
        <w:spacing w:after="60" w:before="60"/>
        <w:jc w:val="both"/>
      </w:pPr>
      <w:r>
        <w:rPr>
          <w:rFonts w:ascii="Calibri" w:cs="Calibri" w:eastAsia="Calibri" w:hAnsi="Calibri"/>
          <w:color w:val="475569"/>
          <w:sz w:val="20"/>
          <w:szCs w:val="20"/>
        </w:rPr>
        <w:t xml:space="preserve">Feedback, comments, and approvals submitted within the design review workflow are:</w:t>
      </w:r>
    </w:p>
    <w:p>
      <w:pPr>
        <w:pStyle w:val="ListParagraph"/>
        <w:numPr>
          <w:ilvl w:val="0"/>
          <w:numId w:val="2"/>
        </w:numPr>
        <w:spacing w:after="40" w:before="40"/>
      </w:pPr>
      <w:r>
        <w:rPr>
          <w:rFonts w:ascii="Calibri" w:cs="Calibri" w:eastAsia="Calibri" w:hAnsi="Calibri"/>
          <w:color w:val="475569"/>
          <w:sz w:val="20"/>
          <w:szCs w:val="20"/>
        </w:rPr>
        <w:t xml:space="preserve">Owned by the Customer and not used by TemplateFlow for any external purpose</w:t>
      </w:r>
    </w:p>
    <w:p>
      <w:pPr>
        <w:pStyle w:val="ListParagraph"/>
        <w:numPr>
          <w:ilvl w:val="0"/>
          <w:numId w:val="2"/>
        </w:numPr>
        <w:spacing w:after="40" w:before="40"/>
      </w:pPr>
      <w:r>
        <w:rPr>
          <w:rFonts w:ascii="Calibri" w:cs="Calibri" w:eastAsia="Calibri" w:hAnsi="Calibri"/>
          <w:color w:val="475569"/>
          <w:sz w:val="20"/>
          <w:szCs w:val="20"/>
        </w:rPr>
        <w:t xml:space="preserve">Treated as confidential business data under the sub-processor relationship</w:t>
      </w:r>
    </w:p>
    <w:p>
      <w:pPr>
        <w:pStyle w:val="ListParagraph"/>
        <w:numPr>
          <w:ilvl w:val="0"/>
          <w:numId w:val="2"/>
        </w:numPr>
        <w:spacing w:after="40" w:before="40"/>
      </w:pPr>
      <w:r>
        <w:rPr>
          <w:rFonts w:ascii="Calibri" w:cs="Calibri" w:eastAsia="Calibri" w:hAnsi="Calibri"/>
          <w:color w:val="475569"/>
          <w:sz w:val="20"/>
          <w:szCs w:val="20"/>
        </w:rPr>
        <w:t xml:space="preserve">Retained per the schedule in Section 5</w:t>
      </w:r>
    </w:p>
    <w:p>
      <w:pPr>
        <w:pStyle w:val="ListParagraph"/>
        <w:numPr>
          <w:ilvl w:val="0"/>
          <w:numId w:val="2"/>
        </w:numPr>
        <w:spacing w:after="40" w:before="40"/>
      </w:pPr>
      <w:r>
        <w:rPr>
          <w:rFonts w:ascii="Calibri" w:cs="Calibri" w:eastAsia="Calibri" w:hAnsi="Calibri"/>
          <w:color w:val="475569"/>
          <w:sz w:val="20"/>
          <w:szCs w:val="20"/>
        </w:rPr>
        <w:t xml:space="preserve">Not moderated by TemplateFlow (Customer is responsible for this content)</w:t>
      </w:r>
    </w:p>
    <w:p>
      <w:pPr>
        <w:pStyle w:val="Heading2"/>
        <w:pBdr>
          <w:bottom w:val="single" w:color="0E7490" w:sz="8" w:space="2"/>
        </w:pBdr>
        <w:spacing w:after="120" w:before="320"/>
      </w:pPr>
      <w:r>
        <w:rPr>
          <w:rFonts w:ascii="Calibri" w:cs="Calibri" w:eastAsia="Calibri" w:hAnsi="Calibri"/>
          <w:b/>
          <w:bCs/>
          <w:color w:val="0D2B45"/>
          <w:sz w:val="26"/>
          <w:szCs w:val="26"/>
        </w:rPr>
        <w:t xml:space="preserve">6.5  Removal Requests</w:t>
      </w:r>
    </w:p>
    <w:p>
      <w:pPr>
        <w:pStyle w:val="ListParagraph"/>
        <w:numPr>
          <w:ilvl w:val="0"/>
          <w:numId w:val="2"/>
        </w:numPr>
        <w:spacing w:after="40" w:before="40"/>
      </w:pPr>
      <w:r>
        <w:rPr>
          <w:rFonts w:ascii="Calibri" w:cs="Calibri" w:eastAsia="Calibri" w:hAnsi="Calibri"/>
          <w:color w:val="475569"/>
          <w:sz w:val="20"/>
          <w:szCs w:val="20"/>
        </w:rPr>
        <w:t xml:space="preserve">You may request removal of your own UGC at any time by contacting support@templateflow.io</w:t>
      </w:r>
    </w:p>
    <w:p>
      <w:pPr>
        <w:pStyle w:val="ListParagraph"/>
        <w:numPr>
          <w:ilvl w:val="0"/>
          <w:numId w:val="2"/>
        </w:numPr>
        <w:spacing w:after="40" w:before="40"/>
      </w:pPr>
      <w:r>
        <w:rPr>
          <w:rFonts w:ascii="Calibri" w:cs="Calibri" w:eastAsia="Calibri" w:hAnsi="Calibri"/>
          <w:color w:val="475569"/>
          <w:sz w:val="20"/>
          <w:szCs w:val="20"/>
        </w:rPr>
        <w:t xml:space="preserve">Removal requests from subjects of UGC (e.g., defamation claims) are handled by legal@templateflow.io within 5 business days</w:t>
      </w:r>
    </w:p>
    <w:p>
      <w:pPr>
        <w:pStyle w:val="ListParagraph"/>
        <w:numPr>
          <w:ilvl w:val="0"/>
          <w:numId w:val="2"/>
        </w:numPr>
        <w:spacing w:after="40" w:before="40"/>
      </w:pPr>
      <w:r>
        <w:rPr>
          <w:rFonts w:ascii="Calibri" w:cs="Calibri" w:eastAsia="Calibri" w:hAnsi="Calibri"/>
          <w:color w:val="475569"/>
          <w:sz w:val="20"/>
          <w:szCs w:val="20"/>
        </w:rPr>
        <w:t xml:space="preserve">We may retain UGC in anonymised aggregate form even after removal</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7 — COMPLIANCE AND JURISDICTION-SPECIFIC DISCLOSURES</w:t>
      </w:r>
    </w:p>
    <w:p>
      <w:pPr>
        <w:spacing w:after="120" w:before="0"/>
      </w:pPr>
    </w:p>
    <w:p>
      <w:pPr>
        <w:pStyle w:val="Heading2"/>
        <w:pBdr>
          <w:bottom w:val="single" w:color="0E7490" w:sz="8" w:space="2"/>
        </w:pBdr>
        <w:spacing w:after="120" w:before="320"/>
      </w:pPr>
      <w:r>
        <w:rPr>
          <w:rFonts w:ascii="Calibri" w:cs="Calibri" w:eastAsia="Calibri" w:hAnsi="Calibri"/>
          <w:b/>
          <w:bCs/>
          <w:color w:val="0D2B45"/>
          <w:sz w:val="26"/>
          <w:szCs w:val="26"/>
        </w:rPr>
        <w:t xml:space="preserve">7.1  Applicable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Jurisdiction</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Applicable Law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India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Digital Personal Data Protection Act, 2023 (DPDP Act); Information Technology Act, 2000; IT (SPDI) Rules, 2011; Consumer Protection Act, 2019; GST 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European Union / EEA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EU General Data Protection Regulation 2016/679 (GDPR)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United Kingdom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UK GDPR; Data Protection Act, 2018; Consumer Rights Act, 2015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United States — California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California Consumer Privacy Act (CCPA); California Privacy Rights Act (CPRA)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Other jurisdictions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We apply the most protective applicable standard globally as our baseline</w:t>
            </w:r>
          </w:p>
        </w:tc>
      </w:tr>
    </w:tbl>
    <w:p>
      <w:pPr>
        <w:pStyle w:val="Heading2"/>
        <w:pBdr>
          <w:bottom w:val="single" w:color="0E7490" w:sz="8" w:space="2"/>
        </w:pBdr>
        <w:spacing w:after="120" w:before="320"/>
      </w:pPr>
      <w:r>
        <w:rPr>
          <w:rFonts w:ascii="Calibri" w:cs="Calibri" w:eastAsia="Calibri" w:hAnsi="Calibri"/>
          <w:b/>
          <w:bCs/>
          <w:color w:val="0D2B45"/>
          <w:sz w:val="26"/>
          <w:szCs w:val="26"/>
        </w:rPr>
        <w:t xml:space="preserve">7.2  GDPR (EU/EEA) — Key Disclosures</w:t>
      </w:r>
    </w:p>
    <w:p>
      <w:pPr>
        <w:pStyle w:val="ListParagraph"/>
        <w:numPr>
          <w:ilvl w:val="0"/>
          <w:numId w:val="2"/>
        </w:numPr>
        <w:spacing w:after="40" w:before="40"/>
      </w:pPr>
      <w:r>
        <w:rPr>
          <w:rFonts w:ascii="Calibri" w:cs="Calibri" w:eastAsia="Calibri" w:hAnsi="Calibri"/>
          <w:color w:val="475569"/>
          <w:sz w:val="20"/>
          <w:szCs w:val="20"/>
        </w:rPr>
        <w:t xml:space="preserve">TemplateFlow is the data controller for account holder data; the data processor for customer-uploaded client data</w:t>
      </w:r>
    </w:p>
    <w:p>
      <w:pPr>
        <w:pStyle w:val="ListParagraph"/>
        <w:numPr>
          <w:ilvl w:val="0"/>
          <w:numId w:val="2"/>
        </w:numPr>
        <w:spacing w:after="40" w:before="40"/>
      </w:pPr>
      <w:r>
        <w:rPr>
          <w:rFonts w:ascii="Calibri" w:cs="Calibri" w:eastAsia="Calibri" w:hAnsi="Calibri"/>
          <w:color w:val="475569"/>
          <w:sz w:val="20"/>
          <w:szCs w:val="20"/>
        </w:rPr>
        <w:t xml:space="preserve">A Data Processing Agreement (GDPR Article 28 compliant) is available at legal@templateflow.io</w:t>
      </w:r>
    </w:p>
    <w:p>
      <w:pPr>
        <w:pStyle w:val="ListParagraph"/>
        <w:numPr>
          <w:ilvl w:val="0"/>
          <w:numId w:val="2"/>
        </w:numPr>
        <w:spacing w:after="40" w:before="40"/>
      </w:pPr>
      <w:r>
        <w:rPr>
          <w:rFonts w:ascii="Calibri" w:cs="Calibri" w:eastAsia="Calibri" w:hAnsi="Calibri"/>
          <w:color w:val="475569"/>
          <w:sz w:val="20"/>
          <w:szCs w:val="20"/>
        </w:rPr>
        <w:t xml:space="preserve">EEA data transfers rely on EU Standard Contractual Clauses (SCCs) — latest version (2021)</w:t>
      </w:r>
    </w:p>
    <w:p>
      <w:pPr>
        <w:pStyle w:val="ListParagraph"/>
        <w:numPr>
          <w:ilvl w:val="0"/>
          <w:numId w:val="2"/>
        </w:numPr>
        <w:spacing w:after="40" w:before="40"/>
      </w:pPr>
      <w:r>
        <w:rPr>
          <w:rFonts w:ascii="Calibri" w:cs="Calibri" w:eastAsia="Calibri" w:hAnsi="Calibri"/>
          <w:color w:val="475569"/>
          <w:sz w:val="20"/>
          <w:szCs w:val="20"/>
        </w:rPr>
        <w:t xml:space="preserve">You have the right to lodge a complaint with your national supervisory authority</w:t>
      </w:r>
    </w:p>
    <w:p>
      <w:pPr>
        <w:pStyle w:val="ListParagraph"/>
        <w:numPr>
          <w:ilvl w:val="0"/>
          <w:numId w:val="2"/>
        </w:numPr>
        <w:spacing w:after="40" w:before="40"/>
      </w:pPr>
      <w:r>
        <w:rPr>
          <w:rFonts w:ascii="Calibri" w:cs="Calibri" w:eastAsia="Calibri" w:hAnsi="Calibri"/>
          <w:color w:val="475569"/>
          <w:sz w:val="20"/>
          <w:szCs w:val="20"/>
        </w:rPr>
        <w:t xml:space="preserve">Where required, we will appoint an EU Representative and notify our DPA</w:t>
      </w:r>
    </w:p>
    <w:p>
      <w:pPr>
        <w:pStyle w:val="Heading2"/>
        <w:pBdr>
          <w:bottom w:val="single" w:color="0E7490" w:sz="8" w:space="2"/>
        </w:pBdr>
        <w:spacing w:after="120" w:before="320"/>
      </w:pPr>
      <w:r>
        <w:rPr>
          <w:rFonts w:ascii="Calibri" w:cs="Calibri" w:eastAsia="Calibri" w:hAnsi="Calibri"/>
          <w:b/>
          <w:bCs/>
          <w:color w:val="0D2B45"/>
          <w:sz w:val="26"/>
          <w:szCs w:val="26"/>
        </w:rPr>
        <w:t xml:space="preserve">7.3  UK GDPR — Key Disclosures</w:t>
      </w:r>
    </w:p>
    <w:p>
      <w:pPr>
        <w:pStyle w:val="ListParagraph"/>
        <w:numPr>
          <w:ilvl w:val="0"/>
          <w:numId w:val="2"/>
        </w:numPr>
        <w:spacing w:after="40" w:before="40"/>
      </w:pPr>
      <w:r>
        <w:rPr>
          <w:rFonts w:ascii="Calibri" w:cs="Calibri" w:eastAsia="Calibri" w:hAnsi="Calibri"/>
          <w:color w:val="475569"/>
          <w:sz w:val="20"/>
          <w:szCs w:val="20"/>
        </w:rPr>
        <w:t xml:space="preserve">We comply with the UK GDPR and Data Protection Act 2018</w:t>
      </w:r>
    </w:p>
    <w:p>
      <w:pPr>
        <w:pStyle w:val="ListParagraph"/>
        <w:numPr>
          <w:ilvl w:val="0"/>
          <w:numId w:val="2"/>
        </w:numPr>
        <w:spacing w:after="40" w:before="40"/>
      </w:pPr>
      <w:r>
        <w:rPr>
          <w:rFonts w:ascii="Calibri" w:cs="Calibri" w:eastAsia="Calibri" w:hAnsi="Calibri"/>
          <w:color w:val="475569"/>
          <w:sz w:val="20"/>
          <w:szCs w:val="20"/>
        </w:rPr>
        <w:t xml:space="preserve">UK data transfers rely on UK International Data Transfer Agreements (IDTAs)</w:t>
      </w:r>
    </w:p>
    <w:p>
      <w:pPr>
        <w:pStyle w:val="ListParagraph"/>
        <w:numPr>
          <w:ilvl w:val="0"/>
          <w:numId w:val="2"/>
        </w:numPr>
        <w:spacing w:after="40" w:before="40"/>
      </w:pPr>
      <w:r>
        <w:rPr>
          <w:rFonts w:ascii="Calibri" w:cs="Calibri" w:eastAsia="Calibri" w:hAnsi="Calibri"/>
          <w:color w:val="475569"/>
          <w:sz w:val="20"/>
          <w:szCs w:val="20"/>
        </w:rPr>
        <w:t xml:space="preserve">Supervisory authority: Information Commissioner's Office (ICO) — https://ico.org.uk</w:t>
      </w:r>
    </w:p>
    <w:p>
      <w:pPr>
        <w:pStyle w:val="ListParagraph"/>
        <w:numPr>
          <w:ilvl w:val="0"/>
          <w:numId w:val="2"/>
        </w:numPr>
        <w:spacing w:after="40" w:before="40"/>
      </w:pPr>
      <w:r>
        <w:rPr>
          <w:rFonts w:ascii="Calibri" w:cs="Calibri" w:eastAsia="Calibri" w:hAnsi="Calibri"/>
          <w:color w:val="475569"/>
          <w:sz w:val="20"/>
          <w:szCs w:val="20"/>
        </w:rPr>
        <w:t xml:space="preserve">UK Representative: [UK Representative Name / Organisation] — ukrep@templateflow.io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7.4  CCPA/CPRA (California) — Key Disclosures</w:t>
      </w:r>
    </w:p>
    <w:p>
      <w:pPr>
        <w:spacing w:after="60" w:before="60"/>
        <w:jc w:val="both"/>
      </w:pPr>
      <w:r>
        <w:rPr>
          <w:rFonts w:ascii="Calibri" w:cs="Calibri" w:eastAsia="Calibri" w:hAnsi="Calibri"/>
          <w:color w:val="475569"/>
          <w:sz w:val="20"/>
          <w:szCs w:val="20"/>
        </w:rPr>
        <w:t xml:space="preserve">California residents (including employees of California-based business customers) have:</w:t>
      </w:r>
    </w:p>
    <w:p>
      <w:pPr>
        <w:pStyle w:val="ListParagraph"/>
        <w:numPr>
          <w:ilvl w:val="0"/>
          <w:numId w:val="2"/>
        </w:numPr>
        <w:spacing w:after="40" w:before="40"/>
      </w:pPr>
      <w:r>
        <w:rPr>
          <w:rFonts w:ascii="Calibri" w:cs="Calibri" w:eastAsia="Calibri" w:hAnsi="Calibri"/>
          <w:color w:val="475569"/>
          <w:sz w:val="20"/>
          <w:szCs w:val="20"/>
        </w:rPr>
        <w:t xml:space="preserve">Right to Know — categories and specific pieces of personal information collected</w:t>
      </w:r>
    </w:p>
    <w:p>
      <w:pPr>
        <w:pStyle w:val="ListParagraph"/>
        <w:numPr>
          <w:ilvl w:val="0"/>
          <w:numId w:val="2"/>
        </w:numPr>
        <w:spacing w:after="40" w:before="40"/>
      </w:pPr>
      <w:r>
        <w:rPr>
          <w:rFonts w:ascii="Calibri" w:cs="Calibri" w:eastAsia="Calibri" w:hAnsi="Calibri"/>
          <w:color w:val="475569"/>
          <w:sz w:val="20"/>
          <w:szCs w:val="20"/>
        </w:rPr>
        <w:t xml:space="preserve">Right to Delete — request deletion of personal information</w:t>
      </w:r>
    </w:p>
    <w:p>
      <w:pPr>
        <w:pStyle w:val="ListParagraph"/>
        <w:numPr>
          <w:ilvl w:val="0"/>
          <w:numId w:val="2"/>
        </w:numPr>
        <w:spacing w:after="40" w:before="40"/>
      </w:pPr>
      <w:r>
        <w:rPr>
          <w:rFonts w:ascii="Calibri" w:cs="Calibri" w:eastAsia="Calibri" w:hAnsi="Calibri"/>
          <w:color w:val="475569"/>
          <w:sz w:val="20"/>
          <w:szCs w:val="20"/>
        </w:rPr>
        <w:t xml:space="preserve">Right to Correct — request correction of inaccurate personal information</w:t>
      </w:r>
    </w:p>
    <w:p>
      <w:pPr>
        <w:pStyle w:val="ListParagraph"/>
        <w:numPr>
          <w:ilvl w:val="0"/>
          <w:numId w:val="2"/>
        </w:numPr>
        <w:spacing w:after="40" w:before="40"/>
      </w:pPr>
      <w:r>
        <w:rPr>
          <w:rFonts w:ascii="Calibri" w:cs="Calibri" w:eastAsia="Calibri" w:hAnsi="Calibri"/>
          <w:color w:val="475569"/>
          <w:sz w:val="20"/>
          <w:szCs w:val="20"/>
        </w:rPr>
        <w:t xml:space="preserve">Right to Opt Out of Sale/Sharing — we do not sell personal information</w:t>
      </w:r>
    </w:p>
    <w:p>
      <w:pPr>
        <w:pStyle w:val="ListParagraph"/>
        <w:numPr>
          <w:ilvl w:val="0"/>
          <w:numId w:val="2"/>
        </w:numPr>
        <w:spacing w:after="40" w:before="40"/>
      </w:pPr>
      <w:r>
        <w:rPr>
          <w:rFonts w:ascii="Calibri" w:cs="Calibri" w:eastAsia="Calibri" w:hAnsi="Calibri"/>
          <w:color w:val="475569"/>
          <w:sz w:val="20"/>
          <w:szCs w:val="20"/>
        </w:rPr>
        <w:t xml:space="preserve">Right to Limit Use of Sensitive Personal Information — contact privacy@templateflow.io</w:t>
      </w:r>
    </w:p>
    <w:p>
      <w:pPr>
        <w:pStyle w:val="ListParagraph"/>
        <w:numPr>
          <w:ilvl w:val="0"/>
          <w:numId w:val="2"/>
        </w:numPr>
        <w:spacing w:after="40" w:before="40"/>
      </w:pPr>
      <w:r>
        <w:rPr>
          <w:rFonts w:ascii="Calibri" w:cs="Calibri" w:eastAsia="Calibri" w:hAnsi="Calibri"/>
          <w:color w:val="475569"/>
          <w:sz w:val="20"/>
          <w:szCs w:val="20"/>
        </w:rPr>
        <w:t xml:space="preserve">Right to Non-Discrimination — exercising CCPA rights will not result in service changes</w:t>
      </w:r>
    </w:p>
    <w:p>
      <w:pPr>
        <w:spacing w:after="120" w:before="0"/>
      </w:pPr>
    </w:p>
    <w:p>
      <w:pPr>
        <w:spacing w:after="60" w:before="60"/>
        <w:jc w:val="both"/>
      </w:pPr>
      <w:r>
        <w:rPr>
          <w:rFonts w:ascii="Calibri" w:cs="Calibri" w:eastAsia="Calibri" w:hAnsi="Calibri"/>
          <w:color w:val="475569"/>
          <w:sz w:val="20"/>
          <w:szCs w:val="20"/>
        </w:rPr>
        <w:t xml:space="preserve">Authorised agent requests accepted with written authorisation from the California resident. Contact: privacy@templateflow.io.</w:t>
      </w:r>
    </w:p>
    <w:p>
      <w:pPr>
        <w:pStyle w:val="Heading2"/>
        <w:pBdr>
          <w:bottom w:val="single" w:color="0E7490" w:sz="8" w:space="2"/>
        </w:pBdr>
        <w:spacing w:after="120" w:before="320"/>
      </w:pPr>
      <w:r>
        <w:rPr>
          <w:rFonts w:ascii="Calibri" w:cs="Calibri" w:eastAsia="Calibri" w:hAnsi="Calibri"/>
          <w:b/>
          <w:bCs/>
          <w:color w:val="0D2B45"/>
          <w:sz w:val="26"/>
          <w:szCs w:val="26"/>
        </w:rPr>
        <w:t xml:space="preserve">7.5  India DPDP Act 2023 — Key Disclosures</w:t>
      </w:r>
    </w:p>
    <w:p>
      <w:pPr>
        <w:pStyle w:val="ListParagraph"/>
        <w:numPr>
          <w:ilvl w:val="0"/>
          <w:numId w:val="2"/>
        </w:numPr>
        <w:spacing w:after="40" w:before="40"/>
      </w:pPr>
      <w:r>
        <w:rPr>
          <w:rFonts w:ascii="Calibri" w:cs="Calibri" w:eastAsia="Calibri" w:hAnsi="Calibri"/>
          <w:color w:val="475569"/>
          <w:sz w:val="20"/>
          <w:szCs w:val="20"/>
        </w:rPr>
        <w:t xml:space="preserve">TemplateFlow is a 'Data Fiduciary' under the DPDP Act 2023</w:t>
      </w:r>
    </w:p>
    <w:p>
      <w:pPr>
        <w:pStyle w:val="ListParagraph"/>
        <w:numPr>
          <w:ilvl w:val="0"/>
          <w:numId w:val="2"/>
        </w:numPr>
        <w:spacing w:after="40" w:before="40"/>
      </w:pPr>
      <w:r>
        <w:rPr>
          <w:rFonts w:ascii="Calibri" w:cs="Calibri" w:eastAsia="Calibri" w:hAnsi="Calibri"/>
          <w:color w:val="475569"/>
          <w:sz w:val="20"/>
          <w:szCs w:val="20"/>
        </w:rPr>
        <w:t xml:space="preserve">A Consent Manager or clear consent notice is provided before processing</w:t>
      </w:r>
    </w:p>
    <w:p>
      <w:pPr>
        <w:pStyle w:val="ListParagraph"/>
        <w:numPr>
          <w:ilvl w:val="0"/>
          <w:numId w:val="2"/>
        </w:numPr>
        <w:spacing w:after="40" w:before="40"/>
      </w:pPr>
      <w:r>
        <w:rPr>
          <w:rFonts w:ascii="Calibri" w:cs="Calibri" w:eastAsia="Calibri" w:hAnsi="Calibri"/>
          <w:color w:val="475569"/>
          <w:sz w:val="20"/>
          <w:szCs w:val="20"/>
        </w:rPr>
        <w:t xml:space="preserve">A designated Grievance Officer is available at grievance@templateflow.io</w:t>
      </w:r>
    </w:p>
    <w:p>
      <w:pPr>
        <w:pStyle w:val="ListParagraph"/>
        <w:numPr>
          <w:ilvl w:val="0"/>
          <w:numId w:val="2"/>
        </w:numPr>
        <w:spacing w:after="40" w:before="40"/>
      </w:pPr>
      <w:r>
        <w:rPr>
          <w:rFonts w:ascii="Calibri" w:cs="Calibri" w:eastAsia="Calibri" w:hAnsi="Calibri"/>
          <w:color w:val="475569"/>
          <w:sz w:val="20"/>
          <w:szCs w:val="20"/>
        </w:rPr>
        <w:t xml:space="preserve">Data principals (users) have the right to: access, correction, erasure, and nomination</w:t>
      </w:r>
    </w:p>
    <w:p>
      <w:pPr>
        <w:pStyle w:val="ListParagraph"/>
        <w:numPr>
          <w:ilvl w:val="0"/>
          <w:numId w:val="2"/>
        </w:numPr>
        <w:spacing w:after="40" w:before="40"/>
      </w:pPr>
      <w:r>
        <w:rPr>
          <w:rFonts w:ascii="Calibri" w:cs="Calibri" w:eastAsia="Calibri" w:hAnsi="Calibri"/>
          <w:color w:val="475569"/>
          <w:sz w:val="20"/>
          <w:szCs w:val="20"/>
        </w:rPr>
        <w:t xml:space="preserve">Cross-border transfers comply with permitted country frameworks under the Act</w:t>
      </w:r>
    </w:p>
    <w:p>
      <w:pPr>
        <w:pStyle w:val="Heading2"/>
        <w:pBdr>
          <w:bottom w:val="single" w:color="0E7490" w:sz="8" w:space="2"/>
        </w:pBdr>
        <w:spacing w:after="120" w:before="320"/>
      </w:pPr>
      <w:r>
        <w:rPr>
          <w:rFonts w:ascii="Calibri" w:cs="Calibri" w:eastAsia="Calibri" w:hAnsi="Calibri"/>
          <w:b/>
          <w:bCs/>
          <w:color w:val="0D2B45"/>
          <w:sz w:val="26"/>
          <w:szCs w:val="26"/>
        </w:rPr>
        <w:t xml:space="preserve">7.6  Policy Updates</w:t>
      </w:r>
    </w:p>
    <w:p>
      <w:pPr>
        <w:pStyle w:val="ListParagraph"/>
        <w:numPr>
          <w:ilvl w:val="0"/>
          <w:numId w:val="2"/>
        </w:numPr>
        <w:spacing w:after="40" w:before="40"/>
      </w:pPr>
      <w:r>
        <w:rPr>
          <w:rFonts w:ascii="Calibri" w:cs="Calibri" w:eastAsia="Calibri" w:hAnsi="Calibri"/>
          <w:color w:val="475569"/>
          <w:sz w:val="20"/>
          <w:szCs w:val="20"/>
        </w:rPr>
        <w:t xml:space="preserve">The 'Last Reviewed' date on each section will be updated when changes are made</w:t>
      </w:r>
    </w:p>
    <w:p>
      <w:pPr>
        <w:pStyle w:val="ListParagraph"/>
        <w:numPr>
          <w:ilvl w:val="0"/>
          <w:numId w:val="2"/>
        </w:numPr>
        <w:spacing w:after="40" w:before="40"/>
      </w:pPr>
      <w:r>
        <w:rPr>
          <w:rFonts w:ascii="Calibri" w:cs="Calibri" w:eastAsia="Calibri" w:hAnsi="Calibri"/>
          <w:color w:val="475569"/>
          <w:sz w:val="20"/>
          <w:szCs w:val="20"/>
        </w:rPr>
        <w:t xml:space="preserve">Material changes — those that significantly affect user rights or data processing — will be communicated by email to all account administrators at least 30 days before taking effect</w:t>
      </w:r>
    </w:p>
    <w:p>
      <w:pPr>
        <w:pStyle w:val="ListParagraph"/>
        <w:numPr>
          <w:ilvl w:val="0"/>
          <w:numId w:val="2"/>
        </w:numPr>
        <w:spacing w:after="40" w:before="40"/>
      </w:pPr>
      <w:r>
        <w:rPr>
          <w:rFonts w:ascii="Calibri" w:cs="Calibri" w:eastAsia="Calibri" w:hAnsi="Calibri"/>
          <w:color w:val="475569"/>
          <w:sz w:val="20"/>
          <w:szCs w:val="20"/>
        </w:rPr>
        <w:t xml:space="preserve">Minor changes (typos, clarifications, new sub-processor additions with notice) may be made without extended notice</w:t>
      </w:r>
    </w:p>
    <w:p>
      <w:pPr>
        <w:pStyle w:val="ListParagraph"/>
        <w:numPr>
          <w:ilvl w:val="0"/>
          <w:numId w:val="2"/>
        </w:numPr>
        <w:spacing w:after="40" w:before="40"/>
      </w:pPr>
      <w:r>
        <w:rPr>
          <w:rFonts w:ascii="Calibri" w:cs="Calibri" w:eastAsia="Calibri" w:hAnsi="Calibri"/>
          <w:color w:val="475569"/>
          <w:sz w:val="20"/>
          <w:szCs w:val="20"/>
        </w:rPr>
        <w:t xml:space="preserve">Continued use of the platform after the effective date of a material change constitutes acceptance</w:t>
      </w:r>
    </w:p>
    <w:p>
      <w:pPr>
        <w:pStyle w:val="ListParagraph"/>
        <w:numPr>
          <w:ilvl w:val="0"/>
          <w:numId w:val="2"/>
        </w:numPr>
        <w:spacing w:after="40" w:before="40"/>
      </w:pPr>
      <w:r>
        <w:rPr>
          <w:rFonts w:ascii="Calibri" w:cs="Calibri" w:eastAsia="Calibri" w:hAnsi="Calibri"/>
          <w:color w:val="475569"/>
          <w:sz w:val="20"/>
          <w:szCs w:val="20"/>
        </w:rPr>
        <w:t xml:space="preserve">If you do not accept material changes, you may terminate the account and request a pro-rata refund for any prepaid unused period</w:t>
      </w:r>
    </w:p>
    <w:p>
      <w:r>
        <w:br w:type="page"/>
      </w:r>
    </w:p>
    <w:p>
      <w:pPr>
        <w:pStyle w:val="Heading1"/>
        <w:shd w:fill="0D2B45" w:val="clear"/>
        <w:spacing w:after="180" w:before="400"/>
        <w:ind w:left="240" w:right="240"/>
      </w:pPr>
      <w:r>
        <w:rPr>
          <w:rFonts w:ascii="Calibri" w:cs="Calibri" w:eastAsia="Calibri" w:hAnsi="Calibri"/>
          <w:b/>
          <w:bCs/>
          <w:color w:val="FFFFFF"/>
          <w:sz w:val="34"/>
          <w:szCs w:val="34"/>
        </w:rPr>
        <w:t xml:space="preserve">SECTION 8 — CONTACT DIRECTORY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Purpose</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Contact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General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support@templateflow.io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Privacy &amp; Data Rights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privacy@templateflow.io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Legal / DPA / Contracts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legal@templateflow.io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Refunds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refunds@templateflow.io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Security &amp; Incident 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security@templateflow.io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Sub-processor Inquiries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legal@templateflow.io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India Grievance Officer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grievance@templateflow.io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UK Representative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ukrep@templateflow.io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Enterprise / MSA Sales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sales@templateflow.io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Registered Postal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[Company Name], [Street], [City, State, PIN], India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Response SLA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2 business days for all written inquiries</w:t>
            </w:r>
          </w:p>
        </w:tc>
      </w:tr>
    </w:tbl>
    <w:p>
      <w:pPr>
        <w:spacing w:after="300" w:before="0"/>
      </w:pPr>
    </w:p>
    <w:p>
      <w:pPr>
        <w:pStyle w:val="Heading1"/>
        <w:shd w:fill="0D2B45" w:val="clear"/>
        <w:spacing w:after="180" w:before="400"/>
        <w:ind w:left="240" w:right="240"/>
      </w:pPr>
      <w:r>
        <w:rPr>
          <w:rFonts w:ascii="Calibri" w:cs="Calibri" w:eastAsia="Calibri" w:hAnsi="Calibri"/>
          <w:b/>
          <w:bCs/>
          <w:color w:val="FFFFFF"/>
          <w:sz w:val="34"/>
          <w:szCs w:val="34"/>
        </w:rPr>
        <w:t xml:space="preserve">GLOSSARY OF DEFINED TERMS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Term</w:t>
            </w:r>
          </w:p>
        </w:tc>
        <w:tc>
          <w:tcPr>
            <w:tcW w:type="dxa" w:w="6160"/>
            <w:tcBorders>
              <w:top w:val="single" w:color="CCCCCC" w:sz="1"/>
              <w:left w:val="single" w:color="CCCCCC" w:sz="1"/>
              <w:bottom w:val="single" w:color="CCCCCC" w:sz="1"/>
              <w:right w:val="single" w:color="CCCCCC" w:sz="1"/>
            </w:tcBorders>
            <w:shd w:fill="0D2B45" w:val="clear"/>
            <w:tcMar>
              <w:top w:type="dxa" w:w="80"/>
              <w:left w:type="dxa" w:w="160"/>
              <w:bottom w:type="dxa" w:w="80"/>
              <w:right w:type="dxa" w:w="160"/>
            </w:tcMar>
          </w:tcPr>
          <w:p>
            <w:r>
              <w:rPr>
                <w:rFonts w:ascii="Calibri" w:cs="Calibri" w:eastAsia="Calibri" w:hAnsi="Calibri"/>
                <w:b/>
                <w:bCs/>
                <w:color w:val="FFFFFF"/>
                <w:sz w:val="19"/>
                <w:szCs w:val="19"/>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Authorised 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An employee, contractor, or agent granted workspace access by the Customer.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CCPA / CPRA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California Consumer Privacy Act / California Privacy Rights 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Controller / Data Fiduciary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Entity that determines the purpose and means of data processing (TemplateFlow in respect of account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Cookies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Small files stored on a user's device to track preferences and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Customer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The subscribing business entity that has accepted these Terms.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Data Processing Agreement — a contract governing TemplateFlow's processing of personal data on a Customer's behalf.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DPDP 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India's Digital Personal Data Protection Act, 2023.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Design Preview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An interactive or static rendering of a Template customised with Customer brand assets.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GDPR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EU General Data Protection Regulation 2016/679.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Legitimate Interests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lawful basis for processing personal data where the business reason is not overridden by data subjects' rights.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MFA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Multi-Factor Authentication — a security method requiring two or more verification factors.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Order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signed or accepted document specifying subscription tier, fees, and special terms.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Personal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Any information that identifies or can identify a living individual.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Entity that processes personal data on behalf of a Controller (TemplateFlow in respect of Customer-uploaded client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Review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structured evaluation of a Template or website design generated through the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SCCs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EU Standard Contractual Clauses — approved mechanism for EEA data transfers.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Sub-processor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third party engaged by TemplateFlow to process personal data on its behalf.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A pre-built or customisable website design asset available via the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UGC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User-Generated Content — reviews, ratings, and feedback submitted by Customers.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0D2B45"/>
                <w:sz w:val="19"/>
                <w:szCs w:val="19"/>
              </w:rPr>
              <w:t xml:space="preserve">UK GDPR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334155"/>
                <w:sz w:val="19"/>
                <w:szCs w:val="19"/>
              </w:rPr>
              <w:t xml:space="preserve">The UK's retained version of the EU GDPR, as amended by the Data Protection Act 2018.</w:t>
            </w:r>
          </w:p>
        </w:tc>
      </w:tr>
    </w:tbl>
    <w:p>
      <w:pPr>
        <w:spacing w:after="300" w:before="0"/>
      </w:pPr>
    </w:p>
    <w:p>
      <w:pPr>
        <w:pBdr>
          <w:bottom w:val="single" w:color="0E7490" w:sz="8"/>
        </w:pBdr>
        <w:spacing w:after="60" w:before="60"/>
      </w:pPr>
    </w:p>
    <w:p>
      <w:pPr>
        <w:spacing w:after="0" w:before="160"/>
        <w:jc w:val="center"/>
      </w:pPr>
      <w:r>
        <w:rPr>
          <w:rFonts w:ascii="Calibri" w:cs="Calibri" w:eastAsia="Calibri" w:hAnsi="Calibri"/>
          <w:i/>
          <w:iCs/>
          <w:color w:val="888888"/>
          <w:sz w:val="16"/>
          <w:szCs w:val="16"/>
        </w:rPr>
        <w:t xml:space="preserve">TemplateFlow  |  Comprehensive Policy Suite v3.1  |  Effective 1 January 2025  |  legal@templateflow.io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 2025 TemplateFlow  |  legal@templateflow.io  |  Page </w:t>
    </w:r>
    <w:fldSimple w:instr="PAGE">
      <w:r>
        <w:rPr>
          <w:rFonts w:ascii="Calibri" w:cs="Calibri" w:eastAsia="Calibri" w:hAnsi="Calibri"/>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i/>
        <w:iCs/>
        <w:color w:val="888888"/>
        <w:sz w:val="16"/>
        <w:szCs w:val="16"/>
      </w:rPr>
      <w:t xml:space="preserve">TemplateFlow — Confidential Policy Document  |  B2B SaaS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FFFFFF"/>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0D2B45"/>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2026-06-22T13:33:44.442Z</dcterms:created>
  <dcterms:modified xsi:type="dcterms:W3CDTF">2026-06-22T13:33:44.453Z</dcterms:modified>
</cp:coreProperties>
</file>

<file path=docProps/custom.xml><?xml version="1.0" encoding="utf-8"?>
<Properties xmlns="http://schemas.openxmlformats.org/officeDocument/2006/custom-properties" xmlns:vt="http://schemas.openxmlformats.org/officeDocument/2006/docPropsVTypes"/>
</file>