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02BF" w14:textId="64C9BEB8" w:rsidR="003677FB" w:rsidRPr="00B30EE1" w:rsidRDefault="00FB16C0" w:rsidP="0090629C">
      <w:pPr>
        <w:rPr>
          <w:noProof/>
        </w:rPr>
      </w:pPr>
      <w:r>
        <w:rPr>
          <w:noProof/>
        </w:rPr>
        <w:drawing>
          <wp:anchor distT="0" distB="0" distL="114300" distR="114300" simplePos="0" relativeHeight="251658240" behindDoc="0" locked="0" layoutInCell="1" allowOverlap="1" wp14:anchorId="63B731B8" wp14:editId="08513D27">
            <wp:simplePos x="0" y="0"/>
            <wp:positionH relativeFrom="page">
              <wp:posOffset>60960</wp:posOffset>
            </wp:positionH>
            <wp:positionV relativeFrom="margin">
              <wp:posOffset>-906780</wp:posOffset>
            </wp:positionV>
            <wp:extent cx="7581900" cy="100234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1900" cy="10023475"/>
                    </a:xfrm>
                    <a:prstGeom prst="rect">
                      <a:avLst/>
                    </a:prstGeom>
                    <a:noFill/>
                  </pic:spPr>
                </pic:pic>
              </a:graphicData>
            </a:graphic>
            <wp14:sizeRelH relativeFrom="margin">
              <wp14:pctWidth>0</wp14:pctWidth>
            </wp14:sizeRelH>
            <wp14:sizeRelV relativeFrom="margin">
              <wp14:pctHeight>0</wp14:pctHeight>
            </wp14:sizeRelV>
          </wp:anchor>
        </w:drawing>
      </w:r>
      <w:r w:rsidR="0090629C">
        <w:rPr>
          <w:noProof/>
        </w:rPr>
        <w:br w:type="page"/>
      </w:r>
    </w:p>
    <w:p w14:paraId="7274188F" w14:textId="758BF810" w:rsidR="00ED3725" w:rsidRDefault="00EA7B41" w:rsidP="005D394C">
      <w:pPr>
        <w:pStyle w:val="TSVolHeading"/>
      </w:pPr>
      <w:r w:rsidRPr="00EA7B41">
        <w:lastRenderedPageBreak/>
        <w:t>Enterprise Platform for Integrated Citizen Development (EPIC)</w:t>
      </w:r>
    </w:p>
    <w:p w14:paraId="6CADE6AA" w14:textId="6E2EB569" w:rsidR="00D045FA" w:rsidRPr="00360389" w:rsidRDefault="00EE5FD8" w:rsidP="00005C78">
      <w:pPr>
        <w:pStyle w:val="TSTOCHeading"/>
      </w:pPr>
      <w:r>
        <w:t>Table of Contents</w:t>
      </w:r>
    </w:p>
    <w:p w14:paraId="574CD699" w14:textId="4C43F461" w:rsidR="0005244A" w:rsidRDefault="00D045FA">
      <w:pPr>
        <w:pStyle w:val="TOC1"/>
        <w:rPr>
          <w:rFonts w:asciiTheme="minorHAnsi" w:eastAsiaTheme="minorEastAsia" w:hAnsiTheme="minorHAnsi"/>
          <w:b w:val="0"/>
          <w:sz w:val="22"/>
          <w:szCs w:val="22"/>
          <w:lang w:val="en-IN" w:eastAsia="en-IN"/>
        </w:rPr>
      </w:pPr>
      <w:r w:rsidRPr="00360389">
        <w:rPr>
          <w:rFonts w:eastAsiaTheme="minorEastAsia" w:cs="Times New Roman Bold"/>
          <w:bCs/>
          <w:color w:val="EC6848"/>
          <w:sz w:val="24"/>
        </w:rPr>
        <w:fldChar w:fldCharType="begin"/>
      </w:r>
      <w:r w:rsidRPr="00360389">
        <w:instrText xml:space="preserve"> TOC \o "1-5" \h \z \u </w:instrText>
      </w:r>
      <w:r w:rsidRPr="00360389">
        <w:rPr>
          <w:rFonts w:eastAsiaTheme="minorEastAsia" w:cs="Times New Roman Bold"/>
          <w:bCs/>
          <w:color w:val="EC6848"/>
          <w:sz w:val="24"/>
        </w:rPr>
        <w:fldChar w:fldCharType="separate"/>
      </w:r>
      <w:hyperlink w:anchor="_Toc125059851" w:history="1">
        <w:r w:rsidR="0005244A" w:rsidRPr="00EE4B74">
          <w:rPr>
            <w:rStyle w:val="Hyperlink"/>
          </w:rPr>
          <w:t>1.0</w:t>
        </w:r>
        <w:r w:rsidR="0005244A">
          <w:rPr>
            <w:rFonts w:asciiTheme="minorHAnsi" w:eastAsiaTheme="minorEastAsia" w:hAnsiTheme="minorHAnsi"/>
            <w:b w:val="0"/>
            <w:sz w:val="22"/>
            <w:szCs w:val="22"/>
            <w:lang w:val="en-IN" w:eastAsia="en-IN"/>
          </w:rPr>
          <w:tab/>
        </w:r>
        <w:r w:rsidR="0005244A" w:rsidRPr="00EE4B74">
          <w:rPr>
            <w:rStyle w:val="Hyperlink"/>
          </w:rPr>
          <w:t>Acceptance of Amendments</w:t>
        </w:r>
        <w:r w:rsidR="0005244A">
          <w:rPr>
            <w:webHidden/>
          </w:rPr>
          <w:tab/>
        </w:r>
        <w:r w:rsidR="0005244A">
          <w:rPr>
            <w:webHidden/>
          </w:rPr>
          <w:fldChar w:fldCharType="begin"/>
        </w:r>
        <w:r w:rsidR="0005244A">
          <w:rPr>
            <w:webHidden/>
          </w:rPr>
          <w:instrText xml:space="preserve"> PAGEREF _Toc125059851 \h </w:instrText>
        </w:r>
        <w:r w:rsidR="0005244A">
          <w:rPr>
            <w:webHidden/>
          </w:rPr>
        </w:r>
        <w:r w:rsidR="0005244A">
          <w:rPr>
            <w:webHidden/>
          </w:rPr>
          <w:fldChar w:fldCharType="separate"/>
        </w:r>
        <w:r w:rsidR="0005244A">
          <w:rPr>
            <w:webHidden/>
          </w:rPr>
          <w:t>1</w:t>
        </w:r>
        <w:r w:rsidR="0005244A">
          <w:rPr>
            <w:webHidden/>
          </w:rPr>
          <w:fldChar w:fldCharType="end"/>
        </w:r>
      </w:hyperlink>
    </w:p>
    <w:p w14:paraId="39D17F94" w14:textId="702C7A5E" w:rsidR="0005244A" w:rsidRDefault="00710B5B">
      <w:pPr>
        <w:pStyle w:val="TOC1"/>
        <w:rPr>
          <w:rFonts w:asciiTheme="minorHAnsi" w:eastAsiaTheme="minorEastAsia" w:hAnsiTheme="minorHAnsi"/>
          <w:b w:val="0"/>
          <w:sz w:val="22"/>
          <w:szCs w:val="22"/>
          <w:lang w:val="en-IN" w:eastAsia="en-IN"/>
        </w:rPr>
      </w:pPr>
      <w:hyperlink w:anchor="_Toc125059852" w:history="1">
        <w:r w:rsidR="0005244A" w:rsidRPr="00EE4B74">
          <w:rPr>
            <w:rStyle w:val="Hyperlink"/>
          </w:rPr>
          <w:t>2.0</w:t>
        </w:r>
        <w:r w:rsidR="0005244A">
          <w:rPr>
            <w:rFonts w:asciiTheme="minorHAnsi" w:eastAsiaTheme="minorEastAsia" w:hAnsiTheme="minorHAnsi"/>
            <w:b w:val="0"/>
            <w:sz w:val="22"/>
            <w:szCs w:val="22"/>
            <w:lang w:val="en-IN" w:eastAsia="en-IN"/>
          </w:rPr>
          <w:tab/>
        </w:r>
        <w:r w:rsidR="0005244A" w:rsidRPr="00EE4B74">
          <w:rPr>
            <w:rStyle w:val="Hyperlink"/>
          </w:rPr>
          <w:t>Organizational Conflict of Interest</w:t>
        </w:r>
        <w:r w:rsidR="0005244A">
          <w:rPr>
            <w:webHidden/>
          </w:rPr>
          <w:tab/>
        </w:r>
        <w:r w:rsidR="0005244A">
          <w:rPr>
            <w:webHidden/>
          </w:rPr>
          <w:fldChar w:fldCharType="begin"/>
        </w:r>
        <w:r w:rsidR="0005244A">
          <w:rPr>
            <w:webHidden/>
          </w:rPr>
          <w:instrText xml:space="preserve"> PAGEREF _Toc125059852 \h </w:instrText>
        </w:r>
        <w:r w:rsidR="0005244A">
          <w:rPr>
            <w:webHidden/>
          </w:rPr>
        </w:r>
        <w:r w:rsidR="0005244A">
          <w:rPr>
            <w:webHidden/>
          </w:rPr>
          <w:fldChar w:fldCharType="separate"/>
        </w:r>
        <w:r w:rsidR="0005244A">
          <w:rPr>
            <w:webHidden/>
          </w:rPr>
          <w:t>2</w:t>
        </w:r>
        <w:r w:rsidR="0005244A">
          <w:rPr>
            <w:webHidden/>
          </w:rPr>
          <w:fldChar w:fldCharType="end"/>
        </w:r>
      </w:hyperlink>
    </w:p>
    <w:p w14:paraId="35181BFF" w14:textId="543A7E69" w:rsidR="0005244A" w:rsidRDefault="00710B5B">
      <w:pPr>
        <w:pStyle w:val="TOC1"/>
        <w:rPr>
          <w:rFonts w:asciiTheme="minorHAnsi" w:eastAsiaTheme="minorEastAsia" w:hAnsiTheme="minorHAnsi"/>
          <w:b w:val="0"/>
          <w:sz w:val="22"/>
          <w:szCs w:val="22"/>
          <w:lang w:val="en-IN" w:eastAsia="en-IN"/>
        </w:rPr>
      </w:pPr>
      <w:hyperlink w:anchor="_Toc125059853" w:history="1">
        <w:r w:rsidR="0005244A" w:rsidRPr="00EE4B74">
          <w:rPr>
            <w:rStyle w:val="Hyperlink"/>
          </w:rPr>
          <w:t>3.0</w:t>
        </w:r>
        <w:r w:rsidR="0005244A">
          <w:rPr>
            <w:rFonts w:asciiTheme="minorHAnsi" w:eastAsiaTheme="minorEastAsia" w:hAnsiTheme="minorHAnsi"/>
            <w:b w:val="0"/>
            <w:sz w:val="22"/>
            <w:szCs w:val="22"/>
            <w:lang w:val="en-IN" w:eastAsia="en-IN"/>
          </w:rPr>
          <w:tab/>
        </w:r>
        <w:r w:rsidR="0005244A" w:rsidRPr="00EE4B74">
          <w:rPr>
            <w:rStyle w:val="Hyperlink"/>
          </w:rPr>
          <w:t>Exceptions</w:t>
        </w:r>
        <w:r w:rsidR="0005244A">
          <w:rPr>
            <w:webHidden/>
          </w:rPr>
          <w:tab/>
        </w:r>
        <w:r w:rsidR="0005244A">
          <w:rPr>
            <w:webHidden/>
          </w:rPr>
          <w:fldChar w:fldCharType="begin"/>
        </w:r>
        <w:r w:rsidR="0005244A">
          <w:rPr>
            <w:webHidden/>
          </w:rPr>
          <w:instrText xml:space="preserve"> PAGEREF _Toc125059853 \h </w:instrText>
        </w:r>
        <w:r w:rsidR="0005244A">
          <w:rPr>
            <w:webHidden/>
          </w:rPr>
        </w:r>
        <w:r w:rsidR="0005244A">
          <w:rPr>
            <w:webHidden/>
          </w:rPr>
          <w:fldChar w:fldCharType="separate"/>
        </w:r>
        <w:r w:rsidR="0005244A">
          <w:rPr>
            <w:webHidden/>
          </w:rPr>
          <w:t>4</w:t>
        </w:r>
        <w:r w:rsidR="0005244A">
          <w:rPr>
            <w:webHidden/>
          </w:rPr>
          <w:fldChar w:fldCharType="end"/>
        </w:r>
      </w:hyperlink>
    </w:p>
    <w:p w14:paraId="78F6C732" w14:textId="6D57393A" w:rsidR="0005244A" w:rsidRDefault="00710B5B">
      <w:pPr>
        <w:pStyle w:val="TOC1"/>
        <w:rPr>
          <w:rFonts w:asciiTheme="minorHAnsi" w:eastAsiaTheme="minorEastAsia" w:hAnsiTheme="minorHAnsi"/>
          <w:b w:val="0"/>
          <w:sz w:val="22"/>
          <w:szCs w:val="22"/>
          <w:lang w:val="en-IN" w:eastAsia="en-IN"/>
        </w:rPr>
      </w:pPr>
      <w:hyperlink w:anchor="_Toc125059854" w:history="1">
        <w:r w:rsidR="0005244A" w:rsidRPr="00EE4B74">
          <w:rPr>
            <w:rStyle w:val="Hyperlink"/>
          </w:rPr>
          <w:t>4.0</w:t>
        </w:r>
        <w:r w:rsidR="0005244A">
          <w:rPr>
            <w:rFonts w:asciiTheme="minorHAnsi" w:eastAsiaTheme="minorEastAsia" w:hAnsiTheme="minorHAnsi"/>
            <w:b w:val="0"/>
            <w:sz w:val="22"/>
            <w:szCs w:val="22"/>
            <w:lang w:val="en-IN" w:eastAsia="en-IN"/>
          </w:rPr>
          <w:tab/>
        </w:r>
        <w:r w:rsidR="0005244A" w:rsidRPr="00EE4B74">
          <w:rPr>
            <w:rStyle w:val="Hyperlink"/>
          </w:rPr>
          <w:t>Teaming Arrangement</w:t>
        </w:r>
        <w:r w:rsidR="0005244A">
          <w:rPr>
            <w:webHidden/>
          </w:rPr>
          <w:tab/>
        </w:r>
        <w:r w:rsidR="0005244A">
          <w:rPr>
            <w:webHidden/>
          </w:rPr>
          <w:fldChar w:fldCharType="begin"/>
        </w:r>
        <w:r w:rsidR="0005244A">
          <w:rPr>
            <w:webHidden/>
          </w:rPr>
          <w:instrText xml:space="preserve"> PAGEREF _Toc125059854 \h </w:instrText>
        </w:r>
        <w:r w:rsidR="0005244A">
          <w:rPr>
            <w:webHidden/>
          </w:rPr>
        </w:r>
        <w:r w:rsidR="0005244A">
          <w:rPr>
            <w:webHidden/>
          </w:rPr>
          <w:fldChar w:fldCharType="separate"/>
        </w:r>
        <w:r w:rsidR="0005244A">
          <w:rPr>
            <w:webHidden/>
          </w:rPr>
          <w:t>5</w:t>
        </w:r>
        <w:r w:rsidR="0005244A">
          <w:rPr>
            <w:webHidden/>
          </w:rPr>
          <w:fldChar w:fldCharType="end"/>
        </w:r>
      </w:hyperlink>
    </w:p>
    <w:p w14:paraId="2E44C6E5" w14:textId="7FCBF811" w:rsidR="0005244A" w:rsidRDefault="00710B5B">
      <w:pPr>
        <w:pStyle w:val="TOC1"/>
        <w:rPr>
          <w:rFonts w:asciiTheme="minorHAnsi" w:eastAsiaTheme="minorEastAsia" w:hAnsiTheme="minorHAnsi"/>
          <w:b w:val="0"/>
          <w:sz w:val="22"/>
          <w:szCs w:val="22"/>
          <w:lang w:val="en-IN" w:eastAsia="en-IN"/>
        </w:rPr>
      </w:pPr>
      <w:hyperlink w:anchor="_Toc125059855" w:history="1">
        <w:r w:rsidR="0005244A" w:rsidRPr="00EE4B74">
          <w:rPr>
            <w:rStyle w:val="Hyperlink"/>
          </w:rPr>
          <w:t>5.0</w:t>
        </w:r>
        <w:r w:rsidR="0005244A">
          <w:rPr>
            <w:rFonts w:asciiTheme="minorHAnsi" w:eastAsiaTheme="minorEastAsia" w:hAnsiTheme="minorHAnsi"/>
            <w:b w:val="0"/>
            <w:sz w:val="22"/>
            <w:szCs w:val="22"/>
            <w:lang w:val="en-IN" w:eastAsia="en-IN"/>
          </w:rPr>
          <w:tab/>
        </w:r>
        <w:r w:rsidR="0005244A" w:rsidRPr="00EE4B74">
          <w:rPr>
            <w:rStyle w:val="Hyperlink"/>
          </w:rPr>
          <w:t>Additional Information</w:t>
        </w:r>
        <w:r w:rsidR="0005244A">
          <w:rPr>
            <w:webHidden/>
          </w:rPr>
          <w:tab/>
        </w:r>
        <w:r w:rsidR="0005244A">
          <w:rPr>
            <w:webHidden/>
          </w:rPr>
          <w:fldChar w:fldCharType="begin"/>
        </w:r>
        <w:r w:rsidR="0005244A">
          <w:rPr>
            <w:webHidden/>
          </w:rPr>
          <w:instrText xml:space="preserve"> PAGEREF _Toc125059855 \h </w:instrText>
        </w:r>
        <w:r w:rsidR="0005244A">
          <w:rPr>
            <w:webHidden/>
          </w:rPr>
        </w:r>
        <w:r w:rsidR="0005244A">
          <w:rPr>
            <w:webHidden/>
          </w:rPr>
          <w:fldChar w:fldCharType="separate"/>
        </w:r>
        <w:r w:rsidR="0005244A">
          <w:rPr>
            <w:webHidden/>
          </w:rPr>
          <w:t>6</w:t>
        </w:r>
        <w:r w:rsidR="0005244A">
          <w:rPr>
            <w:webHidden/>
          </w:rPr>
          <w:fldChar w:fldCharType="end"/>
        </w:r>
      </w:hyperlink>
    </w:p>
    <w:p w14:paraId="1F8F113D" w14:textId="77FC3A85" w:rsidR="0005244A" w:rsidRDefault="00710B5B">
      <w:pPr>
        <w:pStyle w:val="TOC2"/>
        <w:rPr>
          <w:rFonts w:asciiTheme="minorHAnsi" w:eastAsiaTheme="minorEastAsia" w:hAnsiTheme="minorHAnsi"/>
          <w:sz w:val="22"/>
          <w:szCs w:val="22"/>
          <w:lang w:val="en-IN" w:eastAsia="en-IN"/>
        </w:rPr>
      </w:pPr>
      <w:hyperlink w:anchor="_Toc125059856" w:history="1">
        <w:r w:rsidR="0005244A" w:rsidRPr="00EE4B74">
          <w:rPr>
            <w:rStyle w:val="Hyperlink"/>
          </w:rPr>
          <w:t>5.1</w:t>
        </w:r>
        <w:r w:rsidR="0005244A">
          <w:rPr>
            <w:rFonts w:asciiTheme="minorHAnsi" w:eastAsiaTheme="minorEastAsia" w:hAnsiTheme="minorHAnsi"/>
            <w:sz w:val="22"/>
            <w:szCs w:val="22"/>
            <w:lang w:val="en-IN" w:eastAsia="en-IN"/>
          </w:rPr>
          <w:tab/>
        </w:r>
        <w:r w:rsidR="0005244A" w:rsidRPr="00EE4B74">
          <w:rPr>
            <w:rStyle w:val="Hyperlink"/>
          </w:rPr>
          <w:t>Representation and Certification</w:t>
        </w:r>
        <w:r w:rsidR="0005244A">
          <w:rPr>
            <w:webHidden/>
          </w:rPr>
          <w:tab/>
        </w:r>
        <w:r w:rsidR="0005244A">
          <w:rPr>
            <w:webHidden/>
          </w:rPr>
          <w:fldChar w:fldCharType="begin"/>
        </w:r>
        <w:r w:rsidR="0005244A">
          <w:rPr>
            <w:webHidden/>
          </w:rPr>
          <w:instrText xml:space="preserve"> PAGEREF _Toc125059856 \h </w:instrText>
        </w:r>
        <w:r w:rsidR="0005244A">
          <w:rPr>
            <w:webHidden/>
          </w:rPr>
        </w:r>
        <w:r w:rsidR="0005244A">
          <w:rPr>
            <w:webHidden/>
          </w:rPr>
          <w:fldChar w:fldCharType="separate"/>
        </w:r>
        <w:r w:rsidR="0005244A">
          <w:rPr>
            <w:webHidden/>
          </w:rPr>
          <w:t>6</w:t>
        </w:r>
        <w:r w:rsidR="0005244A">
          <w:rPr>
            <w:webHidden/>
          </w:rPr>
          <w:fldChar w:fldCharType="end"/>
        </w:r>
      </w:hyperlink>
    </w:p>
    <w:p w14:paraId="2E05FE1A" w14:textId="4E952707" w:rsidR="00D045FA" w:rsidRDefault="00D045FA" w:rsidP="00D045FA">
      <w:r w:rsidRPr="00360389">
        <w:fldChar w:fldCharType="end"/>
      </w:r>
    </w:p>
    <w:p w14:paraId="36F1E5E4" w14:textId="77777777" w:rsidR="00D045FA" w:rsidRDefault="00D045FA" w:rsidP="00D045FA">
      <w:r>
        <w:br w:type="page"/>
      </w:r>
    </w:p>
    <w:p w14:paraId="5394F1DC" w14:textId="77777777" w:rsidR="00EE5FD8" w:rsidRDefault="00EE5FD8" w:rsidP="00710B5B">
      <w:pPr>
        <w:pStyle w:val="TSBodyText"/>
        <w:sectPr w:rsidR="00EE5FD8" w:rsidSect="00871AE5">
          <w:headerReference w:type="default" r:id="rId12"/>
          <w:footerReference w:type="default" r:id="rId13"/>
          <w:pgSz w:w="12240" w:h="15840" w:code="1"/>
          <w:pgMar w:top="1440" w:right="1440" w:bottom="1440" w:left="1440" w:header="504" w:footer="504" w:gutter="0"/>
          <w:pgNumType w:fmt="lowerRoman"/>
          <w:cols w:space="720"/>
          <w:titlePg/>
          <w:docGrid w:linePitch="360"/>
        </w:sectPr>
      </w:pPr>
    </w:p>
    <w:p w14:paraId="2E3C5C44" w14:textId="0EE63A8B" w:rsidR="00F9323B" w:rsidRDefault="00EA7B41" w:rsidP="00E26C2A">
      <w:pPr>
        <w:pStyle w:val="Heading1"/>
      </w:pPr>
      <w:bookmarkStart w:id="0" w:name="_Toc125059851"/>
      <w:bookmarkStart w:id="1" w:name="_Toc417894683"/>
      <w:r>
        <w:lastRenderedPageBreak/>
        <w:t>Acceptance of Amendments</w:t>
      </w:r>
      <w:bookmarkEnd w:id="0"/>
    </w:p>
    <w:p w14:paraId="195647BB" w14:textId="53A111B9" w:rsidR="00EA7B41" w:rsidRDefault="004966D1" w:rsidP="00710B5B">
      <w:pPr>
        <w:pStyle w:val="TSBodyText"/>
      </w:pPr>
      <w:r>
        <w:t xml:space="preserve">Team </w:t>
      </w:r>
      <w:r w:rsidR="00F3097E">
        <w:t>TechSur</w:t>
      </w:r>
      <w:r w:rsidR="00B065D6">
        <w:t xml:space="preserve"> - Stealth</w:t>
      </w:r>
      <w:r w:rsidR="00F3097E">
        <w:t xml:space="preserve"> acknowledges and accepts </w:t>
      </w:r>
      <w:proofErr w:type="gramStart"/>
      <w:r w:rsidR="00F3097E">
        <w:t>any and all</w:t>
      </w:r>
      <w:proofErr w:type="gramEnd"/>
      <w:r w:rsidR="00F3097E">
        <w:t xml:space="preserve"> amendments associated with RFQ 70SBUR23Q</w:t>
      </w:r>
      <w:r w:rsidR="00166546">
        <w:t>00000009,</w:t>
      </w:r>
      <w:r w:rsidR="00F901DB">
        <w:t xml:space="preserve"> a</w:t>
      </w:r>
      <w:r w:rsidR="00F901DB" w:rsidRPr="00F901DB">
        <w:t>mendment 0001 dated 01/12/2023</w:t>
      </w:r>
      <w:r w:rsidR="00166546">
        <w:t xml:space="preserve"> and a</w:t>
      </w:r>
      <w:r w:rsidR="00166546" w:rsidRPr="00F901DB">
        <w:t>mendment 000</w:t>
      </w:r>
      <w:r w:rsidR="00166546">
        <w:t>2</w:t>
      </w:r>
      <w:r w:rsidR="00166546" w:rsidRPr="00F901DB">
        <w:t xml:space="preserve"> dated 01/1</w:t>
      </w:r>
      <w:r w:rsidR="00166546">
        <w:t>9</w:t>
      </w:r>
      <w:r w:rsidR="00166546" w:rsidRPr="00F901DB">
        <w:t>/2023</w:t>
      </w:r>
      <w:r w:rsidR="00166546">
        <w:t>.</w:t>
      </w:r>
    </w:p>
    <w:p w14:paraId="1077AB46" w14:textId="5B34CBC4" w:rsidR="00F901DB" w:rsidRDefault="00F901DB">
      <w:r>
        <w:br w:type="page"/>
      </w:r>
    </w:p>
    <w:p w14:paraId="7CAF3169" w14:textId="4556B8C9" w:rsidR="00EA7B41" w:rsidRDefault="00EA7B41" w:rsidP="00EA7B41">
      <w:pPr>
        <w:pStyle w:val="Heading1"/>
      </w:pPr>
      <w:bookmarkStart w:id="2" w:name="_Toc125059852"/>
      <w:r>
        <w:lastRenderedPageBreak/>
        <w:t>Organizational Conflict of Interest</w:t>
      </w:r>
      <w:bookmarkEnd w:id="2"/>
    </w:p>
    <w:p w14:paraId="2AFBD7AE" w14:textId="08AB9F83" w:rsidR="004966D1" w:rsidRPr="004966D1" w:rsidRDefault="004966D1" w:rsidP="004966D1">
      <w:pPr>
        <w:rPr>
          <w:b/>
          <w:bCs/>
        </w:rPr>
      </w:pPr>
      <w:r w:rsidRPr="004966D1">
        <w:rPr>
          <w:b/>
          <w:bCs/>
        </w:rPr>
        <w:t>Responses to applicable clauses or provisions such as HSAR 3052.209-72 Organizational Conflict of Interest (JUN 2006)</w:t>
      </w:r>
    </w:p>
    <w:p w14:paraId="3C3EEA3F" w14:textId="461D17C7" w:rsidR="00EA7B41" w:rsidRDefault="00B065D6" w:rsidP="00710B5B">
      <w:pPr>
        <w:pStyle w:val="TSBodyText"/>
      </w:pPr>
      <w:r>
        <w:t xml:space="preserve">Team TechSur - Stealth </w:t>
      </w:r>
      <w:r w:rsidR="004966D1" w:rsidRPr="004966D1">
        <w:t>hereby represents to the best of its knowledge</w:t>
      </w:r>
      <w:r w:rsidR="004966D1">
        <w:t xml:space="preserve"> that it </w:t>
      </w:r>
      <w:r w:rsidR="00D32E52">
        <w:t>is not aware of any facts which create any actual or potential organizational conflicts of interest relating to the award of this contract.</w:t>
      </w:r>
      <w:r w:rsidR="004966D1">
        <w:t xml:space="preserve"> We are submitting the Phase 1 proposal only for development services.</w:t>
      </w:r>
    </w:p>
    <w:p w14:paraId="394721A8" w14:textId="77777777" w:rsidR="00F901DB" w:rsidRDefault="00F901DB"/>
    <w:p w14:paraId="540A943E" w14:textId="77777777" w:rsidR="00F901DB" w:rsidRPr="00B246F5" w:rsidRDefault="00F901DB" w:rsidP="00F901DB">
      <w:pPr>
        <w:rPr>
          <w:b/>
          <w:bCs/>
        </w:rPr>
      </w:pPr>
      <w:r w:rsidRPr="00B246F5">
        <w:rPr>
          <w:b/>
          <w:bCs/>
        </w:rPr>
        <w:t>DEPARTMENT OF HOMELAND SECURITY ACQUSITION REGULATION (HSAR) PROVISIONS INCORPORATED IN FULL TEXT</w:t>
      </w:r>
    </w:p>
    <w:p w14:paraId="34E5EA29" w14:textId="77777777" w:rsidR="00F901DB" w:rsidRDefault="00F901DB" w:rsidP="00F901DB">
      <w:r>
        <w:t>HSAR 3052.209-72 Organizational Conflict of Interest (June 2006)</w:t>
      </w:r>
    </w:p>
    <w:p w14:paraId="1FE19446" w14:textId="77777777" w:rsidR="00F901DB" w:rsidRDefault="00F901DB" w:rsidP="00F901DB">
      <w:r>
        <w:t>(a)</w:t>
      </w:r>
      <w:r>
        <w:tab/>
        <w:t xml:space="preserve">Determination. The Government has determined that this effort may result in an actual or potential conflict of </w:t>
      </w:r>
      <w:proofErr w:type="gramStart"/>
      <w:r>
        <w:t>interest, or</w:t>
      </w:r>
      <w:proofErr w:type="gramEnd"/>
      <w:r>
        <w:t xml:space="preserve"> may provide one or more offerors with the potential to attain an unfair competitive advantage. The nature of the potential conflict of interest and the limitation on future contracting is providing both Citizen Development Governance services under this contract and providing current or future Development services for Citizen Development. The Government has determined that providing both Governance and Development services may impair a contractor’s objectivity.</w:t>
      </w:r>
    </w:p>
    <w:p w14:paraId="2C01F25C" w14:textId="77777777" w:rsidR="00F901DB" w:rsidRDefault="00F901DB" w:rsidP="00F901DB"/>
    <w:p w14:paraId="61BB7E59" w14:textId="77777777" w:rsidR="00F901DB" w:rsidRDefault="00F901DB" w:rsidP="00F901DB">
      <w:r>
        <w:t>(b)</w:t>
      </w:r>
      <w:r>
        <w:tab/>
        <w:t xml:space="preserve">If any such conflict of interest is found to exist, the Contracting Officer may (1) disqualify the offeror (quoter), or (2) determine that it is otherwise in the best interest of the United States to contract with the offeror (quoter) and include the appropriate provisions to avoid, neutralize, mitigate, or waive such conflict in the contract awarded. After discussion with the offeror, the Contracting Officer may determine that the actual conflict cannot be avoided, neutralized, </w:t>
      </w:r>
      <w:proofErr w:type="gramStart"/>
      <w:r>
        <w:t>mitigated</w:t>
      </w:r>
      <w:proofErr w:type="gramEnd"/>
      <w:r>
        <w:t xml:space="preserve"> or otherwise resolved to the satisfaction of the Government, and the offeror may be found ineligible for award. Likewise, award of this contract may limit the contractor’s ability to perform or compete for existing or future contracts for Citizen Development services.</w:t>
      </w:r>
    </w:p>
    <w:p w14:paraId="70EB0EBF" w14:textId="77777777" w:rsidR="00F901DB" w:rsidRDefault="00F901DB" w:rsidP="00F901DB"/>
    <w:p w14:paraId="04A19D3E" w14:textId="77777777" w:rsidR="00F901DB" w:rsidRDefault="00F901DB" w:rsidP="00F901DB">
      <w:r>
        <w:t>(c)</w:t>
      </w:r>
      <w:r>
        <w:tab/>
        <w:t>Disclosure: The offeror hereby represents to the best of its knowledge that:</w:t>
      </w:r>
    </w:p>
    <w:p w14:paraId="4719FDB5" w14:textId="77777777" w:rsidR="00F901DB" w:rsidRDefault="00F901DB" w:rsidP="00F901DB"/>
    <w:p w14:paraId="4B26ECB5" w14:textId="0EB5322E" w:rsidR="00F901DB" w:rsidRDefault="00F901DB" w:rsidP="00F901DB">
      <w:r w:rsidRPr="00B246F5">
        <w:fldChar w:fldCharType="begin">
          <w:ffData>
            <w:name w:val=""/>
            <w:enabled/>
            <w:calcOnExit w:val="0"/>
            <w:checkBox>
              <w:sizeAuto/>
              <w:default w:val="1"/>
            </w:checkBox>
          </w:ffData>
        </w:fldChar>
      </w:r>
      <w:r w:rsidRPr="00B246F5">
        <w:instrText xml:space="preserve"> FORMCHECKBOX </w:instrText>
      </w:r>
      <w:r w:rsidR="00710B5B">
        <w:fldChar w:fldCharType="separate"/>
      </w:r>
      <w:r w:rsidRPr="00B246F5">
        <w:fldChar w:fldCharType="end"/>
      </w:r>
      <w:r w:rsidRPr="00B246F5">
        <w:t xml:space="preserve"> </w:t>
      </w:r>
      <w:r w:rsidR="00B246F5" w:rsidRPr="00B246F5">
        <w:t xml:space="preserve"> (1)</w:t>
      </w:r>
      <w:r w:rsidR="00B246F5">
        <w:rPr>
          <w:bCs/>
          <w:sz w:val="18"/>
          <w:szCs w:val="18"/>
        </w:rPr>
        <w:t xml:space="preserve"> </w:t>
      </w:r>
      <w:r>
        <w:t>It is not aware of any facts which create any actual or potential organizational conflicts of interest relating to the award of this contract, or</w:t>
      </w:r>
    </w:p>
    <w:p w14:paraId="2F53C16F" w14:textId="0625BDC5" w:rsidR="00F901DB" w:rsidRDefault="00B246F5" w:rsidP="00F901DB">
      <w:r w:rsidRPr="004F1819">
        <w:rPr>
          <w:bCs/>
          <w:sz w:val="18"/>
          <w:szCs w:val="18"/>
        </w:rPr>
        <w:fldChar w:fldCharType="begin">
          <w:ffData>
            <w:name w:val="Check1"/>
            <w:enabled/>
            <w:calcOnExit w:val="0"/>
            <w:checkBox>
              <w:sizeAuto/>
              <w:default w:val="0"/>
            </w:checkBox>
          </w:ffData>
        </w:fldChar>
      </w:r>
      <w:r w:rsidRPr="004F1819">
        <w:rPr>
          <w:bCs/>
          <w:sz w:val="18"/>
          <w:szCs w:val="18"/>
        </w:rPr>
        <w:instrText xml:space="preserve"> FORMCHECKBOX </w:instrText>
      </w:r>
      <w:r w:rsidR="00710B5B">
        <w:rPr>
          <w:bCs/>
          <w:sz w:val="18"/>
          <w:szCs w:val="18"/>
        </w:rPr>
      </w:r>
      <w:r w:rsidR="00710B5B">
        <w:rPr>
          <w:bCs/>
          <w:sz w:val="18"/>
          <w:szCs w:val="18"/>
        </w:rPr>
        <w:fldChar w:fldCharType="separate"/>
      </w:r>
      <w:r w:rsidRPr="004F1819">
        <w:rPr>
          <w:bCs/>
          <w:sz w:val="18"/>
          <w:szCs w:val="18"/>
        </w:rPr>
        <w:fldChar w:fldCharType="end"/>
      </w:r>
      <w:r w:rsidRPr="004F1819">
        <w:rPr>
          <w:bCs/>
          <w:sz w:val="18"/>
          <w:szCs w:val="18"/>
        </w:rPr>
        <w:t xml:space="preserve"> </w:t>
      </w:r>
      <w:r w:rsidRPr="00B246F5">
        <w:t>(2)</w:t>
      </w:r>
      <w:r w:rsidRPr="00DB372C">
        <w:rPr>
          <w:bCs/>
          <w:sz w:val="18"/>
          <w:szCs w:val="18"/>
        </w:rPr>
        <w:t xml:space="preserve"> </w:t>
      </w:r>
      <w:r w:rsidR="00F901DB">
        <w:t>It has included information in its proposal, providing all current information bearing on the existence of any actual or potential organizational conflicts of interest, and has included a mitigation plan in accordance with paragraph (d) of this clause.</w:t>
      </w:r>
    </w:p>
    <w:p w14:paraId="3B308575" w14:textId="77777777" w:rsidR="00F901DB" w:rsidRDefault="00F901DB" w:rsidP="00F901DB">
      <w:r>
        <w:t>(d)</w:t>
      </w:r>
      <w:r>
        <w:tab/>
        <w:t xml:space="preserve">Mitigation. If an offeror with a potential or actual conflict of interest or unfair competitive advantage believes the conflict can be avoided, neutralized, or mitigated, the offeror shall submit a mitigation plan to the Government for review. Award of a contract where an actual or potential conflict of interest exists shall not occur before Government approval of the </w:t>
      </w:r>
      <w:r>
        <w:lastRenderedPageBreak/>
        <w:t>mitigation plan. If a mitigation plan is approved, the restrictions of this clause do not apply to the extent defined in the mitigation plan.</w:t>
      </w:r>
    </w:p>
    <w:p w14:paraId="4F7CB3F1" w14:textId="77777777" w:rsidR="00F901DB" w:rsidRDefault="00F901DB" w:rsidP="00F901DB"/>
    <w:p w14:paraId="7E10079A" w14:textId="77777777" w:rsidR="00F901DB" w:rsidRDefault="00F901DB" w:rsidP="00F901DB">
      <w:r>
        <w:t>(e)</w:t>
      </w:r>
      <w:r>
        <w:tab/>
        <w:t>Other Relevant Information. In addition to the mitigation plan, the Contracting Officer may require further relevant information from the offeror. The Contracting Officer will use all information submitted by the offeror, and any other relevant information known to DHS, to determine whether an award to the offeror may take place, and whether the mitigation plan adequately neutralizes or mitigates the conflict.</w:t>
      </w:r>
    </w:p>
    <w:p w14:paraId="4800A418" w14:textId="77777777" w:rsidR="00F901DB" w:rsidRDefault="00F901DB" w:rsidP="00F901DB"/>
    <w:p w14:paraId="5BA3FE04" w14:textId="77777777" w:rsidR="00F901DB" w:rsidRDefault="00F901DB" w:rsidP="00F901DB">
      <w:r>
        <w:t>(f)</w:t>
      </w:r>
      <w:r>
        <w:tab/>
        <w:t>Corporation Change. The successful offeror shall inform the Contracting Officer within thirty (30) calendar days of the effective date of any corporate mergers, acquisitions, and/or divestures that may affect this clause.</w:t>
      </w:r>
    </w:p>
    <w:p w14:paraId="3D54BC5D" w14:textId="77777777" w:rsidR="00F901DB" w:rsidRDefault="00F901DB" w:rsidP="00F901DB"/>
    <w:p w14:paraId="55D6237E" w14:textId="76CB1E9D" w:rsidR="00F901DB" w:rsidRDefault="00F901DB" w:rsidP="00F901DB">
      <w:r>
        <w:t>(g)</w:t>
      </w:r>
      <w:r>
        <w:tab/>
        <w:t>Flow-down. The contractor shall insert the substance of this clause in each first-tier subcontract that exceeds the simplified acquisition threshold.</w:t>
      </w:r>
      <w:r>
        <w:br w:type="page"/>
      </w:r>
    </w:p>
    <w:p w14:paraId="21531C05" w14:textId="17FD792A" w:rsidR="00EA7B41" w:rsidRDefault="00EA7B41" w:rsidP="00EA7B41">
      <w:pPr>
        <w:pStyle w:val="Heading1"/>
      </w:pPr>
      <w:bookmarkStart w:id="3" w:name="_Toc125059853"/>
      <w:r>
        <w:lastRenderedPageBreak/>
        <w:t>Exceptions</w:t>
      </w:r>
      <w:bookmarkEnd w:id="3"/>
    </w:p>
    <w:p w14:paraId="48889345" w14:textId="019E55FD" w:rsidR="00EA7B41" w:rsidRDefault="00B065D6" w:rsidP="00710B5B">
      <w:pPr>
        <w:pStyle w:val="TSBodyText"/>
      </w:pPr>
      <w:r>
        <w:t xml:space="preserve">Team TechSur - Stealth </w:t>
      </w:r>
      <w:r w:rsidR="004643B7" w:rsidRPr="00F3097E">
        <w:t>agrees to all</w:t>
      </w:r>
      <w:r w:rsidR="004643B7">
        <w:t xml:space="preserve"> </w:t>
      </w:r>
      <w:r w:rsidR="004643B7" w:rsidRPr="00F3097E">
        <w:t>clauses, terms, conditions as shown in this RFQ</w:t>
      </w:r>
      <w:r w:rsidR="004966D1">
        <w:t>, all the amendments</w:t>
      </w:r>
      <w:r w:rsidR="004643B7" w:rsidRPr="00F3097E">
        <w:t xml:space="preserve"> and attachments</w:t>
      </w:r>
      <w:r w:rsidR="004643B7">
        <w:t xml:space="preserve"> and not taking any exceptions for this contract.</w:t>
      </w:r>
    </w:p>
    <w:p w14:paraId="58507305" w14:textId="4AA1F6EC" w:rsidR="00910628" w:rsidRDefault="00910628">
      <w:r>
        <w:br w:type="page"/>
      </w:r>
    </w:p>
    <w:p w14:paraId="2D08FC34" w14:textId="3FA45E33" w:rsidR="00EA7B41" w:rsidRDefault="00EA7B41" w:rsidP="00EA7B41">
      <w:pPr>
        <w:pStyle w:val="Heading1"/>
      </w:pPr>
      <w:bookmarkStart w:id="4" w:name="_Toc125059854"/>
      <w:r>
        <w:lastRenderedPageBreak/>
        <w:t>Teaming Arrangement</w:t>
      </w:r>
      <w:bookmarkEnd w:id="4"/>
    </w:p>
    <w:p w14:paraId="13E4DFB4" w14:textId="160F1FEF" w:rsidR="00910628" w:rsidRDefault="00910628" w:rsidP="00710B5B">
      <w:pPr>
        <w:pStyle w:val="TSBodyText"/>
        <w:rPr>
          <w:highlight w:val="yellow"/>
        </w:rPr>
      </w:pPr>
      <w:r w:rsidRPr="00910628">
        <w:t>Tech</w:t>
      </w:r>
      <w:r w:rsidR="00B065D6">
        <w:t>S</w:t>
      </w:r>
      <w:r w:rsidRPr="00910628">
        <w:t>ur Solutions and Stealth Solutions have an executed CTA teaming agreement in Place. Synergy Business Innovation &amp; Solutions, Inc. is our subcontractor with a maximum 20% of workshare.</w:t>
      </w:r>
    </w:p>
    <w:p w14:paraId="321A7042" w14:textId="2A4E35D5" w:rsidR="00092E16" w:rsidRPr="00092E16" w:rsidRDefault="00092E16" w:rsidP="00092E16">
      <w:pPr>
        <w:rPr>
          <w:b/>
          <w:bCs/>
        </w:rPr>
      </w:pPr>
      <w:r w:rsidRPr="00092E16">
        <w:rPr>
          <w:b/>
          <w:bCs/>
        </w:rPr>
        <w:t xml:space="preserve">Size Standard </w:t>
      </w:r>
    </w:p>
    <w:p w14:paraId="1573FE5A" w14:textId="3E0E440D" w:rsidR="00092E16" w:rsidRDefault="00092E16" w:rsidP="00710B5B">
      <w:pPr>
        <w:pStyle w:val="TSBodyText"/>
      </w:pPr>
      <w:r w:rsidRPr="0005244A">
        <w:rPr>
          <w:b/>
          <w:bCs/>
        </w:rPr>
        <w:t>TechSur Solutions</w:t>
      </w:r>
      <w:r>
        <w:t xml:space="preserve"> – SBA certified 8a </w:t>
      </w:r>
    </w:p>
    <w:p w14:paraId="44556F1A" w14:textId="5CBB61F6" w:rsidR="00092E16" w:rsidRDefault="00910628" w:rsidP="00710B5B">
      <w:pPr>
        <w:pStyle w:val="TSBodyText"/>
      </w:pPr>
      <w:r w:rsidRPr="0005244A">
        <w:rPr>
          <w:b/>
          <w:bCs/>
        </w:rPr>
        <w:t>Stealth Solutions</w:t>
      </w:r>
      <w:r w:rsidRPr="00910628">
        <w:t xml:space="preserve"> </w:t>
      </w:r>
      <w:r>
        <w:t>- Self Certified Small Disadvantaged Business</w:t>
      </w:r>
    </w:p>
    <w:p w14:paraId="4D216B61" w14:textId="03D87596" w:rsidR="00910628" w:rsidRDefault="00910628" w:rsidP="00710B5B">
      <w:pPr>
        <w:pStyle w:val="TSBodyText"/>
      </w:pPr>
      <w:r w:rsidRPr="00710B5B">
        <w:rPr>
          <w:b/>
          <w:bCs/>
        </w:rPr>
        <w:t>Synergy Business Innovation &amp; Solutions</w:t>
      </w:r>
      <w:r>
        <w:t xml:space="preserve"> - </w:t>
      </w:r>
      <w:r w:rsidR="00E86546">
        <w:t>Other than small business</w:t>
      </w:r>
    </w:p>
    <w:p w14:paraId="29D2F4E8" w14:textId="77777777" w:rsidR="00910628" w:rsidRDefault="00910628" w:rsidP="00092E16">
      <w:pPr>
        <w:rPr>
          <w:b/>
          <w:bCs/>
        </w:rPr>
      </w:pPr>
    </w:p>
    <w:p w14:paraId="526B9E33" w14:textId="14E82B54" w:rsidR="00092E16" w:rsidRPr="00092E16" w:rsidRDefault="00092E16" w:rsidP="00092E16">
      <w:pPr>
        <w:rPr>
          <w:b/>
          <w:bCs/>
        </w:rPr>
      </w:pPr>
      <w:r w:rsidRPr="00092E16">
        <w:rPr>
          <w:b/>
          <w:bCs/>
        </w:rPr>
        <w:t>Percentage Distribution</w:t>
      </w:r>
      <w:r>
        <w:rPr>
          <w:b/>
          <w:bCs/>
        </w:rPr>
        <w:t xml:space="preserve"> of Task order</w:t>
      </w:r>
    </w:p>
    <w:p w14:paraId="2893776E" w14:textId="68AD1A96" w:rsidR="00092E16" w:rsidRDefault="00092E16" w:rsidP="00710B5B">
      <w:pPr>
        <w:pStyle w:val="TSBodyText"/>
      </w:pPr>
      <w:r w:rsidRPr="0005244A">
        <w:t xml:space="preserve">TechSur </w:t>
      </w:r>
      <w:r w:rsidR="00910628" w:rsidRPr="0005244A">
        <w:t>Solutions:</w:t>
      </w:r>
      <w:r>
        <w:t xml:space="preserve"> </w:t>
      </w:r>
      <w:r w:rsidR="00910628">
        <w:t>40%</w:t>
      </w:r>
    </w:p>
    <w:p w14:paraId="2BAEC6EC" w14:textId="434035AA" w:rsidR="00910628" w:rsidRDefault="00910628" w:rsidP="00710B5B">
      <w:pPr>
        <w:pStyle w:val="TSBodyText"/>
      </w:pPr>
      <w:r w:rsidRPr="0005244A">
        <w:t>Stealth Solutions:</w:t>
      </w:r>
      <w:r>
        <w:t xml:space="preserve"> 40 %</w:t>
      </w:r>
    </w:p>
    <w:p w14:paraId="354317C5" w14:textId="0DE94055" w:rsidR="00910628" w:rsidRDefault="00910628" w:rsidP="00710B5B">
      <w:pPr>
        <w:pStyle w:val="TSBodyText"/>
      </w:pPr>
      <w:r w:rsidRPr="0005244A">
        <w:t>Synergy Business Innovation &amp; Solutions</w:t>
      </w:r>
      <w:r>
        <w:t>: 20%</w:t>
      </w:r>
    </w:p>
    <w:p w14:paraId="309A90B2" w14:textId="53E1E4AD" w:rsidR="00910628" w:rsidRDefault="00910628">
      <w:r>
        <w:br w:type="page"/>
      </w:r>
    </w:p>
    <w:p w14:paraId="75630187" w14:textId="624DA94A" w:rsidR="00EA7B41" w:rsidRDefault="00EA7B41" w:rsidP="00EA7B41">
      <w:pPr>
        <w:pStyle w:val="Heading1"/>
      </w:pPr>
      <w:bookmarkStart w:id="5" w:name="_Toc125059855"/>
      <w:r>
        <w:lastRenderedPageBreak/>
        <w:t>Additional Information</w:t>
      </w:r>
      <w:bookmarkEnd w:id="5"/>
    </w:p>
    <w:p w14:paraId="58645A24" w14:textId="5EB71151" w:rsidR="00EA7B41" w:rsidRDefault="00910628" w:rsidP="00910628">
      <w:pPr>
        <w:pStyle w:val="Heading2"/>
      </w:pPr>
      <w:bookmarkStart w:id="6" w:name="_Toc125059856"/>
      <w:r>
        <w:t>Representation and Certification</w:t>
      </w:r>
      <w:bookmarkEnd w:id="6"/>
    </w:p>
    <w:p w14:paraId="0B3038CE" w14:textId="6BF7C74E" w:rsidR="0005244A" w:rsidRDefault="0005244A" w:rsidP="00710B5B">
      <w:pPr>
        <w:pStyle w:val="TSBodyText"/>
      </w:pPr>
      <w:r>
        <w:t>(1) Annual Representations and Certifications. Any changes provided by the Offeror in paragraph (b)(2) of this provision do not automatically change the representations and certifications in SAM.</w:t>
      </w:r>
    </w:p>
    <w:p w14:paraId="2B525B54" w14:textId="565CE741" w:rsidR="0005244A" w:rsidRPr="0005244A" w:rsidRDefault="0005244A" w:rsidP="00710B5B">
      <w:pPr>
        <w:pStyle w:val="TSBodyText"/>
      </w:pPr>
      <w:r>
        <w:t>(2) The offeror has completed the annual representations and certifications electronically in SAM accessed through http://www.sam.gov. After reviewing SAM information, the Offeror verifies by submission of this offer that the representations and certifications currently posted electronically at FAR 52.212-3,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 Not Applicable.</w:t>
      </w:r>
    </w:p>
    <w:p w14:paraId="03DF6861" w14:textId="2CB3F85A" w:rsidR="00EA7B41" w:rsidRDefault="00EA7B41" w:rsidP="00710B5B">
      <w:pPr>
        <w:pStyle w:val="TSBodyText"/>
      </w:pPr>
    </w:p>
    <w:bookmarkEnd w:id="1"/>
    <w:p w14:paraId="522BF8D6" w14:textId="45208A65" w:rsidR="00092E16" w:rsidRDefault="00092E16"/>
    <w:p w14:paraId="681F1380" w14:textId="77777777" w:rsidR="00F3097E" w:rsidRDefault="00F3097E"/>
    <w:p w14:paraId="17D4F1B3" w14:textId="42905737" w:rsidR="00092E16" w:rsidRPr="00D52152" w:rsidRDefault="00092E16" w:rsidP="00D52152">
      <w:pPr>
        <w:jc w:val="both"/>
      </w:pPr>
    </w:p>
    <w:sectPr w:rsidR="00092E16" w:rsidRPr="00D52152" w:rsidSect="00EA7B41">
      <w:footerReference w:type="default" r:id="rId14"/>
      <w:pgSz w:w="12240" w:h="15840" w:code="1"/>
      <w:pgMar w:top="1440" w:right="1440" w:bottom="1440" w:left="1440" w:header="504" w:footer="68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9B03" w14:textId="77777777" w:rsidR="00452672" w:rsidRDefault="00452672" w:rsidP="00EE5FD8">
      <w:pPr>
        <w:spacing w:after="0"/>
      </w:pPr>
      <w:r>
        <w:separator/>
      </w:r>
    </w:p>
  </w:endnote>
  <w:endnote w:type="continuationSeparator" w:id="0">
    <w:p w14:paraId="766ADBAF" w14:textId="77777777" w:rsidR="00452672" w:rsidRDefault="00452672" w:rsidP="00EE5F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37EA" w14:textId="56F44FC8" w:rsidR="00045C78" w:rsidRPr="00045C78" w:rsidRDefault="00045C78" w:rsidP="00045C78">
    <w:pPr>
      <w:pStyle w:val="Footer"/>
      <w:spacing w:before="0" w:after="0"/>
      <w:ind w:left="-90"/>
      <w:rPr>
        <w:sz w:val="20"/>
      </w:rPr>
    </w:pPr>
    <w:r w:rsidRPr="00045C78">
      <w:rPr>
        <w:noProof/>
        <w:sz w:val="20"/>
        <w:szCs w:val="32"/>
      </w:rPr>
      <mc:AlternateContent>
        <mc:Choice Requires="wps">
          <w:drawing>
            <wp:anchor distT="4294967293" distB="4294967293" distL="114300" distR="114300" simplePos="0" relativeHeight="251662336" behindDoc="0" locked="0" layoutInCell="1" allowOverlap="1" wp14:anchorId="64C5AF7D" wp14:editId="7D5D6795">
              <wp:simplePos x="0" y="0"/>
              <wp:positionH relativeFrom="margin">
                <wp:align>center</wp:align>
              </wp:positionH>
              <wp:positionV relativeFrom="paragraph">
                <wp:posOffset>-38101</wp:posOffset>
              </wp:positionV>
              <wp:extent cx="6067425" cy="0"/>
              <wp:effectExtent l="0" t="0" r="0" b="0"/>
              <wp:wrapNone/>
              <wp:docPr id="2" name="Straight Connector 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a:xfrm>
                        <a:off x="0" y="0"/>
                        <a:ext cx="6067425" cy="0"/>
                      </a:xfrm>
                      <a:prstGeom prst="line">
                        <a:avLst/>
                      </a:prstGeom>
                      <a:noFill/>
                      <a:ln w="9525" cap="flat" cmpd="sng" algn="ctr">
                        <a:solidFill>
                          <a:srgbClr val="E06A5E"/>
                        </a:solidFill>
                        <a:prstDash val="solid"/>
                        <a:miter lim="800000"/>
                        <a:headEnd type="none" w="sm" len="sm"/>
                        <a:tailEnd type="none" w="sm" len="sm"/>
                      </a:ln>
                      <a:effectLst/>
                    </wps:spPr>
                    <wps:bodyPr/>
                  </wps:wsp>
                </a:graphicData>
              </a:graphic>
              <wp14:sizeRelH relativeFrom="margin">
                <wp14:pctWidth>0</wp14:pctWidth>
              </wp14:sizeRelH>
              <wp14:sizeRelV relativeFrom="margin">
                <wp14:pctHeight>0</wp14:pctHeight>
              </wp14:sizeRelV>
            </wp:anchor>
          </w:drawing>
        </mc:Choice>
        <mc:Fallback>
          <w:pict>
            <v:line w14:anchorId="0600229A" id="Straight Connector 2" o:spid="_x0000_s1026" style="position:absolute;z-index:251662336;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margin;mso-height-relative:margin" from="0,-3pt" to="477.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" strokecolor="#e06a5e">
              <v:stroke startarrowwidth="narrow" startarrowlength="short" endarrowwidth="narrow" endarrowlength="short" joinstyle="miter"/>
              <v:path arrowok="f"/>
              <o:lock v:ext="edit" aspectratio="t" verticies="t"/>
              <w10:wrap anchorx="margin"/>
            </v:line>
          </w:pict>
        </mc:Fallback>
      </mc:AlternateContent>
    </w:r>
    <w:r w:rsidR="00F9323B">
      <w:rPr>
        <w:sz w:val="20"/>
      </w:rPr>
      <w:t xml:space="preserve">January </w:t>
    </w:r>
    <w:r w:rsidR="00EA7B41">
      <w:rPr>
        <w:sz w:val="20"/>
      </w:rPr>
      <w:t>20</w:t>
    </w:r>
    <w:r w:rsidR="00F9323B">
      <w:rPr>
        <w:sz w:val="20"/>
      </w:rPr>
      <w:t xml:space="preserve">, </w:t>
    </w:r>
    <w:proofErr w:type="gramStart"/>
    <w:r w:rsidR="00F9323B">
      <w:rPr>
        <w:sz w:val="20"/>
      </w:rPr>
      <w:t>2023</w:t>
    </w:r>
    <w:proofErr w:type="gramEnd"/>
    <w:r w:rsidRPr="00045C78">
      <w:rPr>
        <w:sz w:val="20"/>
      </w:rPr>
      <w:tab/>
      <w:t xml:space="preserve">Page </w:t>
    </w:r>
    <w:r w:rsidRPr="00045C78">
      <w:rPr>
        <w:sz w:val="20"/>
      </w:rPr>
      <w:fldChar w:fldCharType="begin"/>
    </w:r>
    <w:r w:rsidRPr="00045C78">
      <w:rPr>
        <w:sz w:val="20"/>
      </w:rPr>
      <w:instrText xml:space="preserve"> PAGE   \* MERGEFORMAT </w:instrText>
    </w:r>
    <w:r w:rsidRPr="00045C78">
      <w:rPr>
        <w:sz w:val="20"/>
      </w:rPr>
      <w:fldChar w:fldCharType="separate"/>
    </w:r>
    <w:r w:rsidR="002464BC">
      <w:rPr>
        <w:noProof/>
        <w:sz w:val="20"/>
      </w:rPr>
      <w:t>iii</w:t>
    </w:r>
    <w:r w:rsidRPr="00045C78">
      <w:rPr>
        <w:noProof/>
        <w:sz w:val="20"/>
      </w:rPr>
      <w:fldChar w:fldCharType="end"/>
    </w:r>
    <w:r w:rsidRPr="00045C78">
      <w:rPr>
        <w:sz w:val="20"/>
      </w:rPr>
      <w:tab/>
    </w:r>
    <w:r w:rsidR="00B065D6">
      <w:rPr>
        <w:sz w:val="20"/>
      </w:rPr>
      <w:t xml:space="preserve">Team </w:t>
    </w:r>
    <w:r w:rsidR="009A7D9E">
      <w:rPr>
        <w:sz w:val="20"/>
      </w:rPr>
      <w:t xml:space="preserve">TechSur </w:t>
    </w:r>
    <w:r w:rsidR="00B065D6">
      <w:rPr>
        <w:sz w:val="20"/>
      </w:rPr>
      <w:t>- Stealth</w:t>
    </w:r>
  </w:p>
  <w:p w14:paraId="4A6FB5E4" w14:textId="77777777" w:rsidR="00045C78" w:rsidRPr="00045C78" w:rsidRDefault="00045C78" w:rsidP="00045C78">
    <w:pPr>
      <w:pStyle w:val="Footer"/>
      <w:spacing w:before="0" w:after="0"/>
      <w:jc w:val="center"/>
      <w:rPr>
        <w:sz w:val="20"/>
        <w:szCs w:val="32"/>
      </w:rPr>
    </w:pPr>
    <w:r w:rsidRPr="009A7D9E">
      <w:rPr>
        <w:i/>
        <w:iCs/>
        <w:sz w:val="20"/>
      </w:rPr>
      <w:t>Use or disclosure of data contained on this sheet is subject to the restriction on the title page of this proposal</w:t>
    </w:r>
    <w:r w:rsidRPr="00045C78">
      <w:rPr>
        <w:sz w:val="20"/>
      </w:rPr>
      <w:t xml:space="preserve">.   </w:t>
    </w:r>
  </w:p>
  <w:p w14:paraId="718474E6" w14:textId="77777777" w:rsidR="00CD5FBF" w:rsidRPr="00045C78" w:rsidRDefault="00CD5FBF" w:rsidP="00045C78">
    <w:pPr>
      <w:pStyle w:val="Footer"/>
      <w:spacing w:before="0" w:after="0"/>
      <w:rPr>
        <w:sz w:val="6"/>
        <w:szCs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2657"/>
      <w:gridCol w:w="4047"/>
      <w:gridCol w:w="2656"/>
    </w:tblGrid>
    <w:tr w:rsidR="007823C6" w:rsidRPr="00634AD5" w14:paraId="1294EE94" w14:textId="77777777" w:rsidTr="00BE33A9">
      <w:tc>
        <w:tcPr>
          <w:tcW w:w="1419" w:type="pct"/>
          <w:tcBorders>
            <w:top w:val="single" w:sz="2" w:space="0" w:color="7F7F7F" w:themeColor="text1" w:themeTint="80"/>
          </w:tcBorders>
          <w:vAlign w:val="bottom"/>
        </w:tcPr>
        <w:p w14:paraId="12038199" w14:textId="4D393BA8" w:rsidR="007823C6" w:rsidRPr="00EA7B41" w:rsidRDefault="00F9323B" w:rsidP="009F1DC5">
          <w:pPr>
            <w:pStyle w:val="Footer"/>
            <w:rPr>
              <w:sz w:val="22"/>
              <w:szCs w:val="36"/>
            </w:rPr>
          </w:pPr>
          <w:r w:rsidRPr="00EA7B41">
            <w:rPr>
              <w:sz w:val="22"/>
              <w:szCs w:val="36"/>
            </w:rPr>
            <w:t xml:space="preserve">January </w:t>
          </w:r>
          <w:r w:rsidR="00EA7B41" w:rsidRPr="00EA7B41">
            <w:rPr>
              <w:sz w:val="22"/>
              <w:szCs w:val="36"/>
            </w:rPr>
            <w:t>20</w:t>
          </w:r>
          <w:r w:rsidRPr="00EA7B41">
            <w:rPr>
              <w:sz w:val="22"/>
              <w:szCs w:val="36"/>
            </w:rPr>
            <w:t>, 2023</w:t>
          </w:r>
        </w:p>
      </w:tc>
      <w:tc>
        <w:tcPr>
          <w:tcW w:w="2162" w:type="pct"/>
          <w:tcBorders>
            <w:top w:val="single" w:sz="2" w:space="0" w:color="7F7F7F" w:themeColor="text1" w:themeTint="80"/>
          </w:tcBorders>
        </w:tcPr>
        <w:p w14:paraId="2B8F8447" w14:textId="77777777" w:rsidR="007823C6" w:rsidRPr="00EA7B41" w:rsidRDefault="007823C6" w:rsidP="009F1DC5">
          <w:pPr>
            <w:pStyle w:val="Footer"/>
            <w:jc w:val="center"/>
            <w:rPr>
              <w:b/>
              <w:sz w:val="22"/>
              <w:szCs w:val="36"/>
            </w:rPr>
          </w:pPr>
        </w:p>
      </w:tc>
      <w:tc>
        <w:tcPr>
          <w:tcW w:w="1419" w:type="pct"/>
          <w:tcBorders>
            <w:top w:val="single" w:sz="2" w:space="0" w:color="7F7F7F" w:themeColor="text1" w:themeTint="80"/>
          </w:tcBorders>
        </w:tcPr>
        <w:p w14:paraId="3BD26C63" w14:textId="7AF752E8" w:rsidR="007823C6" w:rsidRPr="00EA7B41" w:rsidRDefault="00F9323B" w:rsidP="009F1DC5">
          <w:pPr>
            <w:pStyle w:val="Footer"/>
            <w:jc w:val="right"/>
            <w:rPr>
              <w:noProof/>
              <w:sz w:val="22"/>
              <w:szCs w:val="36"/>
            </w:rPr>
          </w:pPr>
          <w:r w:rsidRPr="00EA7B41">
            <w:rPr>
              <w:noProof/>
              <w:sz w:val="22"/>
              <w:szCs w:val="36"/>
            </w:rPr>
            <w:t>Page</w:t>
          </w:r>
          <w:r w:rsidR="007823C6" w:rsidRPr="00EA7B41">
            <w:rPr>
              <w:noProof/>
              <w:sz w:val="22"/>
              <w:szCs w:val="36"/>
            </w:rPr>
            <w:t xml:space="preserve"> #-</w:t>
          </w:r>
          <w:r w:rsidR="007823C6" w:rsidRPr="00EA7B41">
            <w:rPr>
              <w:noProof/>
              <w:sz w:val="22"/>
              <w:szCs w:val="36"/>
            </w:rPr>
            <w:fldChar w:fldCharType="begin"/>
          </w:r>
          <w:r w:rsidR="007823C6" w:rsidRPr="00EA7B41">
            <w:rPr>
              <w:noProof/>
              <w:sz w:val="22"/>
              <w:szCs w:val="36"/>
            </w:rPr>
            <w:instrText xml:space="preserve"> PAGE   \* MERGEFORMAT </w:instrText>
          </w:r>
          <w:r w:rsidR="007823C6" w:rsidRPr="00EA7B41">
            <w:rPr>
              <w:noProof/>
              <w:sz w:val="22"/>
              <w:szCs w:val="36"/>
            </w:rPr>
            <w:fldChar w:fldCharType="separate"/>
          </w:r>
          <w:r w:rsidR="002464BC" w:rsidRPr="00EA7B41">
            <w:rPr>
              <w:noProof/>
              <w:sz w:val="22"/>
              <w:szCs w:val="36"/>
            </w:rPr>
            <w:t>A-1</w:t>
          </w:r>
          <w:r w:rsidR="007823C6" w:rsidRPr="00EA7B41">
            <w:rPr>
              <w:noProof/>
              <w:sz w:val="22"/>
              <w:szCs w:val="36"/>
            </w:rPr>
            <w:fldChar w:fldCharType="end"/>
          </w:r>
        </w:p>
      </w:tc>
    </w:tr>
    <w:tr w:rsidR="007823C6" w:rsidRPr="00634AD5" w14:paraId="43B81592" w14:textId="77777777" w:rsidTr="00BE33A9">
      <w:tc>
        <w:tcPr>
          <w:tcW w:w="5000" w:type="pct"/>
          <w:gridSpan w:val="3"/>
        </w:tcPr>
        <w:p w14:paraId="76916AB8" w14:textId="4F353355" w:rsidR="007823C6" w:rsidRPr="00634AD5" w:rsidRDefault="009A7D9E" w:rsidP="009F1DC5">
          <w:pPr>
            <w:pStyle w:val="Footer"/>
            <w:jc w:val="center"/>
          </w:pPr>
          <w:r w:rsidRPr="009A7D9E">
            <w:rPr>
              <w:i/>
              <w:iCs/>
              <w:sz w:val="20"/>
            </w:rPr>
            <w:t>Use or disclosure of data contained on this sheet is subject to the restriction on the title page of this proposal</w:t>
          </w:r>
          <w:r w:rsidRPr="00045C78">
            <w:rPr>
              <w:sz w:val="20"/>
            </w:rPr>
            <w:t>.</w:t>
          </w:r>
        </w:p>
      </w:tc>
    </w:tr>
  </w:tbl>
  <w:p w14:paraId="08205E48" w14:textId="77777777" w:rsidR="007823C6" w:rsidRPr="00BE33A9" w:rsidRDefault="007823C6">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C9DA" w14:textId="77777777" w:rsidR="00452672" w:rsidRDefault="00452672" w:rsidP="00EE5FD8">
      <w:pPr>
        <w:spacing w:after="0"/>
      </w:pPr>
      <w:r>
        <w:separator/>
      </w:r>
    </w:p>
  </w:footnote>
  <w:footnote w:type="continuationSeparator" w:id="0">
    <w:p w14:paraId="5E7DDE03" w14:textId="77777777" w:rsidR="00452672" w:rsidRDefault="00452672" w:rsidP="00EE5F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A71D" w14:textId="3EA6F088" w:rsidR="00ED3725" w:rsidRPr="008974C5" w:rsidRDefault="00ED3725" w:rsidP="00ED3725">
    <w:pPr>
      <w:pStyle w:val="Header"/>
      <w:tabs>
        <w:tab w:val="clear" w:pos="9360"/>
      </w:tabs>
      <w:ind w:left="2880"/>
      <w:rPr>
        <w:rFonts w:cs="Times New Roman"/>
        <w:color w:val="595959" w:themeColor="text1" w:themeTint="A6"/>
        <w:sz w:val="20"/>
        <w:szCs w:val="20"/>
      </w:rPr>
    </w:pPr>
    <w:r w:rsidRPr="008974C5">
      <w:rPr>
        <w:rFonts w:cs="Times New Roman"/>
        <w:noProof/>
        <w:color w:val="595959" w:themeColor="text1" w:themeTint="A6"/>
        <w:sz w:val="20"/>
        <w:szCs w:val="20"/>
      </w:rPr>
      <w:drawing>
        <wp:anchor distT="0" distB="0" distL="114300" distR="114300" simplePos="0" relativeHeight="251664384" behindDoc="0" locked="0" layoutInCell="1" allowOverlap="1" wp14:anchorId="2B31AAED" wp14:editId="2B771A8B">
          <wp:simplePos x="0" y="0"/>
          <wp:positionH relativeFrom="margin">
            <wp:align>left</wp:align>
          </wp:positionH>
          <wp:positionV relativeFrom="paragraph">
            <wp:posOffset>-19486</wp:posOffset>
          </wp:positionV>
          <wp:extent cx="1467403" cy="38896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67403" cy="388961"/>
                  </a:xfrm>
                  <a:prstGeom prst="rect">
                    <a:avLst/>
                  </a:prstGeom>
                  <a:noFill/>
                </pic:spPr>
              </pic:pic>
            </a:graphicData>
          </a:graphic>
          <wp14:sizeRelH relativeFrom="margin">
            <wp14:pctWidth>0</wp14:pctWidth>
          </wp14:sizeRelH>
          <wp14:sizeRelV relativeFrom="margin">
            <wp14:pctHeight>0</wp14:pctHeight>
          </wp14:sizeRelV>
        </wp:anchor>
      </w:drawing>
    </w:r>
    <w:r w:rsidRPr="008974C5">
      <w:rPr>
        <w:rFonts w:cs="Times New Roman"/>
        <w:color w:val="595959" w:themeColor="text1" w:themeTint="A6"/>
        <w:sz w:val="20"/>
        <w:szCs w:val="20"/>
      </w:rPr>
      <w:fldChar w:fldCharType="begin"/>
    </w:r>
    <w:r w:rsidRPr="008974C5">
      <w:rPr>
        <w:rFonts w:cs="Times New Roman"/>
        <w:color w:val="595959" w:themeColor="text1" w:themeTint="A6"/>
        <w:sz w:val="20"/>
        <w:szCs w:val="20"/>
      </w:rPr>
      <w:instrText xml:space="preserve"> QUOTE   \* MERGEFORMAT </w:instrText>
    </w:r>
    <w:r w:rsidRPr="008974C5">
      <w:rPr>
        <w:rFonts w:cs="Times New Roman"/>
        <w:color w:val="595959" w:themeColor="text1" w:themeTint="A6"/>
        <w:sz w:val="20"/>
        <w:szCs w:val="20"/>
      </w:rPr>
      <w:fldChar w:fldCharType="end"/>
    </w:r>
    <w:r w:rsidR="00EA7B41">
      <w:rPr>
        <w:rFonts w:cs="Times New Roman"/>
        <w:color w:val="595959" w:themeColor="text1" w:themeTint="A6"/>
        <w:sz w:val="20"/>
        <w:szCs w:val="20"/>
      </w:rPr>
      <w:t xml:space="preserve">US </w:t>
    </w:r>
    <w:r w:rsidR="00EA7B41" w:rsidRPr="00EA7B41">
      <w:rPr>
        <w:rFonts w:cs="Times New Roman"/>
        <w:color w:val="595959" w:themeColor="text1" w:themeTint="A6"/>
        <w:sz w:val="20"/>
        <w:szCs w:val="20"/>
      </w:rPr>
      <w:t>Citizenship and Immigration Services</w:t>
    </w:r>
    <w:r w:rsidR="00EA7B41">
      <w:rPr>
        <w:rFonts w:cs="Times New Roman"/>
        <w:color w:val="595959" w:themeColor="text1" w:themeTint="A6"/>
        <w:sz w:val="20"/>
        <w:szCs w:val="20"/>
      </w:rPr>
      <w:t xml:space="preserve"> (USCIS</w:t>
    </w:r>
    <w:r w:rsidR="00871AE5" w:rsidRPr="00871AE5">
      <w:rPr>
        <w:rFonts w:cs="Times New Roman"/>
        <w:color w:val="595959" w:themeColor="text1" w:themeTint="A6"/>
        <w:sz w:val="20"/>
        <w:szCs w:val="20"/>
      </w:rPr>
      <w:t>)</w:t>
    </w:r>
  </w:p>
  <w:p w14:paraId="41500D7A" w14:textId="15FD243F" w:rsidR="00ED3725" w:rsidRPr="008974C5" w:rsidRDefault="00ED3725" w:rsidP="00ED3725">
    <w:pPr>
      <w:pStyle w:val="Header"/>
      <w:tabs>
        <w:tab w:val="clear" w:pos="9360"/>
      </w:tabs>
      <w:ind w:left="2880"/>
      <w:rPr>
        <w:rFonts w:cs="Times New Roman"/>
        <w:color w:val="595959" w:themeColor="text1" w:themeTint="A6"/>
        <w:sz w:val="20"/>
        <w:szCs w:val="20"/>
      </w:rPr>
    </w:pPr>
    <w:r w:rsidRPr="008974C5">
      <w:rPr>
        <w:rFonts w:cs="Times New Roman"/>
        <w:color w:val="595959" w:themeColor="text1" w:themeTint="A6"/>
        <w:sz w:val="20"/>
        <w:szCs w:val="20"/>
      </w:rPr>
      <w:t>Solicitation #</w:t>
    </w:r>
    <w:r w:rsidR="00EA7B41" w:rsidRPr="00EA7B41">
      <w:t xml:space="preserve"> </w:t>
    </w:r>
    <w:r w:rsidR="00EA7B41" w:rsidRPr="00EA7B41">
      <w:rPr>
        <w:rFonts w:cs="Times New Roman"/>
        <w:color w:val="595959" w:themeColor="text1" w:themeTint="A6"/>
        <w:sz w:val="20"/>
        <w:szCs w:val="20"/>
      </w:rPr>
      <w:t>70SBUR23Q00000009</w:t>
    </w:r>
  </w:p>
  <w:p w14:paraId="5BB85E1D" w14:textId="2744BB8B" w:rsidR="0030364E" w:rsidRPr="00ED3725" w:rsidRDefault="00EA7B41" w:rsidP="00ED3725">
    <w:pPr>
      <w:pStyle w:val="Header"/>
      <w:tabs>
        <w:tab w:val="clear" w:pos="9360"/>
      </w:tabs>
      <w:ind w:left="2880"/>
      <w:rPr>
        <w:rFonts w:asciiTheme="minorHAnsi" w:hAnsiTheme="minorHAnsi" w:cstheme="minorHAnsi"/>
        <w:b/>
        <w:bCs/>
        <w:color w:val="595959" w:themeColor="text1" w:themeTint="A6"/>
        <w:sz w:val="20"/>
        <w:szCs w:val="20"/>
      </w:rPr>
    </w:pPr>
    <w:r w:rsidRPr="00EA7B41">
      <w:rPr>
        <w:rFonts w:cs="Times New Roman"/>
        <w:b/>
        <w:bCs/>
        <w:color w:val="595959" w:themeColor="text1" w:themeTint="A6"/>
        <w:sz w:val="20"/>
        <w:szCs w:val="20"/>
      </w:rPr>
      <w:t xml:space="preserve">Enterprise Platform for Integrated Citizen Development </w:t>
    </w:r>
    <w:r>
      <w:rPr>
        <w:rFonts w:cs="Times New Roman"/>
        <w:b/>
        <w:bCs/>
        <w:color w:val="595959" w:themeColor="text1" w:themeTint="A6"/>
        <w:sz w:val="20"/>
        <w:szCs w:val="20"/>
      </w:rPr>
      <w:t>(EPIC)</w:t>
    </w:r>
    <w:r w:rsidR="009A7D9E">
      <w:rPr>
        <w:rFonts w:asciiTheme="minorHAnsi" w:hAnsiTheme="minorHAnsi" w:cstheme="minorHAnsi"/>
        <w:b/>
        <w:bCs/>
        <w:color w:val="595959" w:themeColor="text1" w:themeTint="A6"/>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725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499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8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C0F9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4AA6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C229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6023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FC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4425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E2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6725C"/>
    <w:multiLevelType w:val="multilevel"/>
    <w:tmpl w:val="EAFC47E4"/>
    <w:lvl w:ilvl="0">
      <w:start w:val="1"/>
      <w:numFmt w:val="decimal"/>
      <w:pStyle w:val="Heading1"/>
      <w:lvlText w:val="%1.0"/>
      <w:lvlJc w:val="left"/>
      <w:pPr>
        <w:ind w:left="1774" w:hanging="432"/>
      </w:pPr>
      <w:rPr>
        <w:rFonts w:hint="default"/>
      </w:rPr>
    </w:lvl>
    <w:lvl w:ilvl="1">
      <w:start w:val="1"/>
      <w:numFmt w:val="decimal"/>
      <w:pStyle w:val="Heading2"/>
      <w:lvlText w:val="%1.%2"/>
      <w:lvlJc w:val="left"/>
      <w:pPr>
        <w:ind w:left="1918" w:hanging="576"/>
      </w:pPr>
      <w:rPr>
        <w:rFonts w:hint="default"/>
      </w:rPr>
    </w:lvl>
    <w:lvl w:ilvl="2">
      <w:start w:val="1"/>
      <w:numFmt w:val="decimal"/>
      <w:pStyle w:val="Heading3"/>
      <w:lvlText w:val="%1.%2.%3"/>
      <w:lvlJc w:val="left"/>
      <w:pPr>
        <w:ind w:left="2062" w:hanging="720"/>
      </w:pPr>
      <w:rPr>
        <w:rFonts w:hint="default"/>
      </w:rPr>
    </w:lvl>
    <w:lvl w:ilvl="3">
      <w:start w:val="1"/>
      <w:numFmt w:val="decimal"/>
      <w:pStyle w:val="Heading4"/>
      <w:lvlText w:val="%1.%2.%3.%4"/>
      <w:lvlJc w:val="left"/>
      <w:pPr>
        <w:ind w:left="2206" w:hanging="864"/>
      </w:pPr>
      <w:rPr>
        <w:rFonts w:hint="default"/>
      </w:rPr>
    </w:lvl>
    <w:lvl w:ilvl="4">
      <w:start w:val="1"/>
      <w:numFmt w:val="decimal"/>
      <w:pStyle w:val="Heading5"/>
      <w:lvlText w:val="%1.%2.%3.%4.%5"/>
      <w:lvlJc w:val="left"/>
      <w:pPr>
        <w:ind w:left="2350" w:hanging="1008"/>
      </w:pPr>
      <w:rPr>
        <w:rFonts w:hint="default"/>
      </w:rPr>
    </w:lvl>
    <w:lvl w:ilvl="5">
      <w:start w:val="1"/>
      <w:numFmt w:val="decimal"/>
      <w:pStyle w:val="Heading6"/>
      <w:lvlText w:val="%1.%2.%3.%4.%5.%6"/>
      <w:lvlJc w:val="left"/>
      <w:pPr>
        <w:ind w:left="2494" w:hanging="1152"/>
      </w:pPr>
      <w:rPr>
        <w:rFonts w:hint="default"/>
      </w:rPr>
    </w:lvl>
    <w:lvl w:ilvl="6">
      <w:start w:val="1"/>
      <w:numFmt w:val="decimal"/>
      <w:lvlText w:val="%1.%2.%3.%4.%5.%6.%7"/>
      <w:lvlJc w:val="left"/>
      <w:pPr>
        <w:ind w:left="2638" w:hanging="1296"/>
      </w:pPr>
      <w:rPr>
        <w:rFonts w:hint="default"/>
      </w:rPr>
    </w:lvl>
    <w:lvl w:ilvl="7">
      <w:start w:val="1"/>
      <w:numFmt w:val="decimal"/>
      <w:pStyle w:val="Heading8"/>
      <w:lvlText w:val="%1.%2.%3.%4.%5.%6.%7.%8"/>
      <w:lvlJc w:val="left"/>
      <w:pPr>
        <w:ind w:left="2782" w:hanging="1440"/>
      </w:pPr>
      <w:rPr>
        <w:rFonts w:hint="default"/>
      </w:rPr>
    </w:lvl>
    <w:lvl w:ilvl="8">
      <w:start w:val="1"/>
      <w:numFmt w:val="decimal"/>
      <w:pStyle w:val="Heading9"/>
      <w:lvlText w:val="%1.%2.%3.%4.%5.%6.%7.%8.%9"/>
      <w:lvlJc w:val="left"/>
      <w:pPr>
        <w:ind w:left="2926" w:hanging="1584"/>
      </w:pPr>
      <w:rPr>
        <w:rFonts w:hint="default"/>
      </w:rPr>
    </w:lvl>
  </w:abstractNum>
  <w:abstractNum w:abstractNumId="11" w15:restartNumberingAfterBreak="0">
    <w:nsid w:val="09C341A4"/>
    <w:multiLevelType w:val="hybridMultilevel"/>
    <w:tmpl w:val="FAD2D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D42DED"/>
    <w:multiLevelType w:val="hybridMultilevel"/>
    <w:tmpl w:val="C5BC5C2C"/>
    <w:lvl w:ilvl="0" w:tplc="6A883C04">
      <w:start w:val="1"/>
      <w:numFmt w:val="bullet"/>
      <w:pStyle w:val="TSBulletL1"/>
      <w:lvlText w:val=""/>
      <w:lvlJc w:val="left"/>
      <w:pPr>
        <w:ind w:left="360" w:hanging="360"/>
      </w:pPr>
      <w:rPr>
        <w:rFonts w:ascii="Wingdings" w:hAnsi="Wingdings" w:hint="default"/>
        <w:color w:val="5959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8A1F44"/>
    <w:multiLevelType w:val="hybridMultilevel"/>
    <w:tmpl w:val="4F8E7412"/>
    <w:lvl w:ilvl="0" w:tplc="6A744D7A">
      <w:start w:val="1"/>
      <w:numFmt w:val="lowerRoman"/>
      <w:pStyle w:val="TSNumberList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3D41B5"/>
    <w:multiLevelType w:val="multilevel"/>
    <w:tmpl w:val="BF187D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EBE719B"/>
    <w:multiLevelType w:val="hybridMultilevel"/>
    <w:tmpl w:val="E1949988"/>
    <w:lvl w:ilvl="0" w:tplc="76704860">
      <w:start w:val="1"/>
      <w:numFmt w:val="bullet"/>
      <w:lvlText w:val=""/>
      <w:lvlJc w:val="left"/>
      <w:pPr>
        <w:ind w:left="360" w:hanging="360"/>
      </w:pPr>
      <w:rPr>
        <w:rFonts w:ascii="Wingdings" w:hAnsi="Wingdings" w:hint="default"/>
        <w:color w:val="5493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81E0A"/>
    <w:multiLevelType w:val="hybridMultilevel"/>
    <w:tmpl w:val="24505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F2C91"/>
    <w:multiLevelType w:val="multilevel"/>
    <w:tmpl w:val="80F605D8"/>
    <w:lvl w:ilvl="0">
      <w:start w:val="1"/>
      <w:numFmt w:val="upperLetter"/>
      <w:pStyle w:val="Heading7"/>
      <w:lvlText w:val="APPENDIX %1."/>
      <w:lvlJc w:val="left"/>
      <w:pPr>
        <w:ind w:left="720" w:hanging="360"/>
      </w:pPr>
      <w:rPr>
        <w:rFonts w:ascii="Times New Roman Bold" w:hAnsi="Times New Roman Bold"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7DA558E"/>
    <w:multiLevelType w:val="hybridMultilevel"/>
    <w:tmpl w:val="F2B2555A"/>
    <w:lvl w:ilvl="0" w:tplc="B608D502">
      <w:start w:val="1"/>
      <w:numFmt w:val="decimal"/>
      <w:pStyle w:val="TSNumber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931CB"/>
    <w:multiLevelType w:val="hybridMultilevel"/>
    <w:tmpl w:val="40DC8B10"/>
    <w:lvl w:ilvl="0" w:tplc="865E40E8">
      <w:start w:val="1"/>
      <w:numFmt w:val="lowerLetter"/>
      <w:pStyle w:val="TSNumber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A07A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231634"/>
    <w:multiLevelType w:val="hybridMultilevel"/>
    <w:tmpl w:val="0C7676DC"/>
    <w:lvl w:ilvl="0" w:tplc="235263E0">
      <w:start w:val="1"/>
      <w:numFmt w:val="bullet"/>
      <w:pStyle w:val="TSBulletL3"/>
      <w:lvlText w:val=""/>
      <w:lvlJc w:val="left"/>
      <w:pPr>
        <w:ind w:left="922" w:hanging="360"/>
      </w:pPr>
      <w:rPr>
        <w:rFonts w:ascii="Wingdings" w:hAnsi="Wingdings" w:hint="default"/>
        <w:b w:val="0"/>
        <w:i w:val="0"/>
        <w:caps w:val="0"/>
        <w:strike w:val="0"/>
        <w:dstrike w:val="0"/>
        <w:vanish w:val="0"/>
        <w:color w:val="5493A4"/>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A528C"/>
    <w:multiLevelType w:val="hybridMultilevel"/>
    <w:tmpl w:val="77F67536"/>
    <w:lvl w:ilvl="0" w:tplc="30AE0BA8">
      <w:start w:val="1"/>
      <w:numFmt w:val="bullet"/>
      <w:pStyle w:val="TSTableBullet1"/>
      <w:lvlText w:val=""/>
      <w:lvlJc w:val="left"/>
      <w:pPr>
        <w:ind w:left="720" w:hanging="360"/>
      </w:pPr>
      <w:rPr>
        <w:rFonts w:ascii="Wingdings" w:hAnsi="Wingdings" w:hint="default"/>
        <w:color w:val="005B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A5FAC"/>
    <w:multiLevelType w:val="hybridMultilevel"/>
    <w:tmpl w:val="3B92B536"/>
    <w:lvl w:ilvl="0" w:tplc="65804888">
      <w:start w:val="1"/>
      <w:numFmt w:val="bullet"/>
      <w:pStyle w:val="TSBulletL2"/>
      <w:lvlText w:val=""/>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C0803"/>
    <w:multiLevelType w:val="hybridMultilevel"/>
    <w:tmpl w:val="8F204452"/>
    <w:lvl w:ilvl="0" w:tplc="67965216">
      <w:start w:val="1"/>
      <w:numFmt w:val="bullet"/>
      <w:pStyle w:val="TSBulletL4"/>
      <w:lvlText w:val=""/>
      <w:lvlJc w:val="left"/>
      <w:pPr>
        <w:ind w:left="1166" w:hanging="360"/>
      </w:pPr>
      <w:rPr>
        <w:rFonts w:ascii="Wingdings" w:hAnsi="Wingdings" w:hint="default"/>
        <w:color w:val="5493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864CD2"/>
    <w:multiLevelType w:val="hybridMultilevel"/>
    <w:tmpl w:val="F07A167C"/>
    <w:lvl w:ilvl="0" w:tplc="D6CAC376">
      <w:start w:val="1"/>
      <w:numFmt w:val="bullet"/>
      <w:pStyle w:val="TSTableBullet3"/>
      <w:lvlText w:val=""/>
      <w:lvlJc w:val="left"/>
      <w:pPr>
        <w:ind w:left="720" w:hanging="360"/>
      </w:pPr>
      <w:rPr>
        <w:rFonts w:ascii="Symbol" w:hAnsi="Symbol" w:hint="default"/>
        <w:b w:val="0"/>
        <w:i w:val="0"/>
        <w:caps w:val="0"/>
        <w:strike w:val="0"/>
        <w:dstrike w:val="0"/>
        <w:vanish w:val="0"/>
        <w:color w:val="336699"/>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30B0E"/>
    <w:multiLevelType w:val="hybridMultilevel"/>
    <w:tmpl w:val="0E3ED77C"/>
    <w:lvl w:ilvl="0" w:tplc="4B205DBC">
      <w:start w:val="1"/>
      <w:numFmt w:val="bullet"/>
      <w:pStyle w:val="TSTableBullet2"/>
      <w:lvlText w:val=""/>
      <w:lvlJc w:val="left"/>
      <w:pPr>
        <w:ind w:left="720" w:hanging="360"/>
      </w:pPr>
      <w:rPr>
        <w:rFonts w:ascii="Symbol" w:hAnsi="Symbol" w:hint="default"/>
        <w:color w:val="005B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14C4E"/>
    <w:multiLevelType w:val="hybridMultilevel"/>
    <w:tmpl w:val="025494E6"/>
    <w:lvl w:ilvl="0" w:tplc="7CB246DC">
      <w:start w:val="1"/>
      <w:numFmt w:val="bullet"/>
      <w:pStyle w:val="TSFocusBoxBullet"/>
      <w:lvlText w:val=""/>
      <w:lvlJc w:val="left"/>
      <w:pPr>
        <w:ind w:left="360" w:hanging="360"/>
      </w:pPr>
      <w:rPr>
        <w:rFonts w:ascii="Wingdings" w:hAnsi="Wingdings" w:hint="default"/>
        <w:color w:val="59595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883818">
    <w:abstractNumId w:val="16"/>
  </w:num>
  <w:num w:numId="2" w16cid:durableId="1320698134">
    <w:abstractNumId w:val="20"/>
  </w:num>
  <w:num w:numId="3" w16cid:durableId="642391682">
    <w:abstractNumId w:val="10"/>
  </w:num>
  <w:num w:numId="4" w16cid:durableId="1792163336">
    <w:abstractNumId w:val="14"/>
  </w:num>
  <w:num w:numId="5" w16cid:durableId="1668630516">
    <w:abstractNumId w:val="17"/>
  </w:num>
  <w:num w:numId="6" w16cid:durableId="1747460451">
    <w:abstractNumId w:val="12"/>
  </w:num>
  <w:num w:numId="7" w16cid:durableId="1994719715">
    <w:abstractNumId w:val="27"/>
  </w:num>
  <w:num w:numId="8" w16cid:durableId="187842715">
    <w:abstractNumId w:val="15"/>
  </w:num>
  <w:num w:numId="9" w16cid:durableId="598870837">
    <w:abstractNumId w:val="23"/>
  </w:num>
  <w:num w:numId="10" w16cid:durableId="1898323018">
    <w:abstractNumId w:val="21"/>
  </w:num>
  <w:num w:numId="11" w16cid:durableId="2106807834">
    <w:abstractNumId w:val="24"/>
  </w:num>
  <w:num w:numId="12" w16cid:durableId="1040206199">
    <w:abstractNumId w:val="18"/>
  </w:num>
  <w:num w:numId="13" w16cid:durableId="1268273885">
    <w:abstractNumId w:val="19"/>
  </w:num>
  <w:num w:numId="14" w16cid:durableId="1451431708">
    <w:abstractNumId w:val="13"/>
  </w:num>
  <w:num w:numId="15" w16cid:durableId="1566795901">
    <w:abstractNumId w:val="22"/>
  </w:num>
  <w:num w:numId="16" w16cid:durableId="747969193">
    <w:abstractNumId w:val="26"/>
  </w:num>
  <w:num w:numId="17" w16cid:durableId="49571615">
    <w:abstractNumId w:val="25"/>
  </w:num>
  <w:num w:numId="18" w16cid:durableId="1332953764">
    <w:abstractNumId w:val="11"/>
  </w:num>
  <w:num w:numId="19" w16cid:durableId="1880823892">
    <w:abstractNumId w:val="9"/>
  </w:num>
  <w:num w:numId="20" w16cid:durableId="585922110">
    <w:abstractNumId w:val="7"/>
  </w:num>
  <w:num w:numId="21" w16cid:durableId="850409247">
    <w:abstractNumId w:val="6"/>
  </w:num>
  <w:num w:numId="22" w16cid:durableId="2003656403">
    <w:abstractNumId w:val="5"/>
  </w:num>
  <w:num w:numId="23" w16cid:durableId="1098212096">
    <w:abstractNumId w:val="4"/>
  </w:num>
  <w:num w:numId="24" w16cid:durableId="1755780796">
    <w:abstractNumId w:val="8"/>
  </w:num>
  <w:num w:numId="25" w16cid:durableId="1409419693">
    <w:abstractNumId w:val="3"/>
  </w:num>
  <w:num w:numId="26" w16cid:durableId="1161970909">
    <w:abstractNumId w:val="2"/>
  </w:num>
  <w:num w:numId="27" w16cid:durableId="569509115">
    <w:abstractNumId w:val="1"/>
  </w:num>
  <w:num w:numId="28" w16cid:durableId="14209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2MzQwtDCzMDY1NbFU0lEKTi0uzszPAykwqwUAByxsbSwAAAA="/>
  </w:docVars>
  <w:rsids>
    <w:rsidRoot w:val="00DA0376"/>
    <w:rsid w:val="00001C95"/>
    <w:rsid w:val="00005C78"/>
    <w:rsid w:val="000100D7"/>
    <w:rsid w:val="000211BF"/>
    <w:rsid w:val="000451FC"/>
    <w:rsid w:val="00045C78"/>
    <w:rsid w:val="0005244A"/>
    <w:rsid w:val="00062673"/>
    <w:rsid w:val="00062BF6"/>
    <w:rsid w:val="00087FBA"/>
    <w:rsid w:val="00092E16"/>
    <w:rsid w:val="000B58B6"/>
    <w:rsid w:val="000C34C5"/>
    <w:rsid w:val="000D0AF5"/>
    <w:rsid w:val="000F3BC4"/>
    <w:rsid w:val="000F45EF"/>
    <w:rsid w:val="000F72D3"/>
    <w:rsid w:val="00104C23"/>
    <w:rsid w:val="001373F0"/>
    <w:rsid w:val="00137E91"/>
    <w:rsid w:val="00166546"/>
    <w:rsid w:val="001B3F5A"/>
    <w:rsid w:val="001B50A0"/>
    <w:rsid w:val="001C3548"/>
    <w:rsid w:val="001C5DFC"/>
    <w:rsid w:val="001D3EE7"/>
    <w:rsid w:val="001F5BF6"/>
    <w:rsid w:val="00200730"/>
    <w:rsid w:val="002024DA"/>
    <w:rsid w:val="00215CD8"/>
    <w:rsid w:val="00225748"/>
    <w:rsid w:val="002350A6"/>
    <w:rsid w:val="00241B1B"/>
    <w:rsid w:val="002447E2"/>
    <w:rsid w:val="002464BC"/>
    <w:rsid w:val="00246904"/>
    <w:rsid w:val="00254B15"/>
    <w:rsid w:val="00265914"/>
    <w:rsid w:val="00271FCB"/>
    <w:rsid w:val="00275C57"/>
    <w:rsid w:val="002805B0"/>
    <w:rsid w:val="00290635"/>
    <w:rsid w:val="002A3737"/>
    <w:rsid w:val="002A6DAB"/>
    <w:rsid w:val="002B265F"/>
    <w:rsid w:val="002C0241"/>
    <w:rsid w:val="002C2FF6"/>
    <w:rsid w:val="002D0986"/>
    <w:rsid w:val="002E1E0B"/>
    <w:rsid w:val="002E6224"/>
    <w:rsid w:val="002F393E"/>
    <w:rsid w:val="0030364E"/>
    <w:rsid w:val="00311864"/>
    <w:rsid w:val="00321AF7"/>
    <w:rsid w:val="00324343"/>
    <w:rsid w:val="00335D72"/>
    <w:rsid w:val="00361450"/>
    <w:rsid w:val="00362432"/>
    <w:rsid w:val="003677FB"/>
    <w:rsid w:val="003829B9"/>
    <w:rsid w:val="003B368A"/>
    <w:rsid w:val="003B3DC2"/>
    <w:rsid w:val="003D311D"/>
    <w:rsid w:val="003E67CD"/>
    <w:rsid w:val="003F6159"/>
    <w:rsid w:val="00413D9C"/>
    <w:rsid w:val="00424013"/>
    <w:rsid w:val="004254F9"/>
    <w:rsid w:val="00427D81"/>
    <w:rsid w:val="00445B00"/>
    <w:rsid w:val="00452672"/>
    <w:rsid w:val="00456B21"/>
    <w:rsid w:val="00456ECC"/>
    <w:rsid w:val="004630AF"/>
    <w:rsid w:val="004643B7"/>
    <w:rsid w:val="00475D7E"/>
    <w:rsid w:val="00476E3D"/>
    <w:rsid w:val="004966D1"/>
    <w:rsid w:val="004A0201"/>
    <w:rsid w:val="004A4D6E"/>
    <w:rsid w:val="004E66A8"/>
    <w:rsid w:val="004F1F90"/>
    <w:rsid w:val="004F59D7"/>
    <w:rsid w:val="0050536A"/>
    <w:rsid w:val="005067E4"/>
    <w:rsid w:val="005211BF"/>
    <w:rsid w:val="00530833"/>
    <w:rsid w:val="005327A9"/>
    <w:rsid w:val="0055118E"/>
    <w:rsid w:val="005743C2"/>
    <w:rsid w:val="00586E53"/>
    <w:rsid w:val="005A4E1B"/>
    <w:rsid w:val="005B55D9"/>
    <w:rsid w:val="005B749E"/>
    <w:rsid w:val="005B7D62"/>
    <w:rsid w:val="005D394C"/>
    <w:rsid w:val="00612DB0"/>
    <w:rsid w:val="00634AD5"/>
    <w:rsid w:val="00671C6A"/>
    <w:rsid w:val="0068499E"/>
    <w:rsid w:val="006923D1"/>
    <w:rsid w:val="006964D2"/>
    <w:rsid w:val="006A3ABE"/>
    <w:rsid w:val="006F195F"/>
    <w:rsid w:val="006F67F3"/>
    <w:rsid w:val="00700259"/>
    <w:rsid w:val="0070175B"/>
    <w:rsid w:val="00710B5B"/>
    <w:rsid w:val="00715F83"/>
    <w:rsid w:val="00742C05"/>
    <w:rsid w:val="00743AEF"/>
    <w:rsid w:val="007530FB"/>
    <w:rsid w:val="007716EE"/>
    <w:rsid w:val="007823C6"/>
    <w:rsid w:val="007864C2"/>
    <w:rsid w:val="00787CA1"/>
    <w:rsid w:val="007B4070"/>
    <w:rsid w:val="007B5088"/>
    <w:rsid w:val="007E627C"/>
    <w:rsid w:val="007F59BB"/>
    <w:rsid w:val="00821449"/>
    <w:rsid w:val="0084384A"/>
    <w:rsid w:val="008509BA"/>
    <w:rsid w:val="008544B1"/>
    <w:rsid w:val="008609DA"/>
    <w:rsid w:val="00871AE5"/>
    <w:rsid w:val="008741F8"/>
    <w:rsid w:val="00892D10"/>
    <w:rsid w:val="008974C5"/>
    <w:rsid w:val="008A039E"/>
    <w:rsid w:val="008B3F99"/>
    <w:rsid w:val="008D68BA"/>
    <w:rsid w:val="008E3EF1"/>
    <w:rsid w:val="008F0664"/>
    <w:rsid w:val="008F4A03"/>
    <w:rsid w:val="009002F9"/>
    <w:rsid w:val="0090629C"/>
    <w:rsid w:val="00907DDC"/>
    <w:rsid w:val="00910628"/>
    <w:rsid w:val="00913115"/>
    <w:rsid w:val="0091331D"/>
    <w:rsid w:val="009153C3"/>
    <w:rsid w:val="009160C1"/>
    <w:rsid w:val="00924069"/>
    <w:rsid w:val="00945AAD"/>
    <w:rsid w:val="00955848"/>
    <w:rsid w:val="0097244C"/>
    <w:rsid w:val="009A7D9E"/>
    <w:rsid w:val="009B5480"/>
    <w:rsid w:val="009C0045"/>
    <w:rsid w:val="009D4241"/>
    <w:rsid w:val="009D4B66"/>
    <w:rsid w:val="009F07D5"/>
    <w:rsid w:val="009F1DC5"/>
    <w:rsid w:val="00A4185A"/>
    <w:rsid w:val="00A56D0C"/>
    <w:rsid w:val="00A66539"/>
    <w:rsid w:val="00A94B3D"/>
    <w:rsid w:val="00A974E0"/>
    <w:rsid w:val="00AA0AB3"/>
    <w:rsid w:val="00AB44C2"/>
    <w:rsid w:val="00AD0E5A"/>
    <w:rsid w:val="00AD70A7"/>
    <w:rsid w:val="00AF5102"/>
    <w:rsid w:val="00B065D6"/>
    <w:rsid w:val="00B15D4C"/>
    <w:rsid w:val="00B246F5"/>
    <w:rsid w:val="00B25108"/>
    <w:rsid w:val="00B30EE1"/>
    <w:rsid w:val="00B52E59"/>
    <w:rsid w:val="00B53B26"/>
    <w:rsid w:val="00B80812"/>
    <w:rsid w:val="00B83EA6"/>
    <w:rsid w:val="00BB49C3"/>
    <w:rsid w:val="00BC1800"/>
    <w:rsid w:val="00BC3FF0"/>
    <w:rsid w:val="00BC7C42"/>
    <w:rsid w:val="00BD20F7"/>
    <w:rsid w:val="00BE2992"/>
    <w:rsid w:val="00BE33A9"/>
    <w:rsid w:val="00BE5CB1"/>
    <w:rsid w:val="00BF3E01"/>
    <w:rsid w:val="00C27323"/>
    <w:rsid w:val="00C54340"/>
    <w:rsid w:val="00C87404"/>
    <w:rsid w:val="00CC4EAC"/>
    <w:rsid w:val="00CC7717"/>
    <w:rsid w:val="00CD4041"/>
    <w:rsid w:val="00CD5FBF"/>
    <w:rsid w:val="00CF65FF"/>
    <w:rsid w:val="00D0179A"/>
    <w:rsid w:val="00D045FA"/>
    <w:rsid w:val="00D23E79"/>
    <w:rsid w:val="00D32E52"/>
    <w:rsid w:val="00D3618D"/>
    <w:rsid w:val="00D43D2B"/>
    <w:rsid w:val="00D52152"/>
    <w:rsid w:val="00D8541C"/>
    <w:rsid w:val="00D87755"/>
    <w:rsid w:val="00D92383"/>
    <w:rsid w:val="00D95E6A"/>
    <w:rsid w:val="00DA0376"/>
    <w:rsid w:val="00DA7D14"/>
    <w:rsid w:val="00DF3ADE"/>
    <w:rsid w:val="00DF6EBE"/>
    <w:rsid w:val="00E0779F"/>
    <w:rsid w:val="00E07CFB"/>
    <w:rsid w:val="00E17A18"/>
    <w:rsid w:val="00E2228A"/>
    <w:rsid w:val="00E26C2A"/>
    <w:rsid w:val="00E541E7"/>
    <w:rsid w:val="00E71EC8"/>
    <w:rsid w:val="00E77B59"/>
    <w:rsid w:val="00E835DD"/>
    <w:rsid w:val="00E85CFB"/>
    <w:rsid w:val="00E86546"/>
    <w:rsid w:val="00EA7B41"/>
    <w:rsid w:val="00EB1431"/>
    <w:rsid w:val="00EC61FC"/>
    <w:rsid w:val="00ED3725"/>
    <w:rsid w:val="00EE0A5B"/>
    <w:rsid w:val="00EE5FD8"/>
    <w:rsid w:val="00EE7C2F"/>
    <w:rsid w:val="00EF2414"/>
    <w:rsid w:val="00F01AB8"/>
    <w:rsid w:val="00F20F71"/>
    <w:rsid w:val="00F23A85"/>
    <w:rsid w:val="00F3097E"/>
    <w:rsid w:val="00F4665F"/>
    <w:rsid w:val="00F47E83"/>
    <w:rsid w:val="00F53428"/>
    <w:rsid w:val="00F670B6"/>
    <w:rsid w:val="00F672CB"/>
    <w:rsid w:val="00F6785E"/>
    <w:rsid w:val="00F81EAC"/>
    <w:rsid w:val="00F84231"/>
    <w:rsid w:val="00F86B02"/>
    <w:rsid w:val="00F901DB"/>
    <w:rsid w:val="00F9323B"/>
    <w:rsid w:val="00FA5793"/>
    <w:rsid w:val="00FA65D3"/>
    <w:rsid w:val="00FB16C0"/>
    <w:rsid w:val="00FD3BC1"/>
    <w:rsid w:val="00FE74E7"/>
    <w:rsid w:val="00FF300E"/>
    <w:rsid w:val="00FF5530"/>
    <w:rsid w:val="087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2B608"/>
  <w15:docId w15:val="{22B24499-1FE8-4BA6-8F95-AB968C85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D7"/>
  </w:style>
  <w:style w:type="paragraph" w:styleId="Heading1">
    <w:name w:val="heading 1"/>
    <w:next w:val="TSBodyText"/>
    <w:link w:val="Heading1Char"/>
    <w:autoRedefine/>
    <w:uiPriority w:val="9"/>
    <w:qFormat/>
    <w:rsid w:val="00E26C2A"/>
    <w:pPr>
      <w:keepNext/>
      <w:numPr>
        <w:numId w:val="3"/>
      </w:numPr>
      <w:spacing w:after="60"/>
      <w:ind w:left="432"/>
      <w:jc w:val="both"/>
      <w:outlineLvl w:val="0"/>
    </w:pPr>
    <w:rPr>
      <w:rFonts w:ascii="Times New Roman Bold" w:eastAsiaTheme="majorEastAsia" w:hAnsi="Times New Roman Bold" w:cstheme="majorBidi"/>
      <w:b/>
      <w:bCs/>
      <w:color w:val="022A68"/>
      <w:sz w:val="28"/>
      <w:szCs w:val="28"/>
    </w:rPr>
  </w:style>
  <w:style w:type="paragraph" w:styleId="Heading2">
    <w:name w:val="heading 2"/>
    <w:next w:val="TSBodyText"/>
    <w:link w:val="Heading2Char"/>
    <w:autoRedefine/>
    <w:uiPriority w:val="9"/>
    <w:unhideWhenUsed/>
    <w:qFormat/>
    <w:rsid w:val="000100D7"/>
    <w:pPr>
      <w:keepNext/>
      <w:keepLines/>
      <w:numPr>
        <w:ilvl w:val="1"/>
        <w:numId w:val="3"/>
      </w:numPr>
      <w:ind w:left="576"/>
      <w:outlineLvl w:val="1"/>
    </w:pPr>
    <w:rPr>
      <w:rFonts w:ascii="Times New Roman Bold" w:eastAsiaTheme="majorEastAsia" w:hAnsi="Times New Roman Bold" w:cstheme="majorBidi"/>
      <w:b/>
      <w:bCs/>
      <w:color w:val="EC6848"/>
      <w:szCs w:val="26"/>
    </w:rPr>
  </w:style>
  <w:style w:type="paragraph" w:styleId="Heading3">
    <w:name w:val="heading 3"/>
    <w:next w:val="TSBodyText"/>
    <w:link w:val="Heading3Char"/>
    <w:autoRedefine/>
    <w:uiPriority w:val="9"/>
    <w:unhideWhenUsed/>
    <w:qFormat/>
    <w:rsid w:val="0097244C"/>
    <w:pPr>
      <w:keepNext/>
      <w:keepLines/>
      <w:numPr>
        <w:ilvl w:val="2"/>
        <w:numId w:val="3"/>
      </w:numPr>
      <w:ind w:left="720"/>
      <w:outlineLvl w:val="2"/>
    </w:pPr>
    <w:rPr>
      <w:rFonts w:ascii="Times New Roman Bold" w:eastAsiaTheme="majorEastAsia" w:hAnsi="Times New Roman Bold" w:cstheme="majorBidi"/>
      <w:b/>
      <w:bCs/>
      <w:color w:val="EC6848"/>
    </w:rPr>
  </w:style>
  <w:style w:type="paragraph" w:styleId="Heading4">
    <w:name w:val="heading 4"/>
    <w:next w:val="TSBodyText"/>
    <w:link w:val="Heading4Char"/>
    <w:autoRedefine/>
    <w:uiPriority w:val="9"/>
    <w:unhideWhenUsed/>
    <w:qFormat/>
    <w:rsid w:val="000100D7"/>
    <w:pPr>
      <w:keepNext/>
      <w:keepLines/>
      <w:numPr>
        <w:ilvl w:val="3"/>
        <w:numId w:val="3"/>
      </w:numPr>
      <w:ind w:left="864"/>
      <w:outlineLvl w:val="3"/>
    </w:pPr>
    <w:rPr>
      <w:rFonts w:eastAsiaTheme="majorEastAsia" w:cstheme="majorBidi"/>
      <w:b/>
      <w:bCs/>
      <w:iCs/>
      <w:color w:val="EC6848"/>
    </w:rPr>
  </w:style>
  <w:style w:type="paragraph" w:styleId="Heading5">
    <w:name w:val="heading 5"/>
    <w:next w:val="TSBodyText"/>
    <w:link w:val="Heading5Char"/>
    <w:autoRedefine/>
    <w:uiPriority w:val="9"/>
    <w:unhideWhenUsed/>
    <w:qFormat/>
    <w:rsid w:val="00671C6A"/>
    <w:pPr>
      <w:keepNext/>
      <w:keepLines/>
      <w:numPr>
        <w:ilvl w:val="4"/>
        <w:numId w:val="3"/>
      </w:numPr>
      <w:ind w:left="1008"/>
      <w:outlineLvl w:val="4"/>
    </w:pPr>
    <w:rPr>
      <w:rFonts w:eastAsiaTheme="majorEastAsia" w:cstheme="majorBidi"/>
      <w:b/>
      <w:color w:val="EC6848"/>
    </w:rPr>
  </w:style>
  <w:style w:type="paragraph" w:styleId="Heading6">
    <w:name w:val="heading 6"/>
    <w:next w:val="TSBodyText"/>
    <w:link w:val="Heading6Char"/>
    <w:autoRedefine/>
    <w:uiPriority w:val="9"/>
    <w:unhideWhenUsed/>
    <w:qFormat/>
    <w:rsid w:val="00671C6A"/>
    <w:pPr>
      <w:keepNext/>
      <w:keepLines/>
      <w:numPr>
        <w:ilvl w:val="5"/>
        <w:numId w:val="3"/>
      </w:numPr>
      <w:ind w:left="1152"/>
      <w:outlineLvl w:val="5"/>
    </w:pPr>
    <w:rPr>
      <w:rFonts w:eastAsiaTheme="majorEastAsia" w:cstheme="majorBidi"/>
      <w:b/>
      <w:iCs/>
      <w:color w:val="EC6848"/>
    </w:rPr>
  </w:style>
  <w:style w:type="paragraph" w:styleId="Heading7">
    <w:name w:val="heading 7"/>
    <w:next w:val="TSBodyText"/>
    <w:link w:val="Heading7Char"/>
    <w:autoRedefine/>
    <w:uiPriority w:val="9"/>
    <w:unhideWhenUsed/>
    <w:qFormat/>
    <w:rsid w:val="007F59BB"/>
    <w:pPr>
      <w:keepNext/>
      <w:keepLines/>
      <w:numPr>
        <w:numId w:val="5"/>
      </w:numPr>
      <w:ind w:left="360"/>
      <w:outlineLvl w:val="6"/>
    </w:pPr>
    <w:rPr>
      <w:rFonts w:ascii="Times New Roman Bold" w:eastAsiaTheme="majorEastAsia" w:hAnsi="Times New Roman Bold" w:cstheme="majorBidi"/>
      <w:b/>
      <w:iCs/>
      <w:caps/>
      <w:color w:val="022A68"/>
    </w:rPr>
  </w:style>
  <w:style w:type="paragraph" w:styleId="Heading8">
    <w:name w:val="heading 8"/>
    <w:basedOn w:val="Normal"/>
    <w:next w:val="Normal"/>
    <w:link w:val="Heading8Char"/>
    <w:uiPriority w:val="9"/>
    <w:semiHidden/>
    <w:unhideWhenUsed/>
    <w:qFormat/>
    <w:rsid w:val="00D95E6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E6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C2A"/>
    <w:rPr>
      <w:rFonts w:ascii="Times New Roman Bold" w:eastAsiaTheme="majorEastAsia" w:hAnsi="Times New Roman Bold" w:cstheme="majorBidi"/>
      <w:b/>
      <w:bCs/>
      <w:color w:val="022A68"/>
      <w:sz w:val="28"/>
      <w:szCs w:val="28"/>
    </w:rPr>
  </w:style>
  <w:style w:type="paragraph" w:customStyle="1" w:styleId="TSBodyText">
    <w:name w:val="TS BodyText"/>
    <w:autoRedefine/>
    <w:qFormat/>
    <w:rsid w:val="00710B5B"/>
    <w:pPr>
      <w:jc w:val="both"/>
    </w:pPr>
  </w:style>
  <w:style w:type="paragraph" w:styleId="Header">
    <w:name w:val="header"/>
    <w:basedOn w:val="Normal"/>
    <w:link w:val="HeaderChar"/>
    <w:uiPriority w:val="99"/>
    <w:unhideWhenUsed/>
    <w:qFormat/>
    <w:rsid w:val="00EE5FD8"/>
    <w:pPr>
      <w:tabs>
        <w:tab w:val="center" w:pos="4680"/>
        <w:tab w:val="right" w:pos="9360"/>
      </w:tabs>
      <w:spacing w:after="0"/>
    </w:pPr>
  </w:style>
  <w:style w:type="character" w:customStyle="1" w:styleId="HeaderChar">
    <w:name w:val="Header Char"/>
    <w:basedOn w:val="DefaultParagraphFont"/>
    <w:link w:val="Header"/>
    <w:uiPriority w:val="99"/>
    <w:rsid w:val="00EE5FD8"/>
  </w:style>
  <w:style w:type="paragraph" w:styleId="Footer">
    <w:name w:val="footer"/>
    <w:link w:val="FooterChar"/>
    <w:uiPriority w:val="99"/>
    <w:unhideWhenUsed/>
    <w:qFormat/>
    <w:rsid w:val="009F1DC5"/>
    <w:pPr>
      <w:tabs>
        <w:tab w:val="center" w:pos="4680"/>
        <w:tab w:val="right" w:pos="9360"/>
      </w:tabs>
      <w:spacing w:before="40" w:after="40"/>
    </w:pPr>
    <w:rPr>
      <w:sz w:val="16"/>
    </w:rPr>
  </w:style>
  <w:style w:type="character" w:customStyle="1" w:styleId="FooterChar">
    <w:name w:val="Footer Char"/>
    <w:basedOn w:val="DefaultParagraphFont"/>
    <w:link w:val="Footer"/>
    <w:uiPriority w:val="99"/>
    <w:rsid w:val="009F1DC5"/>
    <w:rPr>
      <w:sz w:val="16"/>
    </w:rPr>
  </w:style>
  <w:style w:type="paragraph" w:customStyle="1" w:styleId="TSTOCHeading">
    <w:name w:val="TS TOC Heading"/>
    <w:next w:val="TSBodyText"/>
    <w:autoRedefine/>
    <w:qFormat/>
    <w:rsid w:val="00FF5530"/>
    <w:pPr>
      <w:pBdr>
        <w:top w:val="single" w:sz="2" w:space="1" w:color="auto"/>
        <w:left w:val="single" w:sz="2" w:space="4" w:color="auto"/>
        <w:bottom w:val="single" w:sz="2" w:space="1" w:color="auto"/>
        <w:right w:val="single" w:sz="2" w:space="4" w:color="auto"/>
      </w:pBdr>
      <w:spacing w:after="180"/>
      <w:jc w:val="center"/>
    </w:pPr>
    <w:rPr>
      <w:rFonts w:ascii="Times New Roman Bold" w:hAnsi="Times New Roman Bold"/>
      <w:b/>
      <w:caps/>
      <w:color w:val="022A68"/>
      <w:sz w:val="28"/>
    </w:rPr>
  </w:style>
  <w:style w:type="character" w:customStyle="1" w:styleId="Heading2Char">
    <w:name w:val="Heading 2 Char"/>
    <w:basedOn w:val="DefaultParagraphFont"/>
    <w:link w:val="Heading2"/>
    <w:uiPriority w:val="9"/>
    <w:rsid w:val="000100D7"/>
    <w:rPr>
      <w:rFonts w:ascii="Times New Roman Bold" w:eastAsiaTheme="majorEastAsia" w:hAnsi="Times New Roman Bold" w:cstheme="majorBidi"/>
      <w:b/>
      <w:bCs/>
      <w:color w:val="EC6848"/>
      <w:szCs w:val="26"/>
    </w:rPr>
  </w:style>
  <w:style w:type="character" w:customStyle="1" w:styleId="Heading3Char">
    <w:name w:val="Heading 3 Char"/>
    <w:basedOn w:val="DefaultParagraphFont"/>
    <w:link w:val="Heading3"/>
    <w:uiPriority w:val="9"/>
    <w:rsid w:val="0097244C"/>
    <w:rPr>
      <w:rFonts w:ascii="Times New Roman Bold" w:eastAsiaTheme="majorEastAsia" w:hAnsi="Times New Roman Bold" w:cstheme="majorBidi"/>
      <w:b/>
      <w:bCs/>
      <w:color w:val="EC6848"/>
    </w:rPr>
  </w:style>
  <w:style w:type="character" w:customStyle="1" w:styleId="Heading4Char">
    <w:name w:val="Heading 4 Char"/>
    <w:basedOn w:val="DefaultParagraphFont"/>
    <w:link w:val="Heading4"/>
    <w:uiPriority w:val="9"/>
    <w:rsid w:val="000100D7"/>
    <w:rPr>
      <w:rFonts w:eastAsiaTheme="majorEastAsia" w:cstheme="majorBidi"/>
      <w:b/>
      <w:bCs/>
      <w:iCs/>
      <w:color w:val="EC6848"/>
    </w:rPr>
  </w:style>
  <w:style w:type="character" w:customStyle="1" w:styleId="Heading5Char">
    <w:name w:val="Heading 5 Char"/>
    <w:basedOn w:val="DefaultParagraphFont"/>
    <w:link w:val="Heading5"/>
    <w:uiPriority w:val="9"/>
    <w:rsid w:val="00671C6A"/>
    <w:rPr>
      <w:rFonts w:eastAsiaTheme="majorEastAsia" w:cstheme="majorBidi"/>
      <w:b/>
      <w:color w:val="EC6848"/>
    </w:rPr>
  </w:style>
  <w:style w:type="character" w:customStyle="1" w:styleId="Heading6Char">
    <w:name w:val="Heading 6 Char"/>
    <w:basedOn w:val="DefaultParagraphFont"/>
    <w:link w:val="Heading6"/>
    <w:uiPriority w:val="9"/>
    <w:rsid w:val="00671C6A"/>
    <w:rPr>
      <w:rFonts w:eastAsiaTheme="majorEastAsia" w:cstheme="majorBidi"/>
      <w:b/>
      <w:iCs/>
      <w:color w:val="EC6848"/>
    </w:rPr>
  </w:style>
  <w:style w:type="character" w:customStyle="1" w:styleId="Heading7Char">
    <w:name w:val="Heading 7 Char"/>
    <w:basedOn w:val="DefaultParagraphFont"/>
    <w:link w:val="Heading7"/>
    <w:uiPriority w:val="9"/>
    <w:rsid w:val="007F59BB"/>
    <w:rPr>
      <w:rFonts w:ascii="Times New Roman Bold" w:eastAsiaTheme="majorEastAsia" w:hAnsi="Times New Roman Bold" w:cstheme="majorBidi"/>
      <w:b/>
      <w:iCs/>
      <w:caps/>
      <w:color w:val="022A68"/>
    </w:rPr>
  </w:style>
  <w:style w:type="character" w:customStyle="1" w:styleId="Heading8Char">
    <w:name w:val="Heading 8 Char"/>
    <w:basedOn w:val="DefaultParagraphFont"/>
    <w:link w:val="Heading8"/>
    <w:uiPriority w:val="9"/>
    <w:semiHidden/>
    <w:rsid w:val="00D95E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E6A"/>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045FA"/>
    <w:pPr>
      <w:tabs>
        <w:tab w:val="right" w:leader="dot" w:pos="9360"/>
      </w:tabs>
      <w:spacing w:after="40"/>
      <w:ind w:left="547" w:right="1440" w:hanging="547"/>
    </w:pPr>
    <w:rPr>
      <w:b/>
      <w:noProof/>
      <w:sz w:val="20"/>
    </w:rPr>
  </w:style>
  <w:style w:type="paragraph" w:styleId="TOC2">
    <w:name w:val="toc 2"/>
    <w:basedOn w:val="Normal"/>
    <w:next w:val="Normal"/>
    <w:autoRedefine/>
    <w:uiPriority w:val="39"/>
    <w:unhideWhenUsed/>
    <w:rsid w:val="007F59BB"/>
    <w:pPr>
      <w:tabs>
        <w:tab w:val="left" w:pos="994"/>
        <w:tab w:val="right" w:leader="dot" w:pos="9360"/>
      </w:tabs>
      <w:spacing w:after="40"/>
      <w:ind w:left="446" w:right="1440" w:hanging="446"/>
    </w:pPr>
    <w:rPr>
      <w:noProof/>
      <w:sz w:val="20"/>
    </w:rPr>
  </w:style>
  <w:style w:type="paragraph" w:styleId="TOC3">
    <w:name w:val="toc 3"/>
    <w:basedOn w:val="TOC2"/>
    <w:next w:val="Normal"/>
    <w:autoRedefine/>
    <w:uiPriority w:val="39"/>
    <w:unhideWhenUsed/>
    <w:rsid w:val="00005C78"/>
    <w:pPr>
      <w:tabs>
        <w:tab w:val="left" w:pos="1627"/>
      </w:tabs>
      <w:ind w:left="1628" w:hanging="1202"/>
    </w:pPr>
  </w:style>
  <w:style w:type="paragraph" w:styleId="TOC4">
    <w:name w:val="toc 4"/>
    <w:basedOn w:val="TOC3"/>
    <w:next w:val="Normal"/>
    <w:autoRedefine/>
    <w:uiPriority w:val="39"/>
    <w:unhideWhenUsed/>
    <w:rsid w:val="00005C78"/>
    <w:pPr>
      <w:tabs>
        <w:tab w:val="left" w:pos="2534"/>
      </w:tabs>
      <w:ind w:left="3310" w:hanging="1683"/>
    </w:pPr>
  </w:style>
  <w:style w:type="character" w:styleId="Hyperlink">
    <w:name w:val="Hyperlink"/>
    <w:basedOn w:val="DefaultParagraphFont"/>
    <w:uiPriority w:val="99"/>
    <w:unhideWhenUsed/>
    <w:rsid w:val="00265914"/>
    <w:rPr>
      <w:b/>
      <w:color w:val="336699"/>
      <w:u w:val="none"/>
    </w:rPr>
  </w:style>
  <w:style w:type="paragraph" w:customStyle="1" w:styleId="TSThemeStatement">
    <w:name w:val="TS Theme Statement"/>
    <w:next w:val="TSBodyText"/>
    <w:autoRedefine/>
    <w:qFormat/>
    <w:rsid w:val="00335D72"/>
    <w:pPr>
      <w:pBdr>
        <w:top w:val="single" w:sz="8" w:space="1" w:color="336699"/>
        <w:bottom w:val="single" w:sz="12" w:space="1" w:color="336699"/>
      </w:pBdr>
    </w:pPr>
    <w:rPr>
      <w:b/>
      <w:i/>
      <w:color w:val="EC6848"/>
    </w:rPr>
  </w:style>
  <w:style w:type="paragraph" w:customStyle="1" w:styleId="TSBulletL1">
    <w:name w:val="TS BulletL1"/>
    <w:basedOn w:val="Normal"/>
    <w:autoRedefine/>
    <w:rsid w:val="00D43D2B"/>
    <w:pPr>
      <w:numPr>
        <w:numId w:val="6"/>
      </w:numPr>
      <w:spacing w:after="0"/>
      <w:jc w:val="both"/>
    </w:pPr>
  </w:style>
  <w:style w:type="character" w:customStyle="1" w:styleId="ParagraphHighlight">
    <w:name w:val="Paragraph Highlight"/>
    <w:basedOn w:val="DefaultParagraphFont"/>
    <w:uiPriority w:val="1"/>
    <w:qFormat/>
    <w:rsid w:val="000100D7"/>
    <w:rPr>
      <w:rFonts w:ascii="Times New Roman" w:hAnsi="Times New Roman"/>
      <w:b/>
      <w:i/>
      <w:color w:val="EC6848"/>
    </w:rPr>
  </w:style>
  <w:style w:type="paragraph" w:customStyle="1" w:styleId="TSBulletL2">
    <w:name w:val="TS BulletL2"/>
    <w:autoRedefine/>
    <w:qFormat/>
    <w:rsid w:val="000D0AF5"/>
    <w:pPr>
      <w:numPr>
        <w:numId w:val="9"/>
      </w:numPr>
      <w:spacing w:after="0"/>
      <w:ind w:left="548" w:hanging="274"/>
    </w:pPr>
  </w:style>
  <w:style w:type="paragraph" w:styleId="TOCHeading">
    <w:name w:val="TOC Heading"/>
    <w:basedOn w:val="Heading1"/>
    <w:next w:val="Normal"/>
    <w:uiPriority w:val="39"/>
    <w:semiHidden/>
    <w:unhideWhenUsed/>
    <w:qFormat/>
    <w:rsid w:val="00D045FA"/>
    <w:pPr>
      <w:keepLines/>
      <w:numPr>
        <w:numId w:val="0"/>
      </w:numPr>
      <w:spacing w:before="240" w:after="0"/>
      <w:outlineLvl w:val="9"/>
    </w:pPr>
    <w:rPr>
      <w:rFonts w:asciiTheme="majorHAnsi" w:hAnsiTheme="majorHAnsi"/>
      <w:b w:val="0"/>
      <w:bCs w:val="0"/>
      <w:color w:val="365F91" w:themeColor="accent1" w:themeShade="BF"/>
      <w:sz w:val="32"/>
      <w:szCs w:val="32"/>
    </w:rPr>
  </w:style>
  <w:style w:type="paragraph" w:customStyle="1" w:styleId="TSBulletL3">
    <w:name w:val="TS BulletL3"/>
    <w:autoRedefine/>
    <w:qFormat/>
    <w:rsid w:val="00530833"/>
    <w:pPr>
      <w:numPr>
        <w:numId w:val="10"/>
      </w:numPr>
      <w:spacing w:after="0"/>
    </w:pPr>
  </w:style>
  <w:style w:type="paragraph" w:styleId="TOC6">
    <w:name w:val="toc 6"/>
    <w:basedOn w:val="Normal"/>
    <w:next w:val="Normal"/>
    <w:autoRedefine/>
    <w:uiPriority w:val="39"/>
    <w:semiHidden/>
    <w:unhideWhenUsed/>
    <w:rsid w:val="00D045FA"/>
    <w:pPr>
      <w:spacing w:after="100"/>
      <w:ind w:left="1200"/>
    </w:pPr>
  </w:style>
  <w:style w:type="paragraph" w:customStyle="1" w:styleId="TSBulletL4">
    <w:name w:val="TS BulletL4"/>
    <w:autoRedefine/>
    <w:qFormat/>
    <w:rsid w:val="001C5DFC"/>
    <w:pPr>
      <w:numPr>
        <w:numId w:val="11"/>
      </w:numPr>
      <w:spacing w:after="0"/>
    </w:pPr>
  </w:style>
  <w:style w:type="paragraph" w:styleId="TOC5">
    <w:name w:val="toc 5"/>
    <w:basedOn w:val="TOC4"/>
    <w:next w:val="Normal"/>
    <w:autoRedefine/>
    <w:uiPriority w:val="39"/>
    <w:unhideWhenUsed/>
    <w:rsid w:val="00005C78"/>
    <w:pPr>
      <w:tabs>
        <w:tab w:val="clear" w:pos="9360"/>
        <w:tab w:val="right" w:leader="dot" w:pos="9350"/>
      </w:tabs>
      <w:spacing w:after="100"/>
    </w:pPr>
  </w:style>
  <w:style w:type="paragraph" w:customStyle="1" w:styleId="TSNumberList1">
    <w:name w:val="TS NumberList 1"/>
    <w:autoRedefine/>
    <w:qFormat/>
    <w:rsid w:val="002350A6"/>
    <w:pPr>
      <w:numPr>
        <w:numId w:val="12"/>
      </w:numPr>
      <w:ind w:left="360"/>
    </w:pPr>
  </w:style>
  <w:style w:type="paragraph" w:customStyle="1" w:styleId="TSNumberList2">
    <w:name w:val="TS NumberList 2"/>
    <w:autoRedefine/>
    <w:qFormat/>
    <w:rsid w:val="002350A6"/>
    <w:pPr>
      <w:numPr>
        <w:numId w:val="13"/>
      </w:numPr>
      <w:ind w:left="634" w:hanging="274"/>
    </w:pPr>
  </w:style>
  <w:style w:type="paragraph" w:customStyle="1" w:styleId="TSNumberList3">
    <w:name w:val="TS NumberList 3"/>
    <w:autoRedefine/>
    <w:qFormat/>
    <w:rsid w:val="002350A6"/>
    <w:pPr>
      <w:numPr>
        <w:numId w:val="14"/>
      </w:numPr>
      <w:ind w:left="1008" w:hanging="245"/>
    </w:pPr>
  </w:style>
  <w:style w:type="paragraph" w:customStyle="1" w:styleId="TSHeadNoNum">
    <w:name w:val="TS HeadNoNum"/>
    <w:next w:val="TSBodyText"/>
    <w:autoRedefine/>
    <w:qFormat/>
    <w:rsid w:val="007F59BB"/>
    <w:rPr>
      <w:b/>
      <w:color w:val="022A68"/>
    </w:rPr>
  </w:style>
  <w:style w:type="paragraph" w:customStyle="1" w:styleId="TSHeadNoNum2">
    <w:name w:val="TS HeadNoNum2"/>
    <w:basedOn w:val="TSHeadNoNum"/>
    <w:next w:val="TSBodyText"/>
    <w:autoRedefine/>
    <w:qFormat/>
    <w:rsid w:val="007F59BB"/>
    <w:rPr>
      <w:i/>
      <w:color w:val="EC6848"/>
    </w:rPr>
  </w:style>
  <w:style w:type="table" w:styleId="TableGrid">
    <w:name w:val="Table Grid"/>
    <w:aliases w:val="Table Definitions Grid,Table Grid Zantech,Table Grid (Betty),Deloitte Table Grid,Table Definitions Grid11,Table Definitions Grid12,Table Definitions Grid2,Table Definitions Grid3,DCCI,Table Grid AA -Striped,Default table,AA Table"/>
    <w:basedOn w:val="TableNormal"/>
    <w:uiPriority w:val="39"/>
    <w:qFormat/>
    <w:rsid w:val="00F81EA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SFocusBoxHeading">
    <w:name w:val="TS FocusBox Heading"/>
    <w:autoRedefine/>
    <w:qFormat/>
    <w:rsid w:val="000100D7"/>
    <w:pPr>
      <w:framePr w:hSpace="180" w:wrap="around" w:vAnchor="text" w:hAnchor="text" w:xAlign="right" w:y="1"/>
      <w:spacing w:before="40" w:after="40"/>
      <w:suppressOverlap/>
      <w:jc w:val="center"/>
    </w:pPr>
    <w:rPr>
      <w:b/>
      <w:color w:val="022A68"/>
      <w:sz w:val="20"/>
    </w:rPr>
  </w:style>
  <w:style w:type="paragraph" w:customStyle="1" w:styleId="TSFocusBoxText">
    <w:name w:val="TS FocusBox Text"/>
    <w:autoRedefine/>
    <w:qFormat/>
    <w:rsid w:val="00F81EAC"/>
    <w:pPr>
      <w:framePr w:hSpace="180" w:wrap="around" w:vAnchor="text" w:hAnchor="text" w:xAlign="right" w:y="1"/>
      <w:spacing w:before="40" w:after="40"/>
      <w:suppressOverlap/>
    </w:pPr>
    <w:rPr>
      <w:sz w:val="20"/>
    </w:rPr>
  </w:style>
  <w:style w:type="paragraph" w:customStyle="1" w:styleId="TSFocusBoxBullet">
    <w:name w:val="TS FocusBox Bullet"/>
    <w:autoRedefine/>
    <w:qFormat/>
    <w:rsid w:val="007F59BB"/>
    <w:pPr>
      <w:numPr>
        <w:numId w:val="7"/>
      </w:numPr>
      <w:spacing w:after="40"/>
    </w:pPr>
    <w:rPr>
      <w:sz w:val="20"/>
    </w:rPr>
  </w:style>
  <w:style w:type="paragraph" w:customStyle="1" w:styleId="TSTextBoxHeading">
    <w:name w:val="TS TextBox Heading"/>
    <w:next w:val="TSFocusBoxText"/>
    <w:autoRedefine/>
    <w:qFormat/>
    <w:rsid w:val="00F81EAC"/>
    <w:pPr>
      <w:spacing w:before="40" w:after="40"/>
      <w:jc w:val="center"/>
    </w:pPr>
    <w:rPr>
      <w:b/>
      <w:sz w:val="20"/>
    </w:rPr>
  </w:style>
  <w:style w:type="paragraph" w:styleId="Caption">
    <w:name w:val="caption"/>
    <w:basedOn w:val="Normal"/>
    <w:next w:val="Normal"/>
    <w:autoRedefine/>
    <w:uiPriority w:val="35"/>
    <w:unhideWhenUsed/>
    <w:qFormat/>
    <w:rsid w:val="00005C78"/>
    <w:pPr>
      <w:spacing w:after="200"/>
      <w:jc w:val="center"/>
    </w:pPr>
    <w:rPr>
      <w:i/>
      <w:iCs/>
      <w:color w:val="EC6848"/>
      <w:sz w:val="20"/>
      <w:szCs w:val="18"/>
    </w:rPr>
  </w:style>
  <w:style w:type="paragraph" w:customStyle="1" w:styleId="TSFigureCaption">
    <w:name w:val="TS FigureCaption"/>
    <w:next w:val="TSActionCaption"/>
    <w:autoRedefine/>
    <w:qFormat/>
    <w:rsid w:val="00335D72"/>
    <w:pPr>
      <w:tabs>
        <w:tab w:val="left" w:pos="1260"/>
      </w:tabs>
      <w:spacing w:after="0"/>
      <w:jc w:val="center"/>
    </w:pPr>
    <w:rPr>
      <w:b/>
      <w:color w:val="EC6848"/>
    </w:rPr>
  </w:style>
  <w:style w:type="paragraph" w:customStyle="1" w:styleId="TSActionCaption">
    <w:name w:val="TS ActionCaption"/>
    <w:next w:val="TSBodyText"/>
    <w:autoRedefine/>
    <w:qFormat/>
    <w:rsid w:val="001D3EE7"/>
    <w:pPr>
      <w:jc w:val="center"/>
    </w:pPr>
    <w:rPr>
      <w:i/>
    </w:rPr>
  </w:style>
  <w:style w:type="paragraph" w:customStyle="1" w:styleId="TSTableCaption">
    <w:name w:val="TS TableCaption"/>
    <w:next w:val="TSActionCaption"/>
    <w:autoRedefine/>
    <w:qFormat/>
    <w:rsid w:val="00FF5530"/>
    <w:pPr>
      <w:tabs>
        <w:tab w:val="left" w:pos="1170"/>
      </w:tabs>
      <w:spacing w:before="120" w:after="0"/>
      <w:jc w:val="center"/>
    </w:pPr>
    <w:rPr>
      <w:b/>
      <w:color w:val="EC6848"/>
    </w:rPr>
  </w:style>
  <w:style w:type="table" w:customStyle="1" w:styleId="AlterRowColor">
    <w:name w:val="Alter Row Color"/>
    <w:basedOn w:val="TableNormal"/>
    <w:uiPriority w:val="99"/>
    <w:rsid w:val="003B368A"/>
    <w:pPr>
      <w:spacing w:after="0"/>
    </w:pPr>
    <w:rPr>
      <w:sz w:val="20"/>
    </w:rPr>
    <w:tblPr>
      <w:tblStyleRowBandSize w:val="1"/>
      <w:tblStyleColBandSize w:val="1"/>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58" w:type="dxa"/>
        <w:right w:w="58" w:type="dxa"/>
      </w:tblCellMar>
    </w:tblPr>
    <w:trPr>
      <w:jc w:val="center"/>
    </w:trPr>
    <w:tcPr>
      <w:shd w:val="clear" w:color="auto" w:fill="5493A4"/>
    </w:tcPr>
    <w:tblStylePr w:type="firstRow">
      <w:pPr>
        <w:jc w:val="center"/>
      </w:pPr>
      <w:rPr>
        <w:rFonts w:ascii="Times New Roman" w:hAnsi="Times New Roman"/>
        <w:b w:val="0"/>
        <w:color w:val="FFFFFF" w:themeColor="background1"/>
        <w:sz w:val="20"/>
      </w:rPr>
      <w:tblPr/>
      <w:tcPr>
        <w:shd w:val="clear" w:color="auto" w:fill="5493A4"/>
      </w:tcPr>
    </w:tblStylePr>
    <w:tblStylePr w:type="band1Horz">
      <w:tblPr/>
      <w:tcPr>
        <w:tcBorders>
          <w:top w:val="single" w:sz="4" w:space="0" w:color="A1A1A1"/>
          <w:left w:val="single" w:sz="4" w:space="0" w:color="A1A1A1"/>
          <w:bottom w:val="single" w:sz="4" w:space="0" w:color="A1A1A1"/>
          <w:right w:val="single" w:sz="4" w:space="0" w:color="A1A1A1"/>
          <w:insideH w:val="single" w:sz="4" w:space="0" w:color="A1A1A1"/>
          <w:insideV w:val="single" w:sz="4" w:space="0" w:color="A1A1A1"/>
        </w:tcBorders>
        <w:shd w:val="clear" w:color="auto" w:fill="FFFFFF" w:themeFill="background1"/>
      </w:tcPr>
    </w:tblStylePr>
    <w:tblStylePr w:type="band2Horz">
      <w:tblPr/>
      <w:tcPr>
        <w:shd w:val="clear" w:color="auto" w:fill="DBE9F1"/>
      </w:tcPr>
    </w:tblStylePr>
  </w:style>
  <w:style w:type="table" w:customStyle="1" w:styleId="Nocolorrows">
    <w:name w:val="No color rows"/>
    <w:basedOn w:val="TableNormal"/>
    <w:uiPriority w:val="99"/>
    <w:rsid w:val="003B368A"/>
    <w:pPr>
      <w:spacing w:after="0"/>
    </w:pPr>
    <w:rPr>
      <w:sz w:val="20"/>
    </w:rPr>
    <w:tblPr>
      <w:tblStyleRowBandSize w:val="1"/>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CellMar>
        <w:left w:w="58" w:type="dxa"/>
        <w:right w:w="58" w:type="dxa"/>
      </w:tblCellMar>
    </w:tblPr>
    <w:trPr>
      <w:jc w:val="center"/>
    </w:trPr>
    <w:tblStylePr w:type="firstRow">
      <w:pPr>
        <w:jc w:val="center"/>
      </w:pPr>
      <w:rPr>
        <w:rFonts w:ascii="Times New Roman" w:hAnsi="Times New Roman"/>
        <w:color w:val="FFFFFF" w:themeColor="background1"/>
        <w:sz w:val="20"/>
      </w:rPr>
      <w:tblPr/>
      <w:tcPr>
        <w:shd w:val="clear" w:color="auto" w:fill="5493A4"/>
      </w:tcPr>
    </w:tblStylePr>
    <w:tblStylePr w:type="band1Horz">
      <w:tblPr/>
      <w:tcPr>
        <w:tcBorders>
          <w:top w:val="single" w:sz="4" w:space="0" w:color="A1A1A1"/>
          <w:left w:val="single" w:sz="4" w:space="0" w:color="A1A1A1"/>
          <w:bottom w:val="single" w:sz="4" w:space="0" w:color="A1A1A1"/>
          <w:right w:val="single" w:sz="4" w:space="0" w:color="A1A1A1"/>
          <w:insideH w:val="single" w:sz="4" w:space="0" w:color="A1A1A1"/>
          <w:insideV w:val="single" w:sz="4" w:space="0" w:color="A1A1A1"/>
        </w:tcBorders>
      </w:tcPr>
    </w:tblStylePr>
    <w:tblStylePr w:type="band2Horz">
      <w:tblPr/>
      <w:tcPr>
        <w:tcBorders>
          <w:top w:val="single" w:sz="4" w:space="0" w:color="A1A1A1"/>
          <w:left w:val="single" w:sz="4" w:space="0" w:color="A1A1A1"/>
          <w:bottom w:val="single" w:sz="4" w:space="0" w:color="A1A1A1"/>
          <w:right w:val="single" w:sz="4" w:space="0" w:color="A1A1A1"/>
          <w:insideH w:val="single" w:sz="4" w:space="0" w:color="A1A1A1"/>
          <w:insideV w:val="single" w:sz="4" w:space="0" w:color="A1A1A1"/>
        </w:tcBorders>
      </w:tcPr>
    </w:tblStylePr>
  </w:style>
  <w:style w:type="paragraph" w:customStyle="1" w:styleId="TSTableHeding">
    <w:name w:val="TS TableHeding"/>
    <w:autoRedefine/>
    <w:qFormat/>
    <w:rsid w:val="00335D72"/>
    <w:pPr>
      <w:spacing w:before="20" w:after="20"/>
      <w:jc w:val="center"/>
    </w:pPr>
    <w:rPr>
      <w:b/>
      <w:color w:val="000000" w:themeColor="text1"/>
      <w:sz w:val="20"/>
    </w:rPr>
  </w:style>
  <w:style w:type="paragraph" w:customStyle="1" w:styleId="TSTableText">
    <w:name w:val="TS TableText"/>
    <w:autoRedefine/>
    <w:qFormat/>
    <w:rsid w:val="001F5BF6"/>
    <w:pPr>
      <w:spacing w:before="20" w:after="20"/>
      <w:jc w:val="both"/>
    </w:pPr>
    <w:rPr>
      <w:sz w:val="20"/>
    </w:rPr>
  </w:style>
  <w:style w:type="paragraph" w:customStyle="1" w:styleId="TSTableBullet1">
    <w:name w:val="TS TableBullet 1"/>
    <w:basedOn w:val="TSBodyText"/>
    <w:autoRedefine/>
    <w:qFormat/>
    <w:rsid w:val="008741F8"/>
    <w:pPr>
      <w:numPr>
        <w:numId w:val="15"/>
      </w:numPr>
      <w:spacing w:before="20" w:after="20"/>
      <w:ind w:left="173" w:hanging="173"/>
    </w:pPr>
    <w:rPr>
      <w:sz w:val="20"/>
    </w:rPr>
  </w:style>
  <w:style w:type="paragraph" w:customStyle="1" w:styleId="TSTableBullet2">
    <w:name w:val="TS TableBullet 2"/>
    <w:basedOn w:val="TSBodyText"/>
    <w:autoRedefine/>
    <w:qFormat/>
    <w:rsid w:val="008741F8"/>
    <w:pPr>
      <w:numPr>
        <w:numId w:val="16"/>
      </w:numPr>
      <w:spacing w:before="20" w:after="20"/>
      <w:ind w:left="374" w:hanging="187"/>
    </w:pPr>
    <w:rPr>
      <w:sz w:val="20"/>
    </w:rPr>
  </w:style>
  <w:style w:type="paragraph" w:customStyle="1" w:styleId="TSTableBullet3">
    <w:name w:val="TS TableBullet 3"/>
    <w:basedOn w:val="TSBodyText"/>
    <w:autoRedefine/>
    <w:qFormat/>
    <w:rsid w:val="008741F8"/>
    <w:pPr>
      <w:numPr>
        <w:numId w:val="17"/>
      </w:numPr>
      <w:spacing w:before="20" w:after="20"/>
      <w:ind w:left="547" w:hanging="187"/>
    </w:pPr>
    <w:rPr>
      <w:sz w:val="20"/>
    </w:rPr>
  </w:style>
  <w:style w:type="paragraph" w:customStyle="1" w:styleId="TSTableSubheading">
    <w:name w:val="TS Table Subheading"/>
    <w:next w:val="TSTableText"/>
    <w:autoRedefine/>
    <w:qFormat/>
    <w:rsid w:val="006F195F"/>
    <w:pPr>
      <w:spacing w:before="20" w:after="20"/>
      <w:jc w:val="center"/>
    </w:pPr>
    <w:rPr>
      <w:b/>
      <w:sz w:val="20"/>
    </w:rPr>
  </w:style>
  <w:style w:type="paragraph" w:styleId="TableofFigures">
    <w:name w:val="table of figures"/>
    <w:next w:val="TSBodyText"/>
    <w:autoRedefine/>
    <w:uiPriority w:val="99"/>
    <w:unhideWhenUsed/>
    <w:rsid w:val="00FF5530"/>
    <w:pPr>
      <w:tabs>
        <w:tab w:val="left" w:pos="1440"/>
        <w:tab w:val="right" w:leader="dot" w:pos="9360"/>
      </w:tabs>
      <w:spacing w:after="20"/>
      <w:ind w:left="1440" w:right="1440" w:hanging="1440"/>
    </w:pPr>
    <w:rPr>
      <w:rFonts w:eastAsiaTheme="minorEastAsia"/>
      <w:noProof/>
      <w:sz w:val="20"/>
    </w:rPr>
  </w:style>
  <w:style w:type="paragraph" w:customStyle="1" w:styleId="TSAcronyms">
    <w:name w:val="TS Acronyms"/>
    <w:qFormat/>
    <w:rsid w:val="006F195F"/>
    <w:pPr>
      <w:spacing w:before="20" w:after="20"/>
    </w:pPr>
  </w:style>
  <w:style w:type="paragraph" w:styleId="BalloonText">
    <w:name w:val="Balloon Text"/>
    <w:basedOn w:val="Normal"/>
    <w:link w:val="BalloonTextChar"/>
    <w:uiPriority w:val="99"/>
    <w:semiHidden/>
    <w:unhideWhenUsed/>
    <w:rsid w:val="00D23E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E79"/>
    <w:rPr>
      <w:rFonts w:ascii="Tahoma" w:hAnsi="Tahoma" w:cs="Tahoma"/>
      <w:sz w:val="16"/>
      <w:szCs w:val="16"/>
    </w:rPr>
  </w:style>
  <w:style w:type="paragraph" w:customStyle="1" w:styleId="TSAddress">
    <w:name w:val="TS Address"/>
    <w:autoRedefine/>
    <w:qFormat/>
    <w:rsid w:val="00E2228A"/>
    <w:pPr>
      <w:spacing w:after="0"/>
      <w:jc w:val="center"/>
    </w:pPr>
  </w:style>
  <w:style w:type="paragraph" w:customStyle="1" w:styleId="TSAgency">
    <w:name w:val="TS Agency"/>
    <w:next w:val="Normal"/>
    <w:autoRedefine/>
    <w:qFormat/>
    <w:rsid w:val="000100D7"/>
    <w:pPr>
      <w:spacing w:before="800" w:after="800"/>
      <w:jc w:val="center"/>
    </w:pPr>
    <w:rPr>
      <w:b/>
      <w:color w:val="022A68"/>
      <w:sz w:val="40"/>
    </w:rPr>
  </w:style>
  <w:style w:type="paragraph" w:customStyle="1" w:styleId="Body">
    <w:name w:val="Body"/>
    <w:link w:val="BodyChar"/>
    <w:qFormat/>
    <w:rsid w:val="007864C2"/>
    <w:rPr>
      <w:szCs w:val="22"/>
    </w:rPr>
  </w:style>
  <w:style w:type="character" w:customStyle="1" w:styleId="BodyChar">
    <w:name w:val="Body Char"/>
    <w:basedOn w:val="DefaultParagraphFont"/>
    <w:link w:val="Body"/>
    <w:locked/>
    <w:rsid w:val="007864C2"/>
    <w:rPr>
      <w:szCs w:val="22"/>
    </w:rPr>
  </w:style>
  <w:style w:type="paragraph" w:customStyle="1" w:styleId="Title2-Black">
    <w:name w:val="Title 2 - Black"/>
    <w:basedOn w:val="Normal"/>
    <w:next w:val="Body"/>
    <w:qFormat/>
    <w:rsid w:val="00FF5530"/>
    <w:pPr>
      <w:contextualSpacing/>
      <w:jc w:val="center"/>
    </w:pPr>
    <w:rPr>
      <w:color w:val="000000" w:themeColor="text1"/>
      <w:szCs w:val="22"/>
    </w:rPr>
  </w:style>
  <w:style w:type="table" w:styleId="GridTable4">
    <w:name w:val="Grid Table 4"/>
    <w:aliases w:val="Aretec Table 1"/>
    <w:basedOn w:val="TableNormal"/>
    <w:uiPriority w:val="49"/>
    <w:rsid w:val="007864C2"/>
    <w:pPr>
      <w:spacing w:after="0"/>
    </w:pPr>
    <w:rPr>
      <w:sz w:val="20"/>
      <w:szCs w:val="22"/>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b/>
        <w:bCs/>
        <w:color w:val="FFFFFF" w:themeColor="background1"/>
      </w:rPr>
      <w:tblPr/>
      <w:tcPr>
        <w:shd w:val="clear" w:color="auto" w:fill="5493A4"/>
      </w:tcPr>
    </w:tblStylePr>
    <w:tblStylePr w:type="lastRow">
      <w:rPr>
        <w:b w:val="0"/>
        <w:bCs/>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cBorders>
      </w:tcPr>
    </w:tblStylePr>
    <w:tblStylePr w:type="firstCol">
      <w:rPr>
        <w:b w:val="0"/>
        <w:bCs/>
      </w:rPr>
    </w:tblStylePr>
    <w:tblStylePr w:type="lastCol">
      <w:rPr>
        <w:b w:val="0"/>
        <w:bCs/>
      </w:rPr>
    </w:tblStylePr>
  </w:style>
  <w:style w:type="paragraph" w:customStyle="1" w:styleId="Body-nospace">
    <w:name w:val="Body - no space"/>
    <w:basedOn w:val="Body"/>
    <w:next w:val="Body"/>
    <w:qFormat/>
    <w:rsid w:val="007864C2"/>
    <w:pPr>
      <w:spacing w:after="0"/>
    </w:pPr>
  </w:style>
  <w:style w:type="paragraph" w:customStyle="1" w:styleId="TSVolHeading">
    <w:name w:val="TS Vol Heading"/>
    <w:basedOn w:val="Normal"/>
    <w:link w:val="TSVolHeadingChar"/>
    <w:autoRedefine/>
    <w:qFormat/>
    <w:rsid w:val="005D394C"/>
    <w:pPr>
      <w:shd w:val="clear" w:color="auto" w:fill="3B3B3B"/>
      <w:spacing w:before="120"/>
      <w:jc w:val="center"/>
    </w:pPr>
    <w:rPr>
      <w:rFonts w:eastAsia="Times New Roman" w:cs="Times New Roman"/>
      <w:b/>
      <w:caps/>
      <w:color w:val="FFD300"/>
      <w:sz w:val="32"/>
    </w:rPr>
  </w:style>
  <w:style w:type="character" w:customStyle="1" w:styleId="TSVolHeadingChar">
    <w:name w:val="TS Vol Heading Char"/>
    <w:link w:val="TSVolHeading"/>
    <w:rsid w:val="005D394C"/>
    <w:rPr>
      <w:rFonts w:eastAsia="Times New Roman" w:cs="Times New Roman"/>
      <w:b/>
      <w:caps/>
      <w:color w:val="FFD300"/>
      <w:sz w:val="32"/>
      <w:shd w:val="clear" w:color="auto" w:fill="3B3B3B"/>
    </w:rPr>
  </w:style>
  <w:style w:type="paragraph" w:customStyle="1" w:styleId="ORFPInstrSecL">
    <w:name w:val="O. RFP Instr./Sec. L"/>
    <w:basedOn w:val="Normal"/>
    <w:next w:val="Normal"/>
    <w:qFormat/>
    <w:rsid w:val="009B5480"/>
    <w:pPr>
      <w:shd w:val="clear" w:color="auto" w:fill="C0DFF7"/>
      <w:spacing w:after="40"/>
      <w:jc w:val="both"/>
    </w:pPr>
    <w:rPr>
      <w:rFonts w:eastAsia="Times New Roman" w:cs="Times New Roman"/>
      <w:bCs/>
      <w:color w:val="000000"/>
      <w:szCs w:val="28"/>
    </w:rPr>
  </w:style>
  <w:style w:type="paragraph" w:customStyle="1" w:styleId="OEvalFacSecM">
    <w:name w:val="O. Eval. Fac./Sec. M"/>
    <w:basedOn w:val="Normal"/>
    <w:next w:val="Normal"/>
    <w:qFormat/>
    <w:rsid w:val="009B5480"/>
    <w:pPr>
      <w:shd w:val="clear" w:color="auto" w:fill="BEE395"/>
      <w:spacing w:after="40"/>
      <w:jc w:val="both"/>
    </w:pPr>
    <w:rPr>
      <w:rFonts w:eastAsia="Times New Roman" w:cs="Times New Roman"/>
      <w:color w:val="000000"/>
      <w:szCs w:val="28"/>
    </w:rPr>
  </w:style>
  <w:style w:type="paragraph" w:customStyle="1" w:styleId="ORFPPWSSOWSecC">
    <w:name w:val="O. RFP PWS/SOW/Sec. C"/>
    <w:basedOn w:val="Normal"/>
    <w:next w:val="Normal"/>
    <w:qFormat/>
    <w:rsid w:val="009B5480"/>
    <w:pPr>
      <w:shd w:val="clear" w:color="auto" w:fill="FFFFB3"/>
      <w:spacing w:after="0" w:line="40" w:lineRule="atLeast"/>
      <w:jc w:val="both"/>
    </w:pPr>
    <w:rPr>
      <w:rFonts w:cs="Arial"/>
    </w:rPr>
  </w:style>
  <w:style w:type="character" w:customStyle="1" w:styleId="OWinStrategyChar">
    <w:name w:val="O. Win Strategy Char"/>
    <w:basedOn w:val="DefaultParagraphFont"/>
    <w:link w:val="OWinStrategy"/>
    <w:locked/>
    <w:rsid w:val="009B5480"/>
    <w:rPr>
      <w:rFonts w:cs="Times New Roman"/>
      <w:b/>
      <w:bCs/>
      <w:shd w:val="clear" w:color="auto" w:fill="FF99FF"/>
    </w:rPr>
  </w:style>
  <w:style w:type="paragraph" w:customStyle="1" w:styleId="OWinStrategy">
    <w:name w:val="O. Win Strategy"/>
    <w:basedOn w:val="Normal"/>
    <w:next w:val="Normal"/>
    <w:link w:val="OWinStrategyChar"/>
    <w:autoRedefine/>
    <w:qFormat/>
    <w:rsid w:val="009B5480"/>
    <w:pPr>
      <w:shd w:val="clear" w:color="auto" w:fill="FF99FF"/>
      <w:tabs>
        <w:tab w:val="left" w:pos="288"/>
      </w:tabs>
      <w:spacing w:after="40"/>
      <w:ind w:right="101"/>
      <w:jc w:val="both"/>
    </w:pPr>
    <w:rPr>
      <w:rFonts w:cs="Times New Roman"/>
      <w:b/>
      <w:bCs/>
    </w:rPr>
  </w:style>
  <w:style w:type="paragraph" w:customStyle="1" w:styleId="paragraph">
    <w:name w:val="paragraph"/>
    <w:basedOn w:val="Normal"/>
    <w:rsid w:val="00CF65FF"/>
    <w:pPr>
      <w:spacing w:before="100" w:beforeAutospacing="1" w:after="100" w:afterAutospacing="1"/>
    </w:pPr>
    <w:rPr>
      <w:rFonts w:eastAsia="Times New Roman" w:cs="Times New Roman"/>
      <w:lang w:val="en-IN" w:eastAsia="en-IN"/>
    </w:rPr>
  </w:style>
  <w:style w:type="character" w:customStyle="1" w:styleId="normaltextrun">
    <w:name w:val="normaltextrun"/>
    <w:basedOn w:val="DefaultParagraphFont"/>
    <w:rsid w:val="00CF65FF"/>
  </w:style>
  <w:style w:type="character" w:customStyle="1" w:styleId="eop">
    <w:name w:val="eop"/>
    <w:basedOn w:val="DefaultParagraphFont"/>
    <w:rsid w:val="00CF65FF"/>
  </w:style>
  <w:style w:type="paragraph" w:styleId="NormalWeb">
    <w:name w:val="Normal (Web)"/>
    <w:basedOn w:val="Normal"/>
    <w:uiPriority w:val="99"/>
    <w:semiHidden/>
    <w:unhideWhenUsed/>
    <w:rsid w:val="0084384A"/>
    <w:pPr>
      <w:spacing w:before="100" w:beforeAutospacing="1" w:after="100" w:afterAutospacing="1"/>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2677">
      <w:bodyDiv w:val="1"/>
      <w:marLeft w:val="0"/>
      <w:marRight w:val="0"/>
      <w:marTop w:val="0"/>
      <w:marBottom w:val="0"/>
      <w:divBdr>
        <w:top w:val="none" w:sz="0" w:space="0" w:color="auto"/>
        <w:left w:val="none" w:sz="0" w:space="0" w:color="auto"/>
        <w:bottom w:val="none" w:sz="0" w:space="0" w:color="auto"/>
        <w:right w:val="none" w:sz="0" w:space="0" w:color="auto"/>
      </w:divBdr>
      <w:divsChild>
        <w:div w:id="1293554573">
          <w:marLeft w:val="0"/>
          <w:marRight w:val="0"/>
          <w:marTop w:val="0"/>
          <w:marBottom w:val="0"/>
          <w:divBdr>
            <w:top w:val="none" w:sz="0" w:space="0" w:color="auto"/>
            <w:left w:val="none" w:sz="0" w:space="0" w:color="auto"/>
            <w:bottom w:val="none" w:sz="0" w:space="0" w:color="auto"/>
            <w:right w:val="none" w:sz="0" w:space="0" w:color="auto"/>
          </w:divBdr>
          <w:divsChild>
            <w:div w:id="449280378">
              <w:marLeft w:val="0"/>
              <w:marRight w:val="0"/>
              <w:marTop w:val="0"/>
              <w:marBottom w:val="0"/>
              <w:divBdr>
                <w:top w:val="none" w:sz="0" w:space="0" w:color="auto"/>
                <w:left w:val="none" w:sz="0" w:space="0" w:color="auto"/>
                <w:bottom w:val="none" w:sz="0" w:space="0" w:color="auto"/>
                <w:right w:val="none" w:sz="0" w:space="0" w:color="auto"/>
              </w:divBdr>
              <w:divsChild>
                <w:div w:id="2071807293">
                  <w:marLeft w:val="0"/>
                  <w:marRight w:val="0"/>
                  <w:marTop w:val="0"/>
                  <w:marBottom w:val="0"/>
                  <w:divBdr>
                    <w:top w:val="none" w:sz="0" w:space="0" w:color="auto"/>
                    <w:left w:val="none" w:sz="0" w:space="0" w:color="auto"/>
                    <w:bottom w:val="none" w:sz="0" w:space="0" w:color="auto"/>
                    <w:right w:val="none" w:sz="0" w:space="0" w:color="auto"/>
                  </w:divBdr>
                </w:div>
                <w:div w:id="1421751110">
                  <w:marLeft w:val="0"/>
                  <w:marRight w:val="0"/>
                  <w:marTop w:val="0"/>
                  <w:marBottom w:val="0"/>
                  <w:divBdr>
                    <w:top w:val="none" w:sz="0" w:space="0" w:color="auto"/>
                    <w:left w:val="none" w:sz="0" w:space="0" w:color="auto"/>
                    <w:bottom w:val="none" w:sz="0" w:space="0" w:color="auto"/>
                    <w:right w:val="none" w:sz="0" w:space="0" w:color="auto"/>
                  </w:divBdr>
                </w:div>
                <w:div w:id="357321087">
                  <w:marLeft w:val="0"/>
                  <w:marRight w:val="0"/>
                  <w:marTop w:val="0"/>
                  <w:marBottom w:val="0"/>
                  <w:divBdr>
                    <w:top w:val="none" w:sz="0" w:space="0" w:color="auto"/>
                    <w:left w:val="none" w:sz="0" w:space="0" w:color="auto"/>
                    <w:bottom w:val="none" w:sz="0" w:space="0" w:color="auto"/>
                    <w:right w:val="none" w:sz="0" w:space="0" w:color="auto"/>
                  </w:divBdr>
                </w:div>
              </w:divsChild>
            </w:div>
            <w:div w:id="756831316">
              <w:marLeft w:val="0"/>
              <w:marRight w:val="0"/>
              <w:marTop w:val="0"/>
              <w:marBottom w:val="0"/>
              <w:divBdr>
                <w:top w:val="none" w:sz="0" w:space="0" w:color="auto"/>
                <w:left w:val="none" w:sz="0" w:space="0" w:color="auto"/>
                <w:bottom w:val="none" w:sz="0" w:space="0" w:color="auto"/>
                <w:right w:val="none" w:sz="0" w:space="0" w:color="auto"/>
              </w:divBdr>
              <w:divsChild>
                <w:div w:id="907299960">
                  <w:marLeft w:val="0"/>
                  <w:marRight w:val="0"/>
                  <w:marTop w:val="0"/>
                  <w:marBottom w:val="0"/>
                  <w:divBdr>
                    <w:top w:val="none" w:sz="0" w:space="0" w:color="auto"/>
                    <w:left w:val="none" w:sz="0" w:space="0" w:color="auto"/>
                    <w:bottom w:val="none" w:sz="0" w:space="0" w:color="auto"/>
                    <w:right w:val="none" w:sz="0" w:space="0" w:color="auto"/>
                  </w:divBdr>
                </w:div>
              </w:divsChild>
            </w:div>
            <w:div w:id="2143882610">
              <w:marLeft w:val="0"/>
              <w:marRight w:val="0"/>
              <w:marTop w:val="0"/>
              <w:marBottom w:val="0"/>
              <w:divBdr>
                <w:top w:val="none" w:sz="0" w:space="0" w:color="auto"/>
                <w:left w:val="none" w:sz="0" w:space="0" w:color="auto"/>
                <w:bottom w:val="none" w:sz="0" w:space="0" w:color="auto"/>
                <w:right w:val="none" w:sz="0" w:space="0" w:color="auto"/>
              </w:divBdr>
              <w:divsChild>
                <w:div w:id="2084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0806">
      <w:bodyDiv w:val="1"/>
      <w:marLeft w:val="0"/>
      <w:marRight w:val="0"/>
      <w:marTop w:val="0"/>
      <w:marBottom w:val="0"/>
      <w:divBdr>
        <w:top w:val="none" w:sz="0" w:space="0" w:color="auto"/>
        <w:left w:val="none" w:sz="0" w:space="0" w:color="auto"/>
        <w:bottom w:val="none" w:sz="0" w:space="0" w:color="auto"/>
        <w:right w:val="none" w:sz="0" w:space="0" w:color="auto"/>
      </w:divBdr>
      <w:divsChild>
        <w:div w:id="427653634">
          <w:marLeft w:val="0"/>
          <w:marRight w:val="0"/>
          <w:marTop w:val="0"/>
          <w:marBottom w:val="0"/>
          <w:divBdr>
            <w:top w:val="none" w:sz="0" w:space="0" w:color="auto"/>
            <w:left w:val="none" w:sz="0" w:space="0" w:color="auto"/>
            <w:bottom w:val="none" w:sz="0" w:space="0" w:color="auto"/>
            <w:right w:val="none" w:sz="0" w:space="0" w:color="auto"/>
          </w:divBdr>
          <w:divsChild>
            <w:div w:id="1196504548">
              <w:marLeft w:val="0"/>
              <w:marRight w:val="0"/>
              <w:marTop w:val="0"/>
              <w:marBottom w:val="0"/>
              <w:divBdr>
                <w:top w:val="none" w:sz="0" w:space="0" w:color="auto"/>
                <w:left w:val="none" w:sz="0" w:space="0" w:color="auto"/>
                <w:bottom w:val="none" w:sz="0" w:space="0" w:color="auto"/>
                <w:right w:val="none" w:sz="0" w:space="0" w:color="auto"/>
              </w:divBdr>
              <w:divsChild>
                <w:div w:id="2015567767">
                  <w:marLeft w:val="0"/>
                  <w:marRight w:val="0"/>
                  <w:marTop w:val="0"/>
                  <w:marBottom w:val="0"/>
                  <w:divBdr>
                    <w:top w:val="none" w:sz="0" w:space="0" w:color="auto"/>
                    <w:left w:val="none" w:sz="0" w:space="0" w:color="auto"/>
                    <w:bottom w:val="none" w:sz="0" w:space="0" w:color="auto"/>
                    <w:right w:val="none" w:sz="0" w:space="0" w:color="auto"/>
                  </w:divBdr>
                </w:div>
                <w:div w:id="86929317">
                  <w:marLeft w:val="0"/>
                  <w:marRight w:val="0"/>
                  <w:marTop w:val="0"/>
                  <w:marBottom w:val="0"/>
                  <w:divBdr>
                    <w:top w:val="none" w:sz="0" w:space="0" w:color="auto"/>
                    <w:left w:val="none" w:sz="0" w:space="0" w:color="auto"/>
                    <w:bottom w:val="none" w:sz="0" w:space="0" w:color="auto"/>
                    <w:right w:val="none" w:sz="0" w:space="0" w:color="auto"/>
                  </w:divBdr>
                </w:div>
                <w:div w:id="8478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2dfaf2-0648-4b7c-affc-747545cf8c05" xsi:nil="true"/>
    <lcf76f155ced4ddcb4097134ff3c332f xmlns="25099bb4-f3d9-4612-bc47-fddcd7f34272">
      <Terms xmlns="http://schemas.microsoft.com/office/infopath/2007/PartnerControls"/>
    </lcf76f155ced4ddcb4097134ff3c332f>
    <Comments xmlns="25099bb4-f3d9-4612-bc47-fddcd7f3427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F006C-8632-4FAE-AD62-6A940ADD2E8A}">
  <ds:schemaRef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5d487803-9fac-4ae3-9c0e-a7dfb0939ad5"/>
    <ds:schemaRef ds:uri="842ad3b3-48fd-415a-88cb-54ab946ba57b"/>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417D2AE-D22E-496D-8CF8-154999491F80}"/>
</file>

<file path=customXml/itemProps3.xml><?xml version="1.0" encoding="utf-8"?>
<ds:datastoreItem xmlns:ds="http://schemas.openxmlformats.org/officeDocument/2006/customXml" ds:itemID="{5B6CC276-B24C-43B2-8DF0-7A663BC41ACE}">
  <ds:schemaRefs>
    <ds:schemaRef ds:uri="http://schemas.openxmlformats.org/officeDocument/2006/bibliography"/>
  </ds:schemaRefs>
</ds:datastoreItem>
</file>

<file path=customXml/itemProps4.xml><?xml version="1.0" encoding="utf-8"?>
<ds:datastoreItem xmlns:ds="http://schemas.openxmlformats.org/officeDocument/2006/customXml" ds:itemID="{05D2AD1C-456E-4F75-8598-A9335120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TASC Inc.</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Kowalewski</dc:creator>
  <cp:lastModifiedBy>Amit Yadav</cp:lastModifiedBy>
  <cp:revision>119</cp:revision>
  <dcterms:created xsi:type="dcterms:W3CDTF">2022-03-29T20:16:00Z</dcterms:created>
  <dcterms:modified xsi:type="dcterms:W3CDTF">2023-01-20T02:47:00Z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2f89ecc5-9547-4834-8aaf-a34e93a9480d</vt:lpwstr>
  </property>
  <property fmtid="{D5CDD505-2E9C-101B-9397-08002B2CF9AE}" pid="3" name="ContentTypeId">
    <vt:lpwstr>0x01010094B8782C6255EA4BBB4FAE2460AD2927</vt:lpwstr>
  </property>
  <property fmtid="{D5CDD505-2E9C-101B-9397-08002B2CF9AE}" pid="4" name="Order">
    <vt:r8>176600</vt:r8>
  </property>
  <property fmtid="{D5CDD505-2E9C-101B-9397-08002B2CF9AE}" pid="5" name="ComplianceAssetId">
    <vt:lpwstr/>
  </property>
  <property fmtid="{D5CDD505-2E9C-101B-9397-08002B2CF9AE}" pid="6" name="GrammarlyDocumentId">
    <vt:lpwstr>36a85881c17de54c5af2b053d734eeccd54e0d4899e87d7c65128896802ee79e</vt:lpwstr>
  </property>
  <property fmtid="{D5CDD505-2E9C-101B-9397-08002B2CF9AE}" pid="7" name="MediaServiceImageTags">
    <vt:lpwstr/>
  </property>
</Properties>
</file>