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5213B"/>
          <w:sz w:val="32"/>
        </w:rPr>
        <w:t>Invention Brief — AWI Resolve</w:t>
      </w:r>
    </w:p>
    <w:p>
      <w:pPr>
        <w:spacing w:after="120" w:before="0"/>
      </w:pPr>
      <w:r>
        <w:rPr>
          <w:rFonts w:ascii="Calibri" w:hAnsi="Calibri"/>
          <w:b w:val="0"/>
          <w:i/>
          <w:sz w:val="22"/>
        </w:rPr>
        <w:t>Autonomous, consent-gated IT support agent with dual-gated privileged execution and pinned software deployment</w:t>
      </w:r>
    </w:p>
    <w:p>
      <w:pPr>
        <w:spacing w:after="40"/>
      </w:pPr>
      <w:r>
        <w:rPr>
          <w:b/>
          <w:sz w:val="20"/>
        </w:rPr>
        <w:t xml:space="preserve">Prepared for: </w:t>
      </w:r>
      <w:r>
        <w:rPr>
          <w:sz w:val="20"/>
        </w:rPr>
        <w:t>Patent counsel (intake only — not a patent application)</w:t>
      </w:r>
    </w:p>
    <w:p>
      <w:pPr>
        <w:spacing w:after="40"/>
      </w:pPr>
      <w:r>
        <w:rPr>
          <w:b/>
          <w:sz w:val="20"/>
        </w:rPr>
        <w:t xml:space="preserve">Applicant (indicative): </w:t>
      </w:r>
      <w:r>
        <w:rPr>
          <w:sz w:val="20"/>
        </w:rPr>
        <w:t>Alpha Web Innovations Private Limited</w:t>
      </w:r>
    </w:p>
    <w:p>
      <w:pPr>
        <w:spacing w:after="40"/>
      </w:pPr>
      <w:r>
        <w:rPr>
          <w:b/>
          <w:sz w:val="20"/>
        </w:rPr>
        <w:t xml:space="preserve">Product: </w:t>
      </w:r>
      <w:r>
        <w:rPr>
          <w:sz w:val="20"/>
        </w:rPr>
        <w:t>AWI Resolve (on-device Windows agent + orchestrator)</w:t>
      </w:r>
    </w:p>
    <w:p>
      <w:pPr>
        <w:spacing w:after="40"/>
      </w:pPr>
      <w:r>
        <w:rPr>
          <w:b/>
          <w:sz w:val="20"/>
        </w:rPr>
        <w:t xml:space="preserve">Date: </w:t>
      </w:r>
      <w:r>
        <w:rPr>
          <w:sz w:val="20"/>
        </w:rPr>
        <w:t>17 August 2026</w:t>
      </w:r>
    </w:p>
    <w:p>
      <w:pPr>
        <w:spacing w:after="40"/>
      </w:pPr>
      <w:r>
        <w:rPr>
          <w:b/>
          <w:sz w:val="20"/>
        </w:rPr>
        <w:t xml:space="preserve">Status: </w:t>
      </w:r>
      <w:r>
        <w:rPr>
          <w:sz w:val="20"/>
        </w:rPr>
        <w:t>Confidential — for attorney review</w:t>
      </w:r>
    </w:p>
    <w:p>
      <w:pPr>
        <w:pStyle w:val="Heading1"/>
      </w:pPr>
      <w:r>
        <w:rPr>
          <w:color w:val="15213B"/>
        </w:rPr>
        <w:t>1. Problem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0"/>
        </w:rPr>
        <w:t>Organisations want AI-driven IT support on end-user PCs, but existing approaches fail one or more safety requirements: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Unsupervised shell / RMM can change the machine without the end user seeing the exact action.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Chatbots guide users but cannot safely apply fixes or install software with auditability.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“Attach an installer / URL” workflows let end users smuggle unvetted binaries into automated install paths.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Privileged AI modes (free-form PowerShell) are either always on (too risky) or absent (too weak), with no organisational second gate.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Customer-supplied manuals either never reach the model mid-session, or are treated as instructions that could jailbreak the agent.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0"/>
        </w:rPr>
        <w:t>Needed: a system that does diagnose and fix, can deploy software, and can run broader commands when authorised — without letting end-user attachments or a single licence flag become a security bypass.</w:t>
      </w:r>
    </w:p>
    <w:p>
      <w:pPr>
        <w:pStyle w:val="Heading1"/>
      </w:pPr>
      <w:r>
        <w:rPr>
          <w:color w:val="15213B"/>
        </w:rPr>
        <w:t>2. Technical solution (summary)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0"/>
        </w:rPr>
        <w:t>AWI Resolve runs a local Windows agent (diagnostics, consent UI, install/execution) and a support orchestrator (AI planner, catalogues, licensing, session state).</w:t>
      </w:r>
    </w:p>
    <w:p>
      <w:pPr>
        <w:spacing w:after="120" w:before="0"/>
      </w:pPr>
      <w:r>
        <w:rPr>
          <w:rFonts w:ascii="Calibri" w:hAnsi="Calibri"/>
          <w:b/>
          <w:i w:val="0"/>
          <w:sz w:val="20"/>
        </w:rPr>
        <w:t>Core mechanism — layered authority for change: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Calibri" w:hAnsi="Calibri"/>
                <w:b/>
                <w:sz w:val="18"/>
              </w:rPr>
              <w:t>Layer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/>
                <w:sz w:val="18"/>
              </w:rPr>
              <w:t>What it controls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A. Tool allowlist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Default plans only invoke vetted tools (diagnostics + named fixes). No free-form shell.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B. End-user consent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Any non-trivial change (service restart, deploy, PowerShell) shows the exact action/command; decline/timeout escalates.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C. Global + org software catalogues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Auto-install only via productId → pinned HTTPS URL + SHA-256 (and optional settings). End-user chat attachments cannot supply install URLs or unlock catalogue installs.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D. Dual-gated Full IT Support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run_powershell (and off-catalogue official installs via it) require both a Full licence capability and an org-admin “allow Full IT Support” toggle. Exact command shown for Yes/No; runtime/output capped; illegitimate asks refused in policy.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E. Untrusted document channel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Customer PDFs/screenshots are queued per device, injected into the same conversation (including follow-ups) as marked untrusted reference data — usable for guidance, not as install authority.</w:t>
            </w:r>
          </w:p>
        </w:tc>
      </w:tr>
    </w:tbl>
    <w:p/>
    <w:p>
      <w:pPr>
        <w:spacing w:after="120" w:before="0"/>
      </w:pPr>
      <w:r>
        <w:rPr>
          <w:rFonts w:ascii="Calibri" w:hAnsi="Calibri"/>
          <w:b w:val="0"/>
          <w:i w:val="0"/>
          <w:sz w:val="20"/>
        </w:rPr>
        <w:t>Session outputs include a structured report (what was checked, changed, declined, not done) for handoff.</w:t>
      </w:r>
    </w:p>
    <w:p>
      <w:pPr>
        <w:pStyle w:val="Heading1"/>
      </w:pPr>
      <w:r>
        <w:rPr>
          <w:color w:val="15213B"/>
        </w:rPr>
        <w:t>3. Claims-style bullets (for counsel — illustrative, not formal claims)</w:t>
      </w:r>
    </w:p>
    <w:p>
      <w:pPr>
        <w:pStyle w:val="ListNumber"/>
        <w:spacing w:after="80"/>
      </w:pPr>
      <w:r>
        <w:rPr>
          <w:rFonts w:ascii="Calibri" w:hAnsi="Calibri"/>
          <w:sz w:val="19"/>
        </w:rPr>
        <w:t>A method of autonomous endpoint IT support comprising: performing read-only diagnostics via an on-device agent; proposing machine-changing actions only through a fixed tool interface; and gating each such action on explicit end-user consent that displays the precise action or command text.</w:t>
      </w:r>
    </w:p>
    <w:p>
      <w:pPr>
        <w:pStyle w:val="ListNumber"/>
        <w:spacing w:after="80"/>
      </w:pPr>
      <w:r>
        <w:rPr>
          <w:rFonts w:ascii="Calibri" w:hAnsi="Calibri"/>
          <w:sz w:val="19"/>
        </w:rPr>
        <w:t>The method of (1), wherein software installation is permitted only by resolving a catalogue or organisation-library product identifier to a server-side pinned download location and cryptographic checksum, and wherein content attached by the end user in chat is excluded from supplying install locations or product identifiers for automatic installation.</w:t>
      </w:r>
    </w:p>
    <w:p>
      <w:pPr>
        <w:pStyle w:val="ListNumber"/>
        <w:spacing w:after="80"/>
      </w:pPr>
      <w:r>
        <w:rPr>
          <w:rFonts w:ascii="Calibri" w:hAnsi="Calibri"/>
          <w:sz w:val="19"/>
        </w:rPr>
        <w:t>The method of (1)–(2), further comprising enabling a privileged execution tool (e.g. arbitrary PowerShell) only when both (i) a licence/capability flag for full support and (ii) an organisation-administrator policy flag are asserted, and presenting the exact command string for consent before execution under resource caps.</w:t>
      </w:r>
    </w:p>
    <w:p>
      <w:pPr>
        <w:pStyle w:val="ListNumber"/>
        <w:spacing w:after="80"/>
      </w:pPr>
      <w:r>
        <w:rPr>
          <w:rFonts w:ascii="Calibri" w:hAnsi="Calibri"/>
          <w:sz w:val="19"/>
        </w:rPr>
        <w:t>The method of (3), wherein after catalogue and organisation-library checks fail to match a user-requested product, the privileged tool may install from a vendor official HTTPS source or package manager, subject to the dual gate and consent of (3).</w:t>
      </w:r>
    </w:p>
    <w:p>
      <w:pPr>
        <w:pStyle w:val="ListNumber"/>
        <w:spacing w:after="80"/>
      </w:pPr>
      <w:r>
        <w:rPr>
          <w:rFonts w:ascii="Calibri" w:hAnsi="Calibri"/>
          <w:sz w:val="19"/>
        </w:rPr>
        <w:t>A system comprising an on-device agent and an orchestrator that maintain per-device pending attachments; extract text from uploaded documents; and inject those attachments into an ongoing multi-turn support session as delimited untrusted reference data without treating them as executable instructions or install authorisations.</w:t>
      </w:r>
    </w:p>
    <w:p>
      <w:pPr>
        <w:pStyle w:val="ListNumber"/>
        <w:spacing w:after="80"/>
      </w:pPr>
      <w:r>
        <w:rPr>
          <w:rFonts w:ascii="Calibri" w:hAnsi="Calibri"/>
          <w:sz w:val="19"/>
        </w:rPr>
        <w:t>The system of (1)–(5), further generating a session record enumerating diagnostics performed, actions applied, actions declined or timed out, and items explicitly not done, for human escalation.</w:t>
      </w:r>
    </w:p>
    <w:p>
      <w:pPr>
        <w:pStyle w:val="ListNumber"/>
        <w:spacing w:after="80"/>
      </w:pPr>
      <w:r>
        <w:rPr>
          <w:rFonts w:ascii="Calibri" w:hAnsi="Calibri"/>
          <w:sz w:val="19"/>
        </w:rPr>
        <w:t>A computer-readable medium storing instructions that, when executed, cause a computing system to perform any of (1)–(6).</w:t>
      </w:r>
    </w:p>
    <w:p>
      <w:pPr>
        <w:pStyle w:val="Heading1"/>
      </w:pPr>
      <w:r>
        <w:rPr>
          <w:color w:val="15213B"/>
        </w:rPr>
        <w:t>4. Embodiments / implementation notes (non-limiting)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Windows 10/11 agent UI with paperclip, clipboard paste, and drag-and-drop for images/docs.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Org software library: admin-stored manual text + HTTPS link + SHA-256; deploy tool accepts only productId.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Licensing plans (e.g. trial / standard / pro / full / time-bounded pass) map to capability sets including fullSupport.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Orchestrator refuses off-allowlist tools at the agent; safety probe can verify refusal.</w:t>
      </w:r>
    </w:p>
    <w:p>
      <w:pPr>
        <w:pStyle w:val="Heading1"/>
      </w:pPr>
      <w:r>
        <w:rPr>
          <w:color w:val="15213B"/>
        </w:rPr>
        <w:t>5. Prior art to search (suggested)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0"/>
        </w:rPr>
        <w:t>AI IT helpdesks; RMM with script approval; Intune/winget automation; “human-in-the-loop” LLM tool use; software catalogues with hash verification; DLP/untrusted document wrapping for LLMs.</w:t>
      </w:r>
    </w:p>
    <w:p>
      <w:pPr>
        <w:pStyle w:val="Heading1"/>
      </w:pPr>
      <w:r>
        <w:rPr>
          <w:color w:val="15213B"/>
        </w:rPr>
        <w:t>6. Inventorship / filing notes for counsel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Confirm inventors (engineering contributors to layers C–E and dual gate).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Check public disclosures (website, trials, GitHub) vs novelty deadlines (India / PCT).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Consider provisional + later PCT; parallel trademark for “AWI Resolve”.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Preserve unpublished implementation details as trade secret where not claimed.</w:t>
      </w:r>
    </w:p>
    <w:p>
      <w:pPr>
        <w:spacing w:after="120" w:before="0"/>
      </w:pPr>
      <w:r>
        <w:rPr>
          <w:rFonts w:ascii="Calibri" w:hAnsi="Calibri"/>
          <w:b w:val="0"/>
          <w:i/>
          <w:sz w:val="20"/>
        </w:rPr>
        <w:t>End of invention brief. Expand into formal specification only under attorney direction.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