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1908E" w14:textId="0EBAC12A" w:rsidR="004B08E1" w:rsidRPr="004B08E1" w:rsidRDefault="00434FEA" w:rsidP="004B08E1">
      <w:pPr>
        <w:rPr>
          <w:b/>
          <w:bCs/>
        </w:rPr>
      </w:pPr>
      <w:r>
        <w:rPr>
          <w:b/>
          <w:bCs/>
        </w:rPr>
        <w:t xml:space="preserve">Central </w:t>
      </w:r>
      <w:r w:rsidR="004B08E1" w:rsidRPr="004B08E1">
        <w:rPr>
          <w:b/>
          <w:bCs/>
        </w:rPr>
        <w:t>Integration Hub – Vision</w:t>
      </w:r>
    </w:p>
    <w:p w14:paraId="29138356" w14:textId="77777777" w:rsidR="004B08E1" w:rsidRPr="004B08E1" w:rsidRDefault="004B08E1" w:rsidP="004B08E1">
      <w:pPr>
        <w:rPr>
          <w:b/>
          <w:bCs/>
        </w:rPr>
      </w:pPr>
      <w:r w:rsidRPr="004B08E1">
        <w:rPr>
          <w:b/>
          <w:bCs/>
        </w:rPr>
        <w:t>1. What &amp; Why (2–3 short paragraphs)</w:t>
      </w:r>
    </w:p>
    <w:p w14:paraId="6CA23582" w14:textId="77777777" w:rsidR="004B08E1" w:rsidRPr="004B08E1" w:rsidRDefault="004B08E1" w:rsidP="004B08E1">
      <w:r w:rsidRPr="004B08E1">
        <w:t>The Integration Hub is a central platform that standardizes how our organization talks to external vendors. Instead of every product team wiring their own APIs, schemas, and retries, they plug into one Hub that handles routing, validation, mapping, security, logging, and AI-driven formatting. The Hub owns the “last mile” to vendors.</w:t>
      </w:r>
    </w:p>
    <w:p w14:paraId="25EBB011" w14:textId="77777777" w:rsidR="004B08E1" w:rsidRPr="004B08E1" w:rsidRDefault="004B08E1" w:rsidP="004B08E1">
      <w:r w:rsidRPr="004B08E1">
        <w:t>This solves three chronic problems: integration sprawl, inconsistent data contracts, and opaque failures. By enforcing canonical schemas, directional access (who can call whom), and full observability, we turn vendor integrations from bespoke projects into a repeatable capability. The AI layer adds human-readable responses and “smart” workflows on top of otherwise raw JSON pipes.</w:t>
      </w:r>
    </w:p>
    <w:p w14:paraId="5DCE4F1F" w14:textId="77777777" w:rsidR="004B08E1" w:rsidRPr="004B08E1" w:rsidRDefault="004B08E1" w:rsidP="004B08E1">
      <w:r w:rsidRPr="004B08E1">
        <w:t>The long-term vision: any external workflow (Amazon Connect, web apps, internal tools, AI agents) can invoke the Hub with a single, stable contract and trust it to do the right thing with vendors — safely, consistently, and at scale.</w:t>
      </w:r>
    </w:p>
    <w:p w14:paraId="4EBE3506" w14:textId="77777777" w:rsidR="004B08E1" w:rsidRPr="004B08E1" w:rsidRDefault="004B08E1" w:rsidP="004B08E1">
      <w:r w:rsidRPr="004B08E1">
        <w:pict w14:anchorId="79C907A5">
          <v:rect id="_x0000_i1056" style="width:0;height:1.5pt" o:hralign="center" o:hrstd="t" o:hr="t" fillcolor="#a0a0a0" stroked="f"/>
        </w:pict>
      </w:r>
    </w:p>
    <w:p w14:paraId="7204FC12" w14:textId="77777777" w:rsidR="004B08E1" w:rsidRPr="004B08E1" w:rsidRDefault="004B08E1" w:rsidP="004B08E1">
      <w:pPr>
        <w:rPr>
          <w:b/>
          <w:bCs/>
        </w:rPr>
      </w:pPr>
      <w:r w:rsidRPr="004B08E1">
        <w:rPr>
          <w:b/>
          <w:bCs/>
        </w:rPr>
        <w:t>2. Invariants (must never break)</w:t>
      </w:r>
    </w:p>
    <w:p w14:paraId="44473706" w14:textId="77777777" w:rsidR="004B08E1" w:rsidRPr="004B08E1" w:rsidRDefault="004B08E1" w:rsidP="004B08E1">
      <w:pPr>
        <w:numPr>
          <w:ilvl w:val="0"/>
          <w:numId w:val="1"/>
        </w:numPr>
      </w:pPr>
      <w:r w:rsidRPr="004B08E1">
        <w:rPr>
          <w:b/>
          <w:bCs/>
        </w:rPr>
        <w:t>Tenant isolation</w:t>
      </w:r>
      <w:r w:rsidRPr="004B08E1">
        <w:br/>
        <w:t>Vendor A’s data (DB rows, logs, mappings, endpoints, transactions) must never be visible to Vendor B.</w:t>
      </w:r>
    </w:p>
    <w:p w14:paraId="7B16BE03" w14:textId="77777777" w:rsidR="004B08E1" w:rsidRPr="004B08E1" w:rsidRDefault="004B08E1" w:rsidP="004B08E1">
      <w:pPr>
        <w:numPr>
          <w:ilvl w:val="0"/>
          <w:numId w:val="1"/>
        </w:numPr>
      </w:pPr>
      <w:r w:rsidRPr="004B08E1">
        <w:rPr>
          <w:b/>
          <w:bCs/>
        </w:rPr>
        <w:t>Direction correctness</w:t>
      </w:r>
      <w:r w:rsidRPr="004B08E1">
        <w:br/>
        <w:t>OUTBOUND means “from source to target”, INBOUND means “target receiving from source”. We never flip or reinterpret these.</w:t>
      </w:r>
    </w:p>
    <w:p w14:paraId="32847B51" w14:textId="77777777" w:rsidR="004B08E1" w:rsidRPr="004B08E1" w:rsidRDefault="004B08E1" w:rsidP="004B08E1">
      <w:pPr>
        <w:numPr>
          <w:ilvl w:val="0"/>
          <w:numId w:val="1"/>
        </w:numPr>
      </w:pPr>
      <w:r w:rsidRPr="004B08E1">
        <w:rPr>
          <w:b/>
          <w:bCs/>
        </w:rPr>
        <w:t>Effective contract rule</w:t>
      </w:r>
      <w:r w:rsidRPr="004B08E1">
        <w:br/>
        <w:t xml:space="preserve">A vendor contract row overrides canonical; if no vendor contract exists, canonical must be used automatically. We only return CONTRACT_NOT_FOUND when </w:t>
      </w:r>
      <w:r w:rsidRPr="004B08E1">
        <w:rPr>
          <w:i/>
          <w:iCs/>
        </w:rPr>
        <w:t>both</w:t>
      </w:r>
      <w:r w:rsidRPr="004B08E1">
        <w:t xml:space="preserve"> are absent.</w:t>
      </w:r>
    </w:p>
    <w:p w14:paraId="1F7BA094" w14:textId="77777777" w:rsidR="004B08E1" w:rsidRPr="004B08E1" w:rsidRDefault="004B08E1" w:rsidP="004B08E1">
      <w:pPr>
        <w:numPr>
          <w:ilvl w:val="0"/>
          <w:numId w:val="1"/>
        </w:numPr>
      </w:pPr>
      <w:r w:rsidRPr="004B08E1">
        <w:rPr>
          <w:b/>
          <w:bCs/>
        </w:rPr>
        <w:t>Effective mapping rule</w:t>
      </w:r>
      <w:r w:rsidRPr="004B08E1">
        <w:br/>
        <w:t xml:space="preserve">If explicit vendor mappings are missing but the canonical schema validates, we treat this as </w:t>
      </w:r>
      <w:r w:rsidRPr="004B08E1">
        <w:rPr>
          <w:b/>
          <w:bCs/>
        </w:rPr>
        <w:t>canonical pass-through</w:t>
      </w:r>
      <w:r w:rsidRPr="004B08E1">
        <w:t>, not a mapping failure. Mapping cannot silently change behavior across environments.</w:t>
      </w:r>
    </w:p>
    <w:p w14:paraId="64CC128C" w14:textId="77777777" w:rsidR="004B08E1" w:rsidRPr="004B08E1" w:rsidRDefault="004B08E1" w:rsidP="004B08E1">
      <w:pPr>
        <w:numPr>
          <w:ilvl w:val="0"/>
          <w:numId w:val="1"/>
        </w:numPr>
      </w:pPr>
      <w:r w:rsidRPr="004B08E1">
        <w:rPr>
          <w:b/>
          <w:bCs/>
        </w:rPr>
        <w:t>Endpoint resolution rule</w:t>
      </w:r>
      <w:r w:rsidRPr="004B08E1">
        <w:br/>
        <w:t xml:space="preserve">We only return ENDPOINT_NOT_FOUND when there is no active endpoint (including allowed fallback) for (vendor, operation, </w:t>
      </w:r>
      <w:proofErr w:type="spellStart"/>
      <w:r w:rsidRPr="004B08E1">
        <w:t>flow_direction</w:t>
      </w:r>
      <w:proofErr w:type="spellEnd"/>
      <w:r w:rsidRPr="004B08E1">
        <w:t>).</w:t>
      </w:r>
    </w:p>
    <w:p w14:paraId="03F07B53" w14:textId="77777777" w:rsidR="004B08E1" w:rsidRPr="004B08E1" w:rsidRDefault="004B08E1" w:rsidP="004B08E1">
      <w:pPr>
        <w:numPr>
          <w:ilvl w:val="0"/>
          <w:numId w:val="1"/>
        </w:numPr>
      </w:pPr>
      <w:r w:rsidRPr="004B08E1">
        <w:rPr>
          <w:b/>
          <w:bCs/>
        </w:rPr>
        <w:lastRenderedPageBreak/>
        <w:t>Idempotency safety</w:t>
      </w:r>
      <w:r w:rsidRPr="004B08E1">
        <w:br/>
        <w:t>The same idempotency key + (</w:t>
      </w:r>
      <w:proofErr w:type="spellStart"/>
      <w:r w:rsidRPr="004B08E1">
        <w:t>source_vendor</w:t>
      </w:r>
      <w:proofErr w:type="spellEnd"/>
      <w:r w:rsidRPr="004B08E1">
        <w:t xml:space="preserve">, </w:t>
      </w:r>
      <w:proofErr w:type="spellStart"/>
      <w:r w:rsidRPr="004B08E1">
        <w:t>target_vendor</w:t>
      </w:r>
      <w:proofErr w:type="spellEnd"/>
      <w:r w:rsidRPr="004B08E1">
        <w:t>, operation) must not produce multiple distinct side effects.</w:t>
      </w:r>
    </w:p>
    <w:p w14:paraId="3BB7D94C" w14:textId="77777777" w:rsidR="004B08E1" w:rsidRPr="004B08E1" w:rsidRDefault="004B08E1" w:rsidP="004B08E1">
      <w:pPr>
        <w:numPr>
          <w:ilvl w:val="0"/>
          <w:numId w:val="1"/>
        </w:numPr>
      </w:pPr>
      <w:r w:rsidRPr="004B08E1">
        <w:rPr>
          <w:b/>
          <w:bCs/>
        </w:rPr>
        <w:t>Audit completeness</w:t>
      </w:r>
      <w:r w:rsidRPr="004B08E1">
        <w:br/>
        <w:t>Every execution must produce a traceable transaction record (status, timestamps, key decisions like contract source, mapping source, endpoint used).</w:t>
      </w:r>
    </w:p>
    <w:p w14:paraId="171810A7" w14:textId="56E10CC0" w:rsidR="004B08E1" w:rsidRPr="004B08E1" w:rsidRDefault="004B08E1" w:rsidP="004B08E1">
      <w:pPr>
        <w:numPr>
          <w:ilvl w:val="0"/>
          <w:numId w:val="1"/>
        </w:numPr>
      </w:pPr>
      <w:r w:rsidRPr="004B08E1">
        <w:rPr>
          <w:b/>
          <w:bCs/>
        </w:rPr>
        <w:t>Auth separation</w:t>
      </w:r>
      <w:r w:rsidRPr="004B08E1">
        <w:br/>
        <w:t>Portal authentication (users/Okta</w:t>
      </w:r>
      <w:proofErr w:type="gramStart"/>
      <w:r w:rsidRPr="004B08E1">
        <w:t>)</w:t>
      </w:r>
      <w:r w:rsidR="00786EFD">
        <w:t xml:space="preserve">, </w:t>
      </w:r>
      <w:r w:rsidRPr="004B08E1">
        <w:t xml:space="preserve"> (</w:t>
      </w:r>
      <w:proofErr w:type="gramEnd"/>
      <w:r w:rsidRPr="004B08E1">
        <w:t>Runtime API, AI Gateway) must be kept logically separate and not conflated.</w:t>
      </w:r>
    </w:p>
    <w:p w14:paraId="11439A8E" w14:textId="77777777" w:rsidR="004B08E1" w:rsidRPr="004B08E1" w:rsidRDefault="004B08E1" w:rsidP="004B08E1">
      <w:pPr>
        <w:numPr>
          <w:ilvl w:val="0"/>
          <w:numId w:val="1"/>
        </w:numPr>
      </w:pPr>
      <w:r w:rsidRPr="004B08E1">
        <w:rPr>
          <w:b/>
          <w:bCs/>
        </w:rPr>
        <w:t>Schema truth</w:t>
      </w:r>
      <w:r w:rsidRPr="004B08E1">
        <w:br/>
        <w:t>Alembic migrations are the single source of truth for DB schema. No Lambda or script is allowed to create/alter tables at runtime.</w:t>
      </w:r>
    </w:p>
    <w:p w14:paraId="698D02CA" w14:textId="77777777" w:rsidR="004B08E1" w:rsidRPr="004B08E1" w:rsidRDefault="004B08E1" w:rsidP="004B08E1">
      <w:pPr>
        <w:numPr>
          <w:ilvl w:val="0"/>
          <w:numId w:val="1"/>
        </w:numPr>
      </w:pPr>
      <w:r w:rsidRPr="004B08E1">
        <w:rPr>
          <w:b/>
          <w:bCs/>
        </w:rPr>
        <w:t>Environment isolation</w:t>
      </w:r>
      <w:r w:rsidRPr="004B08E1">
        <w:br/>
        <w:t xml:space="preserve">Local, dev, and prod must never share DBs or runtime state. Feature flags and domains must be </w:t>
      </w:r>
      <w:proofErr w:type="gramStart"/>
      <w:r w:rsidRPr="004B08E1">
        <w:t>environment-specific</w:t>
      </w:r>
      <w:proofErr w:type="gramEnd"/>
      <w:r w:rsidRPr="004B08E1">
        <w:t>.</w:t>
      </w:r>
    </w:p>
    <w:p w14:paraId="61B0EAFA" w14:textId="77777777" w:rsidR="004B08E1" w:rsidRPr="004B08E1" w:rsidRDefault="004B08E1" w:rsidP="004B08E1">
      <w:r w:rsidRPr="004B08E1">
        <w:pict w14:anchorId="303737E2">
          <v:rect id="_x0000_i1057" style="width:0;height:1.5pt" o:hralign="center" o:hrstd="t" o:hr="t" fillcolor="#a0a0a0" stroked="f"/>
        </w:pict>
      </w:r>
    </w:p>
    <w:p w14:paraId="5B3372BA" w14:textId="77777777" w:rsidR="004B08E1" w:rsidRPr="004B08E1" w:rsidRDefault="004B08E1" w:rsidP="004B08E1">
      <w:pPr>
        <w:rPr>
          <w:b/>
          <w:bCs/>
        </w:rPr>
      </w:pPr>
      <w:r w:rsidRPr="004B08E1">
        <w:rPr>
          <w:b/>
          <w:bCs/>
        </w:rPr>
        <w:t>3. Design Principles</w:t>
      </w:r>
    </w:p>
    <w:p w14:paraId="5FC537B7" w14:textId="77777777" w:rsidR="004B08E1" w:rsidRPr="004B08E1" w:rsidRDefault="004B08E1" w:rsidP="004B08E1">
      <w:pPr>
        <w:numPr>
          <w:ilvl w:val="0"/>
          <w:numId w:val="2"/>
        </w:numPr>
      </w:pPr>
      <w:r w:rsidRPr="004B08E1">
        <w:rPr>
          <w:b/>
          <w:bCs/>
        </w:rPr>
        <w:t>Canonical-first</w:t>
      </w:r>
      <w:r w:rsidRPr="004B08E1">
        <w:br/>
        <w:t>Model the world in canonical operations and schemas; vendor specifics are overlays, not the foundation.</w:t>
      </w:r>
    </w:p>
    <w:p w14:paraId="2BF741C5" w14:textId="77777777" w:rsidR="004B08E1" w:rsidRPr="004B08E1" w:rsidRDefault="004B08E1" w:rsidP="004B08E1">
      <w:pPr>
        <w:numPr>
          <w:ilvl w:val="0"/>
          <w:numId w:val="2"/>
        </w:numPr>
      </w:pPr>
      <w:r w:rsidRPr="004B08E1">
        <w:rPr>
          <w:b/>
          <w:bCs/>
        </w:rPr>
        <w:t>Fallbacks everywhere</w:t>
      </w:r>
      <w:r w:rsidRPr="004B08E1">
        <w:br/>
        <w:t xml:space="preserve">Prefer “effective” behavior (vendor override → canonical fallback) over brittle hard </w:t>
      </w:r>
      <w:proofErr w:type="gramStart"/>
      <w:r w:rsidRPr="004B08E1">
        <w:t>failures, but</w:t>
      </w:r>
      <w:proofErr w:type="gramEnd"/>
      <w:r w:rsidRPr="004B08E1">
        <w:t xml:space="preserve"> </w:t>
      </w:r>
      <w:r w:rsidRPr="004B08E1">
        <w:rPr>
          <w:i/>
          <w:iCs/>
        </w:rPr>
        <w:t>never</w:t>
      </w:r>
      <w:r w:rsidRPr="004B08E1">
        <w:t xml:space="preserve"> hide genuine configuration gaps (CONTRACT_NOT_FOUND, ENDPOINT_NOT_FOUND).</w:t>
      </w:r>
    </w:p>
    <w:p w14:paraId="47A2F7AF" w14:textId="77777777" w:rsidR="004B08E1" w:rsidRPr="004B08E1" w:rsidRDefault="004B08E1" w:rsidP="004B08E1">
      <w:pPr>
        <w:numPr>
          <w:ilvl w:val="0"/>
          <w:numId w:val="2"/>
        </w:numPr>
      </w:pPr>
      <w:r w:rsidRPr="004B08E1">
        <w:rPr>
          <w:b/>
          <w:bCs/>
        </w:rPr>
        <w:t>Explainable execution</w:t>
      </w:r>
      <w:r w:rsidRPr="004B08E1">
        <w:br/>
        <w:t xml:space="preserve">For any call, we should be able to show </w:t>
      </w:r>
      <w:r w:rsidRPr="004B08E1">
        <w:rPr>
          <w:i/>
          <w:iCs/>
        </w:rPr>
        <w:t>why</w:t>
      </w:r>
      <w:r w:rsidRPr="004B08E1">
        <w:t xml:space="preserve"> it behaved that way: which contract, which mapping, which endpoint, which allowlist rule, which feature gate.</w:t>
      </w:r>
    </w:p>
    <w:p w14:paraId="5204DB9A" w14:textId="77777777" w:rsidR="004B08E1" w:rsidRPr="004B08E1" w:rsidRDefault="004B08E1" w:rsidP="004B08E1">
      <w:pPr>
        <w:numPr>
          <w:ilvl w:val="0"/>
          <w:numId w:val="2"/>
        </w:numPr>
      </w:pPr>
      <w:r w:rsidRPr="004B08E1">
        <w:rPr>
          <w:b/>
          <w:bCs/>
        </w:rPr>
        <w:t>Separation of planes</w:t>
      </w:r>
      <w:r w:rsidRPr="004B08E1">
        <w:br/>
        <w:t>Control Plane (config, approvals), Data Plane (execution), and AI Plane (formatting/agents) are distinct concerns with well-defined boundaries.</w:t>
      </w:r>
    </w:p>
    <w:p w14:paraId="1F69736C" w14:textId="77777777" w:rsidR="004B08E1" w:rsidRPr="004B08E1" w:rsidRDefault="004B08E1" w:rsidP="004B08E1">
      <w:pPr>
        <w:numPr>
          <w:ilvl w:val="0"/>
          <w:numId w:val="2"/>
        </w:numPr>
      </w:pPr>
      <w:r w:rsidRPr="004B08E1">
        <w:rPr>
          <w:b/>
          <w:bCs/>
        </w:rPr>
        <w:t xml:space="preserve">Local-first developer </w:t>
      </w:r>
      <w:proofErr w:type="gramStart"/>
      <w:r w:rsidRPr="004B08E1">
        <w:rPr>
          <w:b/>
          <w:bCs/>
        </w:rPr>
        <w:t>experience</w:t>
      </w:r>
      <w:proofErr w:type="gramEnd"/>
      <w:r w:rsidRPr="004B08E1">
        <w:br/>
        <w:t>Every critical feature (routing, mapping, allowlist, AI gateway shim, portals) must be runnable and testable locally without touching AWS.</w:t>
      </w:r>
    </w:p>
    <w:p w14:paraId="2B7DACDC" w14:textId="77777777" w:rsidR="004B08E1" w:rsidRPr="004B08E1" w:rsidRDefault="004B08E1" w:rsidP="004B08E1">
      <w:r w:rsidRPr="004B08E1">
        <w:lastRenderedPageBreak/>
        <w:pict w14:anchorId="5167A527">
          <v:rect id="_x0000_i1058" style="width:0;height:1.5pt" o:hralign="center" o:hrstd="t" o:hr="t" fillcolor="#a0a0a0" stroked="f"/>
        </w:pict>
      </w:r>
    </w:p>
    <w:p w14:paraId="0F5D375C" w14:textId="77777777" w:rsidR="004B08E1" w:rsidRPr="004B08E1" w:rsidRDefault="004B08E1" w:rsidP="004B08E1">
      <w:pPr>
        <w:rPr>
          <w:b/>
          <w:bCs/>
        </w:rPr>
      </w:pPr>
      <w:r w:rsidRPr="004B08E1">
        <w:rPr>
          <w:b/>
          <w:bCs/>
        </w:rPr>
        <w:t>4. Main Subsystems &amp; Their Purpose</w:t>
      </w:r>
    </w:p>
    <w:p w14:paraId="06218A2F" w14:textId="77777777" w:rsidR="004B08E1" w:rsidRPr="004B08E1" w:rsidRDefault="004B08E1" w:rsidP="004B08E1">
      <w:pPr>
        <w:numPr>
          <w:ilvl w:val="0"/>
          <w:numId w:val="3"/>
        </w:numPr>
      </w:pPr>
      <w:r w:rsidRPr="004B08E1">
        <w:rPr>
          <w:b/>
          <w:bCs/>
        </w:rPr>
        <w:t>Control Plane (Admin API + DB)</w:t>
      </w:r>
      <w:r w:rsidRPr="004B08E1">
        <w:br/>
        <w:t>Owns canonical operations, contracts, mappings, allowlist rules, feature gates, and change approvals.</w:t>
      </w:r>
    </w:p>
    <w:p w14:paraId="4FBEE4AC" w14:textId="77777777" w:rsidR="004B08E1" w:rsidRPr="004B08E1" w:rsidRDefault="004B08E1" w:rsidP="004B08E1">
      <w:pPr>
        <w:numPr>
          <w:ilvl w:val="0"/>
          <w:numId w:val="3"/>
        </w:numPr>
      </w:pPr>
      <w:r w:rsidRPr="004B08E1">
        <w:rPr>
          <w:b/>
          <w:bCs/>
        </w:rPr>
        <w:t>Vendor Registry / Portal</w:t>
      </w:r>
      <w:r w:rsidRPr="004B08E1">
        <w:br/>
        <w:t>Vendor-facing APIs and UI for configuring endpoints, mappings, supported operations, and viewing readiness.</w:t>
      </w:r>
    </w:p>
    <w:p w14:paraId="69576BC8" w14:textId="77777777" w:rsidR="004B08E1" w:rsidRPr="004B08E1" w:rsidRDefault="004B08E1" w:rsidP="004B08E1">
      <w:pPr>
        <w:numPr>
          <w:ilvl w:val="0"/>
          <w:numId w:val="3"/>
        </w:numPr>
      </w:pPr>
      <w:r w:rsidRPr="004B08E1">
        <w:rPr>
          <w:b/>
          <w:bCs/>
        </w:rPr>
        <w:t>Routing / Data Plane</w:t>
      </w:r>
      <w:r w:rsidRPr="004B08E1">
        <w:br/>
        <w:t xml:space="preserve">Executes </w:t>
      </w:r>
      <w:proofErr w:type="gramStart"/>
      <w:r w:rsidRPr="004B08E1">
        <w:t>integrations:</w:t>
      </w:r>
      <w:proofErr w:type="gramEnd"/>
      <w:r w:rsidRPr="004B08E1">
        <w:t xml:space="preserve"> resolves effective contract/mapping/endpoint, validates payloads, calls vendors, handles idempotency, logs transactions.</w:t>
      </w:r>
    </w:p>
    <w:p w14:paraId="59CEB491" w14:textId="77777777" w:rsidR="004B08E1" w:rsidRPr="004B08E1" w:rsidRDefault="004B08E1" w:rsidP="004B08E1">
      <w:pPr>
        <w:numPr>
          <w:ilvl w:val="0"/>
          <w:numId w:val="3"/>
        </w:numPr>
      </w:pPr>
      <w:r w:rsidRPr="004B08E1">
        <w:rPr>
          <w:b/>
          <w:bCs/>
        </w:rPr>
        <w:t>Runtime API</w:t>
      </w:r>
      <w:r w:rsidRPr="004B08E1">
        <w:br/>
        <w:t>Public/runtime-facing API (with its own key) for systems like Amazon Connect, internal services, and AI Gateway to call the Hub.</w:t>
      </w:r>
    </w:p>
    <w:p w14:paraId="69F20181" w14:textId="77777777" w:rsidR="004B08E1" w:rsidRPr="004B08E1" w:rsidRDefault="004B08E1" w:rsidP="004B08E1">
      <w:pPr>
        <w:numPr>
          <w:ilvl w:val="0"/>
          <w:numId w:val="3"/>
        </w:numPr>
      </w:pPr>
      <w:r w:rsidRPr="004B08E1">
        <w:rPr>
          <w:b/>
          <w:bCs/>
        </w:rPr>
        <w:t>AI Gateway</w:t>
      </w:r>
      <w:r w:rsidRPr="004B08E1">
        <w:br/>
        <w:t>Handles /v1/ai/execute for PROMPT and DATA requests, talking to Bedrock Agents and the Runtime API, and applying the AI Formatter when enabled.</w:t>
      </w:r>
    </w:p>
    <w:p w14:paraId="0430A21C" w14:textId="77777777" w:rsidR="004B08E1" w:rsidRPr="004B08E1" w:rsidRDefault="004B08E1" w:rsidP="004B08E1">
      <w:pPr>
        <w:numPr>
          <w:ilvl w:val="0"/>
          <w:numId w:val="3"/>
        </w:numPr>
      </w:pPr>
      <w:r w:rsidRPr="004B08E1">
        <w:rPr>
          <w:b/>
          <w:bCs/>
        </w:rPr>
        <w:t>AI Formatter</w:t>
      </w:r>
      <w:r w:rsidRPr="004B08E1">
        <w:br/>
        <w:t xml:space="preserve">Shared helper that decides whether to format, builds the LLM prompt from canonical data + operation config, calls Bedrock, and returns human-readable </w:t>
      </w:r>
      <w:proofErr w:type="spellStart"/>
      <w:r w:rsidRPr="004B08E1">
        <w:t>finalText</w:t>
      </w:r>
      <w:proofErr w:type="spellEnd"/>
      <w:r w:rsidRPr="004B08E1">
        <w:t>.</w:t>
      </w:r>
    </w:p>
    <w:p w14:paraId="58C7C365" w14:textId="77777777" w:rsidR="004B08E1" w:rsidRPr="004B08E1" w:rsidRDefault="004B08E1" w:rsidP="004B08E1">
      <w:pPr>
        <w:numPr>
          <w:ilvl w:val="0"/>
          <w:numId w:val="3"/>
        </w:numPr>
      </w:pPr>
      <w:r w:rsidRPr="004B08E1">
        <w:rPr>
          <w:b/>
          <w:bCs/>
        </w:rPr>
        <w:t>Admin Portal</w:t>
      </w:r>
      <w:r w:rsidRPr="004B08E1">
        <w:t xml:space="preserve"> </w:t>
      </w:r>
      <w:r w:rsidRPr="004B08E1">
        <w:rPr>
          <w:i/>
          <w:iCs/>
        </w:rPr>
        <w:t>(future or partial)</w:t>
      </w:r>
      <w:r w:rsidRPr="004B08E1">
        <w:br/>
        <w:t>Internal UI for operations/engineering to manage configs, approvals, feature gates, redrive, and to view cross-vendor telemetry.</w:t>
      </w:r>
    </w:p>
    <w:p w14:paraId="029FCE84" w14:textId="77777777" w:rsidR="004B08E1" w:rsidRPr="004B08E1" w:rsidRDefault="004B08E1" w:rsidP="004B08E1">
      <w:pPr>
        <w:numPr>
          <w:ilvl w:val="0"/>
          <w:numId w:val="3"/>
        </w:numPr>
      </w:pPr>
      <w:r w:rsidRPr="004B08E1">
        <w:rPr>
          <w:b/>
          <w:bCs/>
        </w:rPr>
        <w:t xml:space="preserve">Local Dev Environment (Docker + </w:t>
      </w:r>
      <w:proofErr w:type="spellStart"/>
      <w:r w:rsidRPr="004B08E1">
        <w:rPr>
          <w:b/>
          <w:bCs/>
        </w:rPr>
        <w:t>FastAPI</w:t>
      </w:r>
      <w:proofErr w:type="spellEnd"/>
      <w:r w:rsidRPr="004B08E1">
        <w:rPr>
          <w:b/>
          <w:bCs/>
        </w:rPr>
        <w:t xml:space="preserve"> + Seed)</w:t>
      </w:r>
      <w:r w:rsidRPr="004B08E1">
        <w:br/>
        <w:t>Local simulation of DB + APIs + portals, with seed data and commands (local-up, local-sync-</w:t>
      </w:r>
      <w:proofErr w:type="spellStart"/>
      <w:r w:rsidRPr="004B08E1">
        <w:t>db</w:t>
      </w:r>
      <w:proofErr w:type="spellEnd"/>
      <w:r w:rsidRPr="004B08E1">
        <w:t>) to keep developers fast and independent of AWS.</w:t>
      </w:r>
    </w:p>
    <w:p w14:paraId="47C242BE" w14:textId="77777777" w:rsidR="004B08E1" w:rsidRPr="004B08E1" w:rsidRDefault="004B08E1" w:rsidP="004B08E1">
      <w:r w:rsidRPr="004B08E1">
        <w:pict w14:anchorId="1037B106">
          <v:rect id="_x0000_i1059" style="width:0;height:1.5pt" o:hralign="center" o:hrstd="t" o:hr="t" fillcolor="#a0a0a0" stroked="f"/>
        </w:pict>
      </w:r>
    </w:p>
    <w:p w14:paraId="64C1982B" w14:textId="77777777" w:rsidR="00A063FA" w:rsidRDefault="00A063FA"/>
    <w:sectPr w:rsidR="00A06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4431F"/>
    <w:multiLevelType w:val="multilevel"/>
    <w:tmpl w:val="92C62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D20738"/>
    <w:multiLevelType w:val="multilevel"/>
    <w:tmpl w:val="5FB2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5E0CC9"/>
    <w:multiLevelType w:val="multilevel"/>
    <w:tmpl w:val="610A4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4449555">
    <w:abstractNumId w:val="0"/>
  </w:num>
  <w:num w:numId="2" w16cid:durableId="1425569347">
    <w:abstractNumId w:val="2"/>
  </w:num>
  <w:num w:numId="3" w16cid:durableId="2010280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1D9"/>
    <w:rsid w:val="003D5128"/>
    <w:rsid w:val="00434FEA"/>
    <w:rsid w:val="00493DE4"/>
    <w:rsid w:val="004B08E1"/>
    <w:rsid w:val="00786EFD"/>
    <w:rsid w:val="00A063FA"/>
    <w:rsid w:val="00A27616"/>
    <w:rsid w:val="00F64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249F1"/>
  <w15:chartTrackingRefBased/>
  <w15:docId w15:val="{71267DB6-B668-461B-A0D2-A2009FACE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1D9"/>
    <w:rPr>
      <w:rFonts w:eastAsiaTheme="majorEastAsia" w:cstheme="majorBidi"/>
      <w:color w:val="272727" w:themeColor="text1" w:themeTint="D8"/>
    </w:rPr>
  </w:style>
  <w:style w:type="paragraph" w:styleId="Title">
    <w:name w:val="Title"/>
    <w:basedOn w:val="Normal"/>
    <w:next w:val="Normal"/>
    <w:link w:val="TitleChar"/>
    <w:uiPriority w:val="10"/>
    <w:qFormat/>
    <w:rsid w:val="00F64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1D9"/>
    <w:pPr>
      <w:spacing w:before="160"/>
      <w:jc w:val="center"/>
    </w:pPr>
    <w:rPr>
      <w:i/>
      <w:iCs/>
      <w:color w:val="404040" w:themeColor="text1" w:themeTint="BF"/>
    </w:rPr>
  </w:style>
  <w:style w:type="character" w:customStyle="1" w:styleId="QuoteChar">
    <w:name w:val="Quote Char"/>
    <w:basedOn w:val="DefaultParagraphFont"/>
    <w:link w:val="Quote"/>
    <w:uiPriority w:val="29"/>
    <w:rsid w:val="00F641D9"/>
    <w:rPr>
      <w:i/>
      <w:iCs/>
      <w:color w:val="404040" w:themeColor="text1" w:themeTint="BF"/>
    </w:rPr>
  </w:style>
  <w:style w:type="paragraph" w:styleId="ListParagraph">
    <w:name w:val="List Paragraph"/>
    <w:basedOn w:val="Normal"/>
    <w:uiPriority w:val="34"/>
    <w:qFormat/>
    <w:rsid w:val="00F641D9"/>
    <w:pPr>
      <w:ind w:left="720"/>
      <w:contextualSpacing/>
    </w:pPr>
  </w:style>
  <w:style w:type="character" w:styleId="IntenseEmphasis">
    <w:name w:val="Intense Emphasis"/>
    <w:basedOn w:val="DefaultParagraphFont"/>
    <w:uiPriority w:val="21"/>
    <w:qFormat/>
    <w:rsid w:val="00F641D9"/>
    <w:rPr>
      <w:i/>
      <w:iCs/>
      <w:color w:val="0F4761" w:themeColor="accent1" w:themeShade="BF"/>
    </w:rPr>
  </w:style>
  <w:style w:type="paragraph" w:styleId="IntenseQuote">
    <w:name w:val="Intense Quote"/>
    <w:basedOn w:val="Normal"/>
    <w:next w:val="Normal"/>
    <w:link w:val="IntenseQuoteChar"/>
    <w:uiPriority w:val="30"/>
    <w:qFormat/>
    <w:rsid w:val="00F64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1D9"/>
    <w:rPr>
      <w:i/>
      <w:iCs/>
      <w:color w:val="0F4761" w:themeColor="accent1" w:themeShade="BF"/>
    </w:rPr>
  </w:style>
  <w:style w:type="character" w:styleId="IntenseReference">
    <w:name w:val="Intense Reference"/>
    <w:basedOn w:val="DefaultParagraphFont"/>
    <w:uiPriority w:val="32"/>
    <w:qFormat/>
    <w:rsid w:val="00F641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672</Words>
  <Characters>4092</Characters>
  <Application>Microsoft Office Word</Application>
  <DocSecurity>0</DocSecurity>
  <Lines>93</Lines>
  <Paragraphs>35</Paragraphs>
  <ScaleCrop>false</ScaleCrop>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 Tomar</dc:creator>
  <cp:keywords/>
  <dc:description/>
  <cp:lastModifiedBy>Samar Tomar</cp:lastModifiedBy>
  <cp:revision>4</cp:revision>
  <dcterms:created xsi:type="dcterms:W3CDTF">2026-02-27T05:31:00Z</dcterms:created>
  <dcterms:modified xsi:type="dcterms:W3CDTF">2026-02-27T05:34:00Z</dcterms:modified>
</cp:coreProperties>
</file>