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46944" w14:textId="77777777" w:rsidR="00B7659E" w:rsidRPr="001E1A45" w:rsidRDefault="00000000">
      <w:pPr>
        <w:pStyle w:val="Heading1"/>
        <w:rPr>
          <w:rFonts w:cstheme="majorHAnsi"/>
        </w:rPr>
      </w:pPr>
      <w:r w:rsidRPr="001E1A45">
        <w:rPr>
          <w:rFonts w:cstheme="majorHAnsi"/>
        </w:rPr>
        <w:t>LLM-Guided Federated Continual Learning for Vision-Based Plastic Classification</w:t>
      </w:r>
    </w:p>
    <w:p w14:paraId="0A9746C6" w14:textId="77777777" w:rsidR="00B7659E" w:rsidRPr="001E1A45" w:rsidRDefault="00000000">
      <w:pPr>
        <w:rPr>
          <w:rFonts w:asciiTheme="majorHAnsi" w:hAnsiTheme="majorHAnsi" w:cstheme="majorHAnsi"/>
        </w:rPr>
      </w:pPr>
      <w:r w:rsidRPr="001E1A45">
        <w:rPr>
          <w:rFonts w:asciiTheme="majorHAnsi" w:hAnsiTheme="majorHAnsi" w:cstheme="majorHAnsi"/>
          <w:b/>
        </w:rPr>
        <w:t>Authors:</w:t>
      </w:r>
      <w:r w:rsidRPr="001E1A45">
        <w:rPr>
          <w:rFonts w:asciiTheme="majorHAnsi" w:hAnsiTheme="majorHAnsi" w:cstheme="majorHAnsi"/>
          <w:b/>
        </w:rPr>
        <w:br/>
      </w:r>
      <w:r w:rsidRPr="001E1A45">
        <w:rPr>
          <w:rFonts w:asciiTheme="majorHAnsi" w:hAnsiTheme="majorHAnsi" w:cstheme="majorHAnsi"/>
        </w:rPr>
        <w:t>Somayeh Shami (somayeh.shami@student.tugraz.at)</w:t>
      </w:r>
      <w:r w:rsidRPr="001E1A45">
        <w:rPr>
          <w:rFonts w:asciiTheme="majorHAnsi" w:hAnsiTheme="majorHAnsi" w:cstheme="majorHAnsi"/>
        </w:rPr>
        <w:br/>
        <w:t>Julian Aberger (julian.aberger@unileoben.ac.at)</w:t>
      </w:r>
      <w:r w:rsidRPr="001E1A45">
        <w:rPr>
          <w:rFonts w:asciiTheme="majorHAnsi" w:hAnsiTheme="majorHAnsi" w:cstheme="majorHAnsi"/>
        </w:rPr>
        <w:br/>
        <w:t>Renato Sarc (renato.sarc@unileoben.ac.at)</w:t>
      </w:r>
      <w:r w:rsidRPr="001E1A45">
        <w:rPr>
          <w:rFonts w:asciiTheme="majorHAnsi" w:hAnsiTheme="majorHAnsi" w:cstheme="majorHAnsi"/>
        </w:rPr>
        <w:br/>
      </w:r>
      <w:r w:rsidRPr="001E1A45">
        <w:rPr>
          <w:rFonts w:asciiTheme="majorHAnsi" w:hAnsiTheme="majorHAnsi" w:cstheme="majorHAnsi"/>
        </w:rPr>
        <w:br/>
      </w:r>
      <w:r w:rsidRPr="001E1A45">
        <w:rPr>
          <w:rFonts w:asciiTheme="majorHAnsi" w:hAnsiTheme="majorHAnsi" w:cstheme="majorHAnsi"/>
          <w:b/>
        </w:rPr>
        <w:t>Affiliations:</w:t>
      </w:r>
      <w:r w:rsidRPr="001E1A45">
        <w:rPr>
          <w:rFonts w:asciiTheme="majorHAnsi" w:hAnsiTheme="majorHAnsi" w:cstheme="majorHAnsi"/>
          <w:b/>
        </w:rPr>
        <w:br/>
      </w:r>
      <w:r w:rsidRPr="001E1A45">
        <w:rPr>
          <w:rFonts w:asciiTheme="majorHAnsi" w:hAnsiTheme="majorHAnsi" w:cstheme="majorHAnsi"/>
        </w:rPr>
        <w:t>Institute of Technical Informatics, Graz University of Technology, Graz, Austria</w:t>
      </w:r>
      <w:r w:rsidRPr="001E1A45">
        <w:rPr>
          <w:rFonts w:asciiTheme="majorHAnsi" w:hAnsiTheme="majorHAnsi" w:cstheme="majorHAnsi"/>
        </w:rPr>
        <w:br/>
        <w:t>Chair of Waste Processing Technology and Waste Management, Montanuniversitaet Leoben, Leoben, Austria</w:t>
      </w:r>
      <w:r w:rsidRPr="001E1A45">
        <w:rPr>
          <w:rFonts w:asciiTheme="majorHAnsi" w:hAnsiTheme="majorHAnsi" w:cstheme="majorHAnsi"/>
        </w:rPr>
        <w:br/>
      </w:r>
      <w:r w:rsidRPr="001E1A45">
        <w:rPr>
          <w:rFonts w:asciiTheme="majorHAnsi" w:hAnsiTheme="majorHAnsi" w:cstheme="majorHAnsi"/>
        </w:rPr>
        <w:br/>
      </w:r>
    </w:p>
    <w:p w14:paraId="6882D113" w14:textId="77777777" w:rsidR="00B7659E" w:rsidRPr="001E1A45" w:rsidRDefault="00000000">
      <w:pPr>
        <w:pStyle w:val="Heading2"/>
        <w:rPr>
          <w:rFonts w:cstheme="majorHAnsi"/>
        </w:rPr>
      </w:pPr>
      <w:r w:rsidRPr="001E1A45">
        <w:rPr>
          <w:rFonts w:cstheme="majorHAnsi"/>
        </w:rPr>
        <w:t>Abstract</w:t>
      </w:r>
    </w:p>
    <w:p w14:paraId="7D9BBA1D" w14:textId="77777777" w:rsidR="00B7659E" w:rsidRPr="001E1A45" w:rsidRDefault="00000000">
      <w:pPr>
        <w:rPr>
          <w:rFonts w:asciiTheme="majorHAnsi" w:hAnsiTheme="majorHAnsi" w:cstheme="majorHAnsi"/>
        </w:rPr>
      </w:pPr>
      <w:r w:rsidRPr="001E1A45">
        <w:rPr>
          <w:rFonts w:asciiTheme="majorHAnsi" w:hAnsiTheme="majorHAnsi" w:cstheme="majorHAnsi"/>
        </w:rPr>
        <w:t>&lt;&lt; Write here &gt;&gt;</w:t>
      </w:r>
      <w:r w:rsidRPr="001E1A45">
        <w:rPr>
          <w:rFonts w:asciiTheme="majorHAnsi" w:hAnsiTheme="majorHAnsi" w:cstheme="majorHAnsi"/>
        </w:rPr>
        <w:br/>
      </w:r>
    </w:p>
    <w:p w14:paraId="5A3FE02C" w14:textId="77777777" w:rsidR="00B7659E" w:rsidRPr="001E1A45" w:rsidRDefault="00000000">
      <w:pPr>
        <w:pStyle w:val="Heading2"/>
        <w:rPr>
          <w:rFonts w:cstheme="majorHAnsi"/>
        </w:rPr>
      </w:pPr>
      <w:r w:rsidRPr="001E1A45">
        <w:rPr>
          <w:rFonts w:cstheme="majorHAnsi"/>
        </w:rPr>
        <w:t>Keywords</w:t>
      </w:r>
    </w:p>
    <w:p w14:paraId="5F87D891" w14:textId="77777777" w:rsidR="00B7659E" w:rsidRPr="001E1A45" w:rsidRDefault="00000000">
      <w:pPr>
        <w:rPr>
          <w:rFonts w:asciiTheme="majorHAnsi" w:hAnsiTheme="majorHAnsi" w:cstheme="majorHAnsi"/>
        </w:rPr>
      </w:pPr>
      <w:r w:rsidRPr="001E1A45">
        <w:rPr>
          <w:rFonts w:asciiTheme="majorHAnsi" w:hAnsiTheme="majorHAnsi" w:cstheme="majorHAnsi"/>
        </w:rPr>
        <w:t>&lt;&lt; Write here &gt;&gt;</w:t>
      </w:r>
      <w:r w:rsidRPr="001E1A45">
        <w:rPr>
          <w:rFonts w:asciiTheme="majorHAnsi" w:hAnsiTheme="majorHAnsi" w:cstheme="majorHAnsi"/>
        </w:rPr>
        <w:br/>
      </w:r>
    </w:p>
    <w:p w14:paraId="23883587" w14:textId="77777777" w:rsidR="00CC624C" w:rsidRPr="001E1A45" w:rsidRDefault="00CC624C" w:rsidP="00CC624C">
      <w:pPr>
        <w:pStyle w:val="p1"/>
        <w:numPr>
          <w:ilvl w:val="0"/>
          <w:numId w:val="10"/>
        </w:numPr>
        <w:rPr>
          <w:rFonts w:asciiTheme="majorHAnsi" w:hAnsiTheme="majorHAnsi" w:cstheme="majorHAnsi"/>
        </w:rPr>
      </w:pPr>
      <w:r w:rsidRPr="001E1A45">
        <w:rPr>
          <w:rFonts w:asciiTheme="majorHAnsi" w:hAnsiTheme="majorHAnsi" w:cstheme="majorHAnsi"/>
        </w:rPr>
        <w:t>We introduce the first LLM-guided controller for Federated Continual Learning (FCL) on vision tasks.</w:t>
      </w:r>
    </w:p>
    <w:p w14:paraId="3B7A4DDE" w14:textId="77777777" w:rsidR="00CC624C" w:rsidRPr="001E1A45" w:rsidRDefault="00CC624C" w:rsidP="00CC624C">
      <w:pPr>
        <w:pStyle w:val="p1"/>
        <w:numPr>
          <w:ilvl w:val="0"/>
          <w:numId w:val="10"/>
        </w:numPr>
        <w:rPr>
          <w:rFonts w:asciiTheme="majorHAnsi" w:hAnsiTheme="majorHAnsi" w:cstheme="majorHAnsi"/>
        </w:rPr>
      </w:pPr>
      <w:r w:rsidRPr="001E1A45">
        <w:rPr>
          <w:rFonts w:asciiTheme="majorHAnsi" w:hAnsiTheme="majorHAnsi" w:cstheme="majorHAnsi"/>
        </w:rPr>
        <w:t>We perform supervised finetuning (SFT) of a compact language model (DistilGPT-2) to control replay ratio, learning-rate scaling, and regularization during FCL.</w:t>
      </w:r>
    </w:p>
    <w:p w14:paraId="5E09FE9C" w14:textId="77777777" w:rsidR="00CC624C" w:rsidRPr="001E1A45" w:rsidRDefault="00CC624C" w:rsidP="00CC624C">
      <w:pPr>
        <w:pStyle w:val="p1"/>
        <w:numPr>
          <w:ilvl w:val="0"/>
          <w:numId w:val="10"/>
        </w:numPr>
        <w:rPr>
          <w:rFonts w:asciiTheme="majorHAnsi" w:hAnsiTheme="majorHAnsi" w:cstheme="majorHAnsi"/>
        </w:rPr>
      </w:pPr>
      <w:r w:rsidRPr="001E1A45">
        <w:rPr>
          <w:rFonts w:asciiTheme="majorHAnsi" w:hAnsiTheme="majorHAnsi" w:cstheme="majorHAnsi"/>
        </w:rPr>
        <w:t>We evaluate on CIFAR-100 with 4 clients, 7 rounds, non-IID distribution, using three controllers: baseline (fixed), heuristic (V4), and SFT (ours).</w:t>
      </w:r>
    </w:p>
    <w:p w14:paraId="40799305" w14:textId="77777777" w:rsidR="00CC624C" w:rsidRPr="001E1A45" w:rsidRDefault="00CC624C" w:rsidP="00CC624C">
      <w:pPr>
        <w:pStyle w:val="p1"/>
        <w:numPr>
          <w:ilvl w:val="0"/>
          <w:numId w:val="10"/>
        </w:numPr>
        <w:rPr>
          <w:rFonts w:asciiTheme="majorHAnsi" w:hAnsiTheme="majorHAnsi" w:cstheme="majorHAnsi"/>
        </w:rPr>
      </w:pPr>
      <w:r w:rsidRPr="001E1A45">
        <w:rPr>
          <w:rFonts w:asciiTheme="majorHAnsi" w:hAnsiTheme="majorHAnsi" w:cstheme="majorHAnsi"/>
        </w:rPr>
        <w:t>We show improvements in final accuracy, reduced forgetting, higher AULC, and competitive communication cost.</w:t>
      </w:r>
    </w:p>
    <w:p w14:paraId="0839914F" w14:textId="77777777" w:rsidR="00CC624C" w:rsidRPr="001E1A45" w:rsidRDefault="00CC624C">
      <w:pPr>
        <w:rPr>
          <w:rFonts w:asciiTheme="majorHAnsi" w:hAnsiTheme="majorHAnsi" w:cstheme="majorHAnsi"/>
          <w:lang w:val="en-IT"/>
        </w:rPr>
      </w:pPr>
    </w:p>
    <w:p w14:paraId="7405C06C" w14:textId="5B8993ED" w:rsidR="00CC624C" w:rsidRPr="001E1A45" w:rsidRDefault="00000000" w:rsidP="00CC624C">
      <w:pPr>
        <w:pStyle w:val="Heading2"/>
        <w:rPr>
          <w:rFonts w:cstheme="majorHAnsi"/>
        </w:rPr>
      </w:pPr>
      <w:r w:rsidRPr="001E1A45">
        <w:rPr>
          <w:rFonts w:cstheme="majorHAnsi"/>
        </w:rPr>
        <w:t>1. Introduction</w:t>
      </w:r>
      <w:r w:rsidR="00CC624C" w:rsidRPr="001E1A45">
        <w:rPr>
          <w:rFonts w:cstheme="majorHAnsi"/>
        </w:rPr>
        <w:t xml:space="preserve"> </w:t>
      </w:r>
      <w:r w:rsidR="00CC624C" w:rsidRPr="001E1A45">
        <w:rPr>
          <w:rFonts w:cstheme="majorHAnsi"/>
          <w:b w:val="0"/>
          <w:bCs w:val="0"/>
          <w:color w:val="000000" w:themeColor="text1"/>
        </w:rPr>
        <w:t>(800-1000)</w:t>
      </w:r>
    </w:p>
    <w:p w14:paraId="4CCE39BF" w14:textId="77777777" w:rsidR="00CC624C" w:rsidRPr="001E1A45" w:rsidRDefault="00CC624C" w:rsidP="00CC624C">
      <w:pPr>
        <w:pStyle w:val="Heading3"/>
        <w:rPr>
          <w:rFonts w:cstheme="majorHAnsi"/>
        </w:rPr>
      </w:pPr>
      <w:r w:rsidRPr="001E1A45">
        <w:rPr>
          <w:rFonts w:cstheme="majorHAnsi"/>
        </w:rPr>
        <w:t>1.1 Motivation: recycling, plastic classification, data distribution, non-stationarity</w:t>
      </w:r>
    </w:p>
    <w:p w14:paraId="1E8A2982" w14:textId="77777777" w:rsidR="00CC624C" w:rsidRPr="001E1A45" w:rsidRDefault="00CC624C" w:rsidP="00CC624C">
      <w:pPr>
        <w:pStyle w:val="Heading3"/>
        <w:rPr>
          <w:rFonts w:cstheme="majorHAnsi"/>
        </w:rPr>
      </w:pPr>
      <w:r w:rsidRPr="001E1A45">
        <w:rPr>
          <w:rFonts w:cstheme="majorHAnsi"/>
        </w:rPr>
        <w:t>1.2 Problem statement &amp; gap in FCL + LLM-guided controllers</w:t>
      </w:r>
    </w:p>
    <w:p w14:paraId="356720E4" w14:textId="77777777" w:rsidR="00CC624C" w:rsidRPr="001E1A45" w:rsidRDefault="00CC624C" w:rsidP="00CC624C">
      <w:pPr>
        <w:pStyle w:val="Heading3"/>
        <w:rPr>
          <w:rFonts w:cstheme="majorHAnsi"/>
        </w:rPr>
      </w:pPr>
      <w:r w:rsidRPr="001E1A45">
        <w:rPr>
          <w:rFonts w:cstheme="majorHAnsi"/>
        </w:rPr>
        <w:t>1.3 Contributions (3–5 bullet points)</w:t>
      </w:r>
    </w:p>
    <w:p w14:paraId="0D8F4CB4" w14:textId="6D253207" w:rsidR="00B7659E" w:rsidRPr="001E1A45" w:rsidRDefault="00000000">
      <w:pPr>
        <w:rPr>
          <w:rFonts w:asciiTheme="majorHAnsi" w:hAnsiTheme="majorHAnsi" w:cstheme="majorHAnsi"/>
        </w:rPr>
      </w:pPr>
      <w:r w:rsidRPr="001E1A45">
        <w:rPr>
          <w:rFonts w:asciiTheme="majorHAnsi" w:hAnsiTheme="majorHAnsi" w:cstheme="majorHAnsi"/>
        </w:rPr>
        <w:br/>
      </w:r>
    </w:p>
    <w:p w14:paraId="4D7E5F0B" w14:textId="1EAEE810" w:rsidR="00B7659E" w:rsidRPr="001E1A45" w:rsidRDefault="00000000">
      <w:pPr>
        <w:pStyle w:val="Heading2"/>
        <w:rPr>
          <w:rFonts w:cstheme="majorHAnsi"/>
        </w:rPr>
      </w:pPr>
      <w:r w:rsidRPr="001E1A45">
        <w:rPr>
          <w:rFonts w:cstheme="majorHAnsi"/>
        </w:rPr>
        <w:lastRenderedPageBreak/>
        <w:t>2. Related Work</w:t>
      </w:r>
      <w:r w:rsidR="00CC624C" w:rsidRPr="001E1A45">
        <w:rPr>
          <w:rFonts w:cstheme="majorHAnsi"/>
        </w:rPr>
        <w:t xml:space="preserve"> </w:t>
      </w:r>
      <w:r w:rsidR="00CC624C" w:rsidRPr="001E1A45">
        <w:rPr>
          <w:rFonts w:cstheme="majorHAnsi"/>
          <w:b w:val="0"/>
          <w:bCs w:val="0"/>
          <w:color w:val="000000" w:themeColor="text1"/>
        </w:rPr>
        <w:t>(900-1100)</w:t>
      </w:r>
    </w:p>
    <w:p w14:paraId="07D37DBA" w14:textId="77777777" w:rsidR="00CC624C" w:rsidRPr="001E1A45" w:rsidRDefault="00CC624C" w:rsidP="00CC624C">
      <w:pPr>
        <w:pStyle w:val="Heading3"/>
        <w:rPr>
          <w:rFonts w:cstheme="majorHAnsi"/>
        </w:rPr>
      </w:pPr>
      <w:r w:rsidRPr="001E1A45">
        <w:rPr>
          <w:rFonts w:cstheme="majorHAnsi"/>
        </w:rPr>
        <w:t>2.1 Federated and continual learning</w:t>
      </w:r>
    </w:p>
    <w:p w14:paraId="578AF23B" w14:textId="77777777" w:rsidR="00CC624C" w:rsidRPr="001E1A45" w:rsidRDefault="00CC624C" w:rsidP="00CC624C">
      <w:pPr>
        <w:pStyle w:val="Heading3"/>
        <w:rPr>
          <w:rFonts w:cstheme="majorHAnsi"/>
        </w:rPr>
      </w:pPr>
      <w:r w:rsidRPr="001E1A45">
        <w:rPr>
          <w:rFonts w:cstheme="majorHAnsi"/>
        </w:rPr>
        <w:t>2.2 Federated continual learning</w:t>
      </w:r>
    </w:p>
    <w:p w14:paraId="087B9AFA" w14:textId="77777777" w:rsidR="00CC624C" w:rsidRPr="001E1A45" w:rsidRDefault="00CC624C" w:rsidP="00CC624C">
      <w:pPr>
        <w:pStyle w:val="Heading3"/>
        <w:rPr>
          <w:rFonts w:cstheme="majorHAnsi"/>
        </w:rPr>
      </w:pPr>
      <w:r w:rsidRPr="001E1A45">
        <w:rPr>
          <w:rFonts w:cstheme="majorHAnsi"/>
        </w:rPr>
        <w:t>2.3 LLMs / policy learning / adaptive controllers</w:t>
      </w:r>
    </w:p>
    <w:p w14:paraId="08F51E9F" w14:textId="77777777" w:rsidR="00CC624C" w:rsidRPr="001E1A45" w:rsidRDefault="00CC624C" w:rsidP="00CC624C">
      <w:pPr>
        <w:pStyle w:val="Heading3"/>
        <w:rPr>
          <w:rFonts w:cstheme="majorHAnsi"/>
        </w:rPr>
      </w:pPr>
      <w:r w:rsidRPr="001E1A45">
        <w:rPr>
          <w:rFonts w:cstheme="majorHAnsi"/>
        </w:rPr>
        <w:t>2.4 Plastic classification and recycling vision systems</w:t>
      </w:r>
    </w:p>
    <w:p w14:paraId="4381B410" w14:textId="77777777" w:rsidR="00CC624C" w:rsidRPr="001E1A45" w:rsidRDefault="00CC624C">
      <w:pPr>
        <w:pStyle w:val="Heading2"/>
        <w:rPr>
          <w:rFonts w:cstheme="majorHAnsi"/>
        </w:rPr>
      </w:pPr>
    </w:p>
    <w:p w14:paraId="1ED418D1" w14:textId="02EB0BC0" w:rsidR="00B7659E" w:rsidRPr="001E1A45" w:rsidRDefault="00000000">
      <w:pPr>
        <w:pStyle w:val="Heading2"/>
        <w:rPr>
          <w:rFonts w:cstheme="majorHAnsi"/>
        </w:rPr>
      </w:pPr>
      <w:r w:rsidRPr="001E1A45">
        <w:rPr>
          <w:rFonts w:cstheme="majorHAnsi"/>
        </w:rPr>
        <w:t>3. Background</w:t>
      </w:r>
      <w:r w:rsidR="00CC624C" w:rsidRPr="001E1A45">
        <w:rPr>
          <w:rFonts w:cstheme="majorHAnsi"/>
        </w:rPr>
        <w:t xml:space="preserve"> </w:t>
      </w:r>
      <w:r w:rsidR="00CC624C" w:rsidRPr="001E1A45">
        <w:rPr>
          <w:rFonts w:cstheme="majorHAnsi"/>
          <w:b w:val="0"/>
          <w:bCs w:val="0"/>
          <w:color w:val="000000" w:themeColor="text1"/>
        </w:rPr>
        <w:t>(900-1100)</w:t>
      </w:r>
    </w:p>
    <w:p w14:paraId="3F37FB5A" w14:textId="77777777" w:rsidR="00CC624C" w:rsidRPr="001E1A45" w:rsidRDefault="00CC624C" w:rsidP="00CC624C">
      <w:pPr>
        <w:pStyle w:val="Heading3"/>
        <w:rPr>
          <w:rFonts w:cstheme="majorHAnsi"/>
        </w:rPr>
      </w:pPr>
      <w:r w:rsidRPr="001E1A45">
        <w:rPr>
          <w:rFonts w:cstheme="majorHAnsi"/>
        </w:rPr>
        <w:t>3.1 Federated learning</w:t>
      </w:r>
    </w:p>
    <w:p w14:paraId="61B27B7E" w14:textId="77777777" w:rsidR="00CC624C" w:rsidRPr="001E1A45" w:rsidRDefault="00CC624C" w:rsidP="00CC624C">
      <w:pPr>
        <w:pStyle w:val="Heading3"/>
        <w:rPr>
          <w:rFonts w:cstheme="majorHAnsi"/>
        </w:rPr>
      </w:pPr>
      <w:r w:rsidRPr="001E1A45">
        <w:rPr>
          <w:rFonts w:cstheme="majorHAnsi"/>
        </w:rPr>
        <w:t>3.2 Continual learning</w:t>
      </w:r>
    </w:p>
    <w:p w14:paraId="17387BC6" w14:textId="77777777" w:rsidR="00CC624C" w:rsidRPr="001E1A45" w:rsidRDefault="00CC624C" w:rsidP="00CC624C">
      <w:pPr>
        <w:pStyle w:val="Heading3"/>
        <w:rPr>
          <w:rFonts w:cstheme="majorHAnsi"/>
        </w:rPr>
      </w:pPr>
      <w:r w:rsidRPr="001E1A45">
        <w:rPr>
          <w:rFonts w:cstheme="majorHAnsi"/>
        </w:rPr>
        <w:t>3.3 Federated continual learning</w:t>
      </w:r>
    </w:p>
    <w:p w14:paraId="6CF11D17" w14:textId="77777777" w:rsidR="00CC624C" w:rsidRPr="001E1A45" w:rsidRDefault="00CC624C" w:rsidP="00CC624C">
      <w:pPr>
        <w:pStyle w:val="Heading3"/>
        <w:rPr>
          <w:rFonts w:cstheme="majorHAnsi"/>
        </w:rPr>
      </w:pPr>
      <w:r w:rsidRPr="001E1A45">
        <w:rPr>
          <w:rFonts w:cstheme="majorHAnsi"/>
        </w:rPr>
        <w:t>3.4 Language-model-guided policies / SFT</w:t>
      </w:r>
    </w:p>
    <w:p w14:paraId="4206A85D" w14:textId="77777777" w:rsidR="00CC624C" w:rsidRPr="001E1A45" w:rsidRDefault="00CC624C" w:rsidP="00CC624C">
      <w:pPr>
        <w:rPr>
          <w:rFonts w:asciiTheme="majorHAnsi" w:hAnsiTheme="majorHAnsi" w:cstheme="majorHAnsi"/>
        </w:rPr>
      </w:pPr>
    </w:p>
    <w:p w14:paraId="08258B39" w14:textId="77777777" w:rsidR="00CC624C" w:rsidRPr="001E1A45" w:rsidRDefault="00CC624C" w:rsidP="00CC624C">
      <w:pPr>
        <w:rPr>
          <w:rFonts w:asciiTheme="majorHAnsi" w:hAnsiTheme="majorHAnsi" w:cstheme="majorHAnsi"/>
        </w:rPr>
      </w:pPr>
    </w:p>
    <w:p w14:paraId="3878232A" w14:textId="33193773" w:rsidR="00B7659E" w:rsidRPr="001E1A45" w:rsidRDefault="00000000">
      <w:pPr>
        <w:pStyle w:val="Heading2"/>
        <w:rPr>
          <w:rFonts w:cstheme="majorHAnsi"/>
        </w:rPr>
      </w:pPr>
      <w:r w:rsidRPr="001E1A45">
        <w:rPr>
          <w:rFonts w:cstheme="majorHAnsi"/>
        </w:rPr>
        <w:t>4. Methodology</w:t>
      </w:r>
      <w:r w:rsidR="00CC624C" w:rsidRPr="001E1A45">
        <w:rPr>
          <w:rFonts w:cstheme="majorHAnsi"/>
        </w:rPr>
        <w:t xml:space="preserve"> </w:t>
      </w:r>
      <w:r w:rsidR="00CC624C" w:rsidRPr="001E1A45">
        <w:rPr>
          <w:rFonts w:cstheme="majorHAnsi"/>
          <w:b w:val="0"/>
          <w:bCs w:val="0"/>
          <w:color w:val="000000" w:themeColor="text1"/>
        </w:rPr>
        <w:t>(1600-1900)</w:t>
      </w:r>
    </w:p>
    <w:p w14:paraId="731BCE4D" w14:textId="4A5847BB" w:rsidR="000B7B56" w:rsidRPr="001E1A45" w:rsidRDefault="00E81945" w:rsidP="000B7B56">
      <w:pPr>
        <w:pStyle w:val="Heading3"/>
        <w:rPr>
          <w:rFonts w:cstheme="majorHAnsi"/>
        </w:rPr>
      </w:pPr>
      <w:r w:rsidRPr="001E1A45">
        <w:rPr>
          <w:rFonts w:cstheme="majorHAnsi"/>
        </w:rPr>
        <w:t>4.1 Problem Formulation</w:t>
      </w:r>
    </w:p>
    <w:p w14:paraId="18F4C00E" w14:textId="77777777" w:rsidR="00DC447F" w:rsidRDefault="00D06E99" w:rsidP="00DC447F">
      <w:pPr>
        <w:pStyle w:val="p1"/>
      </w:pPr>
      <w:r>
        <w:t>This work builds upon our previous formulation of Federated Continual Learning (FCL) for vision-based plastic classification in recycling environments</w:t>
      </w:r>
      <w:r>
        <w:rPr>
          <w:rStyle w:val="apple-converted-space"/>
        </w:rPr>
        <w:t> </w:t>
      </w:r>
      <w:r w:rsidRPr="001E1A45">
        <w:rPr>
          <w:rFonts w:asciiTheme="majorHAnsi" w:hAnsiTheme="majorHAnsi" w:cstheme="majorHAnsi"/>
        </w:rPr>
        <w:t>(Shami et al., 2025)</w:t>
      </w:r>
      <w:r>
        <w:t xml:space="preserve">. </w:t>
      </w:r>
    </w:p>
    <w:p w14:paraId="2C77FE3C" w14:textId="336DDE45" w:rsidR="00D06E99" w:rsidRDefault="00D06E99" w:rsidP="00DC447F">
      <w:pPr>
        <w:pStyle w:val="p1"/>
      </w:pPr>
      <w:r>
        <w:t>As established in that study, each recycling plant is modeled as an independent client that receives data incrementally over time, reflecting the continuously evolving composition of plastic waste streams. These temporal variations arise from seasonal effects, regional consumption patterns, and changes in packaging design, all of which challenge the stability of vision-based classifiers deployed in industrial sorting facilities.</w:t>
      </w:r>
    </w:p>
    <w:p w14:paraId="4C5852E5" w14:textId="77777777" w:rsidR="00D06E99" w:rsidRDefault="00D06E99" w:rsidP="00D06E99">
      <w:pPr>
        <w:pStyle w:val="p1"/>
      </w:pPr>
      <w:r>
        <w:t xml:space="preserve">Formally, let </w:t>
      </w:r>
      <w:r>
        <w:rPr>
          <w:rStyle w:val="s1"/>
        </w:rPr>
        <w:t>n</w:t>
      </w:r>
      <w:r>
        <w:t xml:space="preserve"> denote the number of clients (sorting plants). Each client </w:t>
      </w:r>
      <w:r>
        <w:rPr>
          <w:rStyle w:val="s1"/>
        </w:rPr>
        <w:t>i \in \{1,\dots,n\}</w:t>
      </w:r>
      <w:r>
        <w:t xml:space="preserve"> observes a sequence of local datasets</w:t>
      </w:r>
    </w:p>
    <w:p w14:paraId="6AACF5FB" w14:textId="00789B67" w:rsidR="00D06E99" w:rsidRPr="00D06E99" w:rsidRDefault="00D06E99" w:rsidP="00DC447F">
      <w:pPr>
        <w:pStyle w:val="p2"/>
      </w:pPr>
      <m:oMathPara>
        <m:oMath>
          <m:sSub>
            <m:sSubPr>
              <m:ctrlPr>
                <w:rPr>
                  <w:rStyle w:val="s2"/>
                  <w:rFonts w:ascii="Cambria Math" w:hAnsi="Cambria Math"/>
                </w:rPr>
              </m:ctrlPr>
            </m:sSubPr>
            <m:e>
              <m:r>
                <m:rPr>
                  <m:sty m:val="p"/>
                </m:rPr>
                <w:rPr>
                  <w:rStyle w:val="s2"/>
                  <w:rFonts w:ascii="Cambria Math" w:hAnsi="Cambria Math"/>
                </w:rPr>
                <m:t>D</m:t>
              </m:r>
            </m:e>
            <m:sub>
              <m:d>
                <m:dPr>
                  <m:begChr m:val="{"/>
                  <m:endChr m:val="}"/>
                  <m:ctrlPr>
                    <w:rPr>
                      <w:rStyle w:val="s2"/>
                      <w:rFonts w:ascii="Cambria Math" w:hAnsi="Cambria Math"/>
                    </w:rPr>
                  </m:ctrlPr>
                </m:dPr>
                <m:e>
                  <m:r>
                    <m:rPr>
                      <m:sty m:val="p"/>
                    </m:rPr>
                    <w:rPr>
                      <w:rStyle w:val="s2"/>
                      <w:rFonts w:ascii="Cambria Math" w:hAnsi="Cambria Math"/>
                    </w:rPr>
                    <m:t>i</m:t>
                  </m:r>
                  <m:r>
                    <m:rPr>
                      <m:sty m:val="p"/>
                    </m:rPr>
                    <w:rPr>
                      <w:rStyle w:val="s2"/>
                      <w:rFonts w:ascii="Cambria Math" w:hAnsi="Cambria Math"/>
                    </w:rPr>
                    <m:t>,1</m:t>
                  </m:r>
                </m:e>
              </m:d>
            </m:sub>
          </m:sSub>
          <m:r>
            <m:rPr>
              <m:sty m:val="p"/>
            </m:rPr>
            <w:rPr>
              <w:rStyle w:val="s2"/>
              <w:rFonts w:ascii="Cambria Math" w:hAnsi="Cambria Math"/>
            </w:rPr>
            <m:t xml:space="preserve">, </m:t>
          </m:r>
          <m:sSub>
            <m:sSubPr>
              <m:ctrlPr>
                <w:rPr>
                  <w:rStyle w:val="s2"/>
                  <w:rFonts w:ascii="Cambria Math" w:hAnsi="Cambria Math"/>
                </w:rPr>
              </m:ctrlPr>
            </m:sSubPr>
            <m:e>
              <m:r>
                <m:rPr>
                  <m:sty m:val="p"/>
                </m:rPr>
                <w:rPr>
                  <w:rStyle w:val="s2"/>
                  <w:rFonts w:ascii="Cambria Math" w:hAnsi="Cambria Math"/>
                </w:rPr>
                <m:t>D</m:t>
              </m:r>
            </m:e>
            <m:sub>
              <m:d>
                <m:dPr>
                  <m:begChr m:val="{"/>
                  <m:endChr m:val="}"/>
                  <m:ctrlPr>
                    <w:rPr>
                      <w:rStyle w:val="s2"/>
                      <w:rFonts w:ascii="Cambria Math" w:hAnsi="Cambria Math"/>
                    </w:rPr>
                  </m:ctrlPr>
                </m:dPr>
                <m:e>
                  <m:r>
                    <m:rPr>
                      <m:sty m:val="p"/>
                    </m:rPr>
                    <w:rPr>
                      <w:rStyle w:val="s2"/>
                      <w:rFonts w:ascii="Cambria Math" w:hAnsi="Cambria Math"/>
                    </w:rPr>
                    <m:t>I</m:t>
                  </m:r>
                  <m:r>
                    <m:rPr>
                      <m:sty m:val="p"/>
                    </m:rPr>
                    <w:rPr>
                      <w:rStyle w:val="s2"/>
                      <w:rFonts w:ascii="Cambria Math" w:hAnsi="Cambria Math"/>
                    </w:rPr>
                    <m:t>,2</m:t>
                  </m:r>
                </m:e>
              </m:d>
            </m:sub>
          </m:sSub>
          <m:r>
            <m:rPr>
              <m:sty m:val="p"/>
            </m:rPr>
            <w:rPr>
              <w:rStyle w:val="s2"/>
              <w:rFonts w:ascii="Cambria Math" w:hAnsi="Cambria Math"/>
            </w:rPr>
            <m:t xml:space="preserve">, </m:t>
          </m:r>
          <m:r>
            <m:rPr>
              <m:sty m:val="p"/>
            </m:rPr>
            <w:rPr>
              <w:rStyle w:val="s2"/>
              <w:rFonts w:ascii="Cambria Math" w:hAnsi="Cambria Math"/>
            </w:rPr>
            <m:t>c</m:t>
          </m:r>
          <m:r>
            <m:rPr>
              <m:sty m:val="p"/>
            </m:rPr>
            <w:rPr>
              <w:rStyle w:val="s2"/>
              <w:rFonts w:ascii="Cambria Math" w:hAnsi="Cambria Math"/>
            </w:rPr>
            <m:t xml:space="preserve">\dots, </m:t>
          </m:r>
          <m:sSub>
            <m:sSubPr>
              <m:ctrlPr>
                <w:rPr>
                  <w:rStyle w:val="s2"/>
                  <w:rFonts w:ascii="Cambria Math" w:hAnsi="Cambria Math"/>
                </w:rPr>
              </m:ctrlPr>
            </m:sSubPr>
            <m:e>
              <m:r>
                <m:rPr>
                  <m:sty m:val="p"/>
                </m:rPr>
                <w:rPr>
                  <w:rStyle w:val="s2"/>
                  <w:rFonts w:ascii="Cambria Math" w:hAnsi="Cambria Math"/>
                </w:rPr>
                <m:t>D</m:t>
              </m:r>
            </m:e>
            <m:sub>
              <m:d>
                <m:dPr>
                  <m:begChr m:val="{"/>
                  <m:endChr m:val="}"/>
                  <m:ctrlPr>
                    <w:rPr>
                      <w:rStyle w:val="s2"/>
                      <w:rFonts w:ascii="Cambria Math" w:hAnsi="Cambria Math"/>
                    </w:rPr>
                  </m:ctrlPr>
                </m:dPr>
                <m:e>
                  <m:r>
                    <m:rPr>
                      <m:sty m:val="p"/>
                    </m:rPr>
                    <w:rPr>
                      <w:rStyle w:val="s2"/>
                      <w:rFonts w:ascii="Cambria Math" w:hAnsi="Cambria Math"/>
                    </w:rPr>
                    <m:t>I</m:t>
                  </m:r>
                  <m:r>
                    <m:rPr>
                      <m:sty m:val="p"/>
                    </m:rPr>
                    <w:rPr>
                      <w:rStyle w:val="s2"/>
                      <w:rFonts w:ascii="Cambria Math" w:hAnsi="Cambria Math"/>
                    </w:rPr>
                    <m:t>,m</m:t>
                  </m:r>
                </m:e>
              </m:d>
            </m:sub>
          </m:sSub>
        </m:oMath>
      </m:oMathPara>
    </w:p>
    <w:p w14:paraId="3416B525" w14:textId="2DEE6861" w:rsidR="00D06E99" w:rsidRDefault="00D06E99" w:rsidP="00DC447F">
      <w:pPr>
        <w:pStyle w:val="p1"/>
      </w:pPr>
      <w:r>
        <w:t xml:space="preserve">where each </w:t>
      </w:r>
      <w:r>
        <w:rPr>
          <w:rStyle w:val="s1"/>
        </w:rPr>
        <w:t>D_{i,j}</w:t>
      </w:r>
      <w:r>
        <w:t xml:space="preserve"> corresponds to the data acquired by client </w:t>
      </w:r>
      <w:r>
        <w:rPr>
          <w:rStyle w:val="s1"/>
        </w:rPr>
        <w:t>i</w:t>
      </w:r>
      <w:r>
        <w:t xml:space="preserve"> during the </w:t>
      </w:r>
      <w:r>
        <w:rPr>
          <w:rStyle w:val="s1"/>
        </w:rPr>
        <w:t>j</w:t>
      </w:r>
      <w:r>
        <w:t>-th continual learning (CL) batch. These batches arrive sequentially and are not assumed to be identically distributed, either across clients or across time, which is a defining characteristic of real-world recycling scenarios.</w:t>
      </w:r>
    </w:p>
    <w:p w14:paraId="66301199" w14:textId="77777777" w:rsidR="00D06E99" w:rsidRDefault="00D06E99" w:rsidP="00D06E99">
      <w:pPr>
        <w:pStyle w:val="p1"/>
      </w:pPr>
      <w:r>
        <w:lastRenderedPageBreak/>
        <w:t xml:space="preserve">Let </w:t>
      </w:r>
      <w:r>
        <w:rPr>
          <w:rStyle w:val="s1"/>
        </w:rPr>
        <w:t>\theta_{i,j}</w:t>
      </w:r>
      <w:r>
        <w:t xml:space="preserve"> denote the model parameters at client </w:t>
      </w:r>
      <w:r>
        <w:rPr>
          <w:rStyle w:val="s1"/>
        </w:rPr>
        <w:t>i</w:t>
      </w:r>
      <w:r>
        <w:t xml:space="preserve"> after processing its </w:t>
      </w:r>
      <w:r>
        <w:rPr>
          <w:rStyle w:val="s1"/>
        </w:rPr>
        <w:t>j</w:t>
      </w:r>
      <w:r>
        <w:t>-th CL batch. As in our previous work, the local continual learning process is represented by a generic CL operator,</w:t>
      </w:r>
    </w:p>
    <w:p w14:paraId="5D200D85" w14:textId="77777777" w:rsidR="00D06E99" w:rsidRDefault="00D06E99" w:rsidP="00D06E99">
      <w:pPr>
        <w:pStyle w:val="p3"/>
      </w:pPr>
      <w:r>
        <w:rPr>
          <w:rStyle w:val="s2"/>
          <w:rFonts w:eastAsiaTheme="majorEastAsia"/>
        </w:rPr>
        <w:t>\theta_{i,j} = \mathrm{CL}(\theta_{i,j-1}, D_{i,j}), \tag{1}</w:t>
      </w:r>
    </w:p>
    <w:p w14:paraId="14984A79" w14:textId="77777777" w:rsidR="00D06E99" w:rsidRDefault="00D06E99" w:rsidP="00D06E99">
      <w:pPr>
        <w:pStyle w:val="p1"/>
        <w:rPr>
          <w:rFonts w:asciiTheme="majorHAnsi" w:hAnsiTheme="majorHAnsi" w:cstheme="majorHAnsi"/>
        </w:rPr>
      </w:pPr>
      <w:r>
        <w:t xml:space="preserve">where </w:t>
      </w:r>
      <w:r>
        <w:rPr>
          <w:rStyle w:val="s1"/>
        </w:rPr>
        <w:t>\mathrm{CL}(\cdot)</w:t>
      </w:r>
      <w:r>
        <w:t xml:space="preserve"> may incorporate mechanisms such as replay, regularization (e.g., Elastic Weight Consolidation), or other strategies designed to mitigate catastrophic forgetting. While this formulation allows each client to adapt to new data, our earlier experiments demonstrated that the effectiveness of the CL process is highly sensitive to the choice of training hyperparameters, batch composition, and the severity of distribution shifts</w:t>
      </w:r>
      <w:r>
        <w:t xml:space="preserve"> </w:t>
      </w:r>
      <w:r w:rsidR="000B7B56" w:rsidRPr="001E1A45">
        <w:rPr>
          <w:rFonts w:asciiTheme="majorHAnsi" w:hAnsiTheme="majorHAnsi" w:cstheme="majorHAnsi"/>
        </w:rPr>
        <w:t>(Shami et al., 2025)</w:t>
      </w:r>
      <w:r>
        <w:rPr>
          <w:rFonts w:asciiTheme="majorHAnsi" w:hAnsiTheme="majorHAnsi" w:cstheme="majorHAnsi"/>
        </w:rPr>
        <w:t>.</w:t>
      </w:r>
    </w:p>
    <w:p w14:paraId="63F9DADB" w14:textId="77777777" w:rsidR="00D06E99" w:rsidRDefault="00D06E99" w:rsidP="00D06E99">
      <w:pPr>
        <w:pStyle w:val="p1"/>
      </w:pPr>
      <w:r>
        <w:t xml:space="preserve">Federated learning is introduced to enable collaborative model improvement without centralizing data. After local training, client models are aggregated at a central server to produce a global model. Using the notation established in our prior study, the global model after the </w:t>
      </w:r>
      <w:r>
        <w:rPr>
          <w:rStyle w:val="s1"/>
        </w:rPr>
        <w:t>j</w:t>
      </w:r>
      <w:r>
        <w:t xml:space="preserve">-th aggregation step is denoted as </w:t>
      </w:r>
      <w:r>
        <w:rPr>
          <w:rStyle w:val="s1"/>
        </w:rPr>
        <w:t>\theta_G^{j}</w:t>
      </w:r>
      <w:r>
        <w:t>. A common aggregation strategy, such as Federated Averaging (FedAvg), computes</w:t>
      </w:r>
    </w:p>
    <w:p w14:paraId="034E0291" w14:textId="77777777" w:rsidR="00D06E99" w:rsidRDefault="00D06E99" w:rsidP="00D06E99">
      <w:pPr>
        <w:pStyle w:val="p2"/>
      </w:pPr>
      <w:r>
        <w:rPr>
          <w:rStyle w:val="s2"/>
        </w:rPr>
        <w:t>\theta_G^{j} = \mathrm{FL}\bigl(\{\theta_{i,j}\}_{i=1}^{n}\bigr), \tag{2}</w:t>
      </w:r>
    </w:p>
    <w:p w14:paraId="3FF2D9BB" w14:textId="50545482" w:rsidR="00D06E99" w:rsidRDefault="00D06E99" w:rsidP="00D06E99">
      <w:pPr>
        <w:pStyle w:val="p1"/>
      </w:pPr>
      <w:r>
        <w:t>which, in its simplest form, reduces to an average of local model parameters. The global model is then redistributed to the clients and serves as the initialization point for subsequent local updates.</w:t>
      </w:r>
    </w:p>
    <w:p w14:paraId="71CDD84A" w14:textId="21EB1382" w:rsidR="00D06E99" w:rsidRDefault="00D06E99" w:rsidP="00D06E99">
      <w:pPr>
        <w:pStyle w:val="p1"/>
      </w:pPr>
      <w:r>
        <w:t xml:space="preserve">Although this FCL formulation enables decentralized and continual adaptation, our previous results revealed important limitations. In particular, we observed that fixed CL configurations often lead to unstable behavior: aggressive updates cause temporal or spatial catastrophic forgetting, while conservative updates prevent sufficient adaptation to new material streams. Crucially, no single configuration consistently performs well across clients and across time. This observation motivates the central research question of this paper: </w:t>
      </w:r>
      <w:r w:rsidRPr="00D06E99">
        <w:rPr>
          <w:rStyle w:val="s3"/>
          <w:rFonts w:eastAsiaTheme="majorEastAsia"/>
        </w:rPr>
        <w:t>how can the behavior of the CL operator be adapted dynamically to the evolving state of each client within an FCL framework?</w:t>
      </w:r>
    </w:p>
    <w:p w14:paraId="635D3D5B" w14:textId="54AEC8A5" w:rsidR="000B7B56" w:rsidRPr="00D06E99" w:rsidRDefault="00D06E99" w:rsidP="00D06E99">
      <w:pPr>
        <w:pStyle w:val="p1"/>
      </w:pPr>
      <w:r>
        <w:t xml:space="preserve">To address this question, we reformulate FCL as a controlled learning process, in which the CL operator itself becomes adaptive. Instead of applying a static </w:t>
      </w:r>
      <w:r>
        <w:rPr>
          <w:rStyle w:val="s1"/>
        </w:rPr>
        <w:t>\mathrm{CL}(\cdot)</w:t>
      </w:r>
      <w:r>
        <w:t xml:space="preserve"> function, the learning process is guided by a policy that selects training actions based on the current state of each client. This policy-driven extension preserves the mathematical structure of FCL introduced in our earlier work, while enabling data-driven adaptation of local learning behavior. The design and integration of this controller are detailed in the following sections.</w:t>
      </w:r>
      <w:r w:rsidR="000B7B56" w:rsidRPr="001E1A45">
        <w:rPr>
          <w:rFonts w:asciiTheme="majorHAnsi" w:hAnsiTheme="majorHAnsi" w:cstheme="majorHAnsi"/>
        </w:rPr>
        <w:t xml:space="preserve"> </w:t>
      </w:r>
    </w:p>
    <w:p w14:paraId="17C070CA" w14:textId="77777777" w:rsidR="00E81945" w:rsidRPr="001E1A45" w:rsidRDefault="00E81945" w:rsidP="00E81945">
      <w:pPr>
        <w:pStyle w:val="Heading3"/>
        <w:rPr>
          <w:rFonts w:cstheme="majorHAnsi"/>
        </w:rPr>
      </w:pPr>
      <w:r w:rsidRPr="001E1A45">
        <w:rPr>
          <w:rFonts w:cstheme="majorHAnsi"/>
        </w:rPr>
        <w:t>4.2 FCL Training Pipeline</w:t>
      </w:r>
    </w:p>
    <w:p w14:paraId="5B63CC91" w14:textId="520D6118" w:rsidR="00D06E99" w:rsidRDefault="00D06E99" w:rsidP="00D06E99">
      <w:pPr>
        <w:pStyle w:val="p1"/>
      </w:pPr>
      <w:r>
        <w:t xml:space="preserve">The Federated Continual Learning pipeline used in this work follows the same foundational structure established in our previous FCL framework for plastic </w:t>
      </w:r>
      <w:r>
        <w:lastRenderedPageBreak/>
        <w:t>classification</w:t>
      </w:r>
      <w:r>
        <w:t xml:space="preserve"> (</w:t>
      </w:r>
      <w:r w:rsidR="001E1A45" w:rsidRPr="001E1A45">
        <w:rPr>
          <w:rFonts w:asciiTheme="majorHAnsi" w:hAnsiTheme="majorHAnsi" w:cstheme="majorHAnsi"/>
        </w:rPr>
        <w:t xml:space="preserve">Shami et al., 2025), </w:t>
      </w:r>
      <w:r>
        <w:t>with a single but crucial extension: the introduction of an adaptive control mechanism that modulates the local continual learning process at each client.</w:t>
      </w:r>
    </w:p>
    <w:p w14:paraId="406252CB" w14:textId="1EEBAB0A" w:rsidR="00D06E99" w:rsidRDefault="00D06E99" w:rsidP="00D06E99">
      <w:pPr>
        <w:pStyle w:val="p1"/>
      </w:pPr>
      <w:r>
        <w:t>Each client operates on vision data acquired from a conveyor belt system. As in our earlier studies, object detection is performed as a preprocessing step to extract individual plastic particles, which are then passed to a lightweight convolutional classifier. This classifier constitutes the model trained under the FCL paradigm. The object detector is kept fixed throughout all experiments to ensure consistency and comparability with previously reported results.</w:t>
      </w:r>
    </w:p>
    <w:p w14:paraId="170EFA29" w14:textId="77777777" w:rsidR="00D06E99" w:rsidRDefault="00D06E99" w:rsidP="00D06E99">
      <w:pPr>
        <w:pStyle w:val="p1"/>
      </w:pPr>
      <w:r>
        <w:t xml:space="preserve">At each continual learning step </w:t>
      </w:r>
      <w:r>
        <w:rPr>
          <w:rStyle w:val="s1"/>
        </w:rPr>
        <w:t>j</w:t>
      </w:r>
      <w:r>
        <w:t xml:space="preserve">, the client receives a new dataset </w:t>
      </w:r>
      <w:r>
        <w:rPr>
          <w:rStyle w:val="s1"/>
        </w:rPr>
        <w:t>D_{i,j}</w:t>
      </w:r>
      <w:r>
        <w:t xml:space="preserve"> and updates its local model. In contrast to the static formulation used previously, the local update is now expressed as</w:t>
      </w:r>
    </w:p>
    <w:p w14:paraId="349FA427" w14:textId="77777777" w:rsidR="00D06E99" w:rsidRDefault="00D06E99" w:rsidP="00D06E99">
      <w:pPr>
        <w:pStyle w:val="p3"/>
      </w:pPr>
      <w:r>
        <w:rPr>
          <w:rStyle w:val="s2"/>
          <w:rFonts w:eastAsiaTheme="majorEastAsia"/>
        </w:rPr>
        <w:t>\theta_{i,j} = \mathrm{CL}\bigl(\theta_{i,j-1}, D_{i,j}; a_{i,j}\bigr), \tag{3}</w:t>
      </w:r>
    </w:p>
    <w:p w14:paraId="3F061F8A" w14:textId="703E3E5F" w:rsidR="00D06E99" w:rsidRDefault="00D06E99" w:rsidP="00D06E99">
      <w:pPr>
        <w:pStyle w:val="p1"/>
      </w:pPr>
      <w:r>
        <w:t xml:space="preserve">where </w:t>
      </w:r>
      <w:r>
        <w:rPr>
          <w:rStyle w:val="s1"/>
        </w:rPr>
        <w:t>a_{i,j}</w:t>
      </w:r>
      <w:r>
        <w:t xml:space="preserve"> represents a vector of training actions that control the behavior of the CL process. These actions may influence, for example, the strength of regularization, the proportion of replayed samples, or the effective learning rate. Importantly, this formulation generalizes Eq. (1): when </w:t>
      </w:r>
      <w:r>
        <w:rPr>
          <w:rStyle w:val="s1"/>
        </w:rPr>
        <w:t>a_{i,j}</w:t>
      </w:r>
      <w:r>
        <w:t xml:space="preserve"> is fixed, the pipeline reduces exactly to the FCL setup described in our earlier work.</w:t>
      </w:r>
    </w:p>
    <w:p w14:paraId="68F4C6A0" w14:textId="77777777" w:rsidR="00D06E99" w:rsidRDefault="00D06E99" w:rsidP="00D06E99">
      <w:pPr>
        <w:pStyle w:val="p1"/>
      </w:pPr>
      <w:r>
        <w:t>After completing the local update, each client transmits its model parameters to the server. The server performs federated aggregation to compute the updated global model,</w:t>
      </w:r>
    </w:p>
    <w:p w14:paraId="1174CBA2" w14:textId="77777777" w:rsidR="00D06E99" w:rsidRDefault="00D06E99" w:rsidP="00D06E99">
      <w:pPr>
        <w:pStyle w:val="p3"/>
      </w:pPr>
      <w:r>
        <w:rPr>
          <w:rStyle w:val="s2"/>
          <w:rFonts w:eastAsiaTheme="majorEastAsia"/>
        </w:rPr>
        <w:t>\theta_G^{j} = \mathrm{FL}\bigl(\{\theta_{i,j}\}_{i=1}^{n}\bigr), \tag{4}</w:t>
      </w:r>
    </w:p>
    <w:p w14:paraId="59788EB4" w14:textId="2E27204A" w:rsidR="00D06E99" w:rsidRDefault="00D06E99" w:rsidP="00DC447F">
      <w:pPr>
        <w:pStyle w:val="p1"/>
      </w:pPr>
      <w:r>
        <w:t>which is then broadcast back to all clients. This aggregation step remains unchanged compared to our previous FCL implementation, ensuring that any performance differences observed in this study can be attributed to the adaptive control of the CL process rather than to modifications of the federated learning mechanism itself.</w:t>
      </w:r>
    </w:p>
    <w:p w14:paraId="01076796" w14:textId="77777777" w:rsidR="00D06E99" w:rsidRDefault="00D06E99" w:rsidP="00D06E99">
      <w:pPr>
        <w:pStyle w:val="p1"/>
      </w:pPr>
      <w:r>
        <w:t xml:space="preserve">The pipeline proceeds iteratively across continual learning steps. At each iteration, the global model captures knowledge accumulated across clients, while the adaptive control mechanism allows each client to respond to its local data characteristics. This design preserves the privacy, scalability, and decentralization benefits of FCL, while addressing the instability issues identified in our earlier experiments. The specific design of the action space, the features used to characterize client states, and the policy model that generates </w:t>
      </w:r>
      <w:r>
        <w:rPr>
          <w:rStyle w:val="s1"/>
        </w:rPr>
        <w:t>a_{i,j}</w:t>
      </w:r>
      <w:r>
        <w:t xml:space="preserve"> are described in the following sections.</w:t>
      </w:r>
    </w:p>
    <w:p w14:paraId="4CB3B6A5" w14:textId="141D90F4" w:rsidR="00E81945" w:rsidRDefault="00E81945" w:rsidP="00DC447F">
      <w:pPr>
        <w:pStyle w:val="Heading3"/>
      </w:pPr>
      <w:r w:rsidRPr="001E1A45">
        <w:t>4.3 Controller Action Space</w:t>
      </w:r>
    </w:p>
    <w:p w14:paraId="176A2F47" w14:textId="01D3B5EE" w:rsidR="007D56C3" w:rsidRDefault="007D56C3" w:rsidP="007D56C3">
      <w:pPr>
        <w:pStyle w:val="p1"/>
      </w:pPr>
      <w:r>
        <w:t xml:space="preserve">To enable adaptive behavior within the Federated Continual Learning pipeline, the local learning process at each client is governed by a controller that selects training actions dynamically. The action space is designed to modulate the most influential components </w:t>
      </w:r>
      <w:r>
        <w:lastRenderedPageBreak/>
        <w:t>of the continual learning process, while remaining sufficiently compact to allow stable policy learning and efficient inference. Rather than introducing entirely new training mechanisms, the controller operates by adjusting existing CL hyperparameters that were already shown to strongly affect performance in our previous FCL study (Shami et al., 2025).</w:t>
      </w:r>
    </w:p>
    <w:p w14:paraId="5FA4640C" w14:textId="77777777" w:rsidR="007D56C3" w:rsidRDefault="007D56C3" w:rsidP="007D56C3">
      <w:pPr>
        <w:pStyle w:val="p1"/>
      </w:pPr>
      <w:r>
        <w:t xml:space="preserve">Formally, at each continual learning step </w:t>
      </w:r>
      <w:r>
        <w:rPr>
          <w:rStyle w:val="s1"/>
        </w:rPr>
        <w:t>j</w:t>
      </w:r>
      <w:r>
        <w:t xml:space="preserve">, client </w:t>
      </w:r>
      <w:r>
        <w:rPr>
          <w:rStyle w:val="s1"/>
        </w:rPr>
        <w:t>i</w:t>
      </w:r>
      <w:r>
        <w:t xml:space="preserve"> receives an action vector </w:t>
      </w:r>
      <w:r>
        <w:rPr>
          <w:rStyle w:val="s1"/>
        </w:rPr>
        <w:t>a_{i,j} \in \mathcal{A}</w:t>
      </w:r>
      <w:r>
        <w:t xml:space="preserve">, where </w:t>
      </w:r>
      <w:r>
        <w:rPr>
          <w:rStyle w:val="s1"/>
        </w:rPr>
        <w:t>\mathcal{A}</w:t>
      </w:r>
      <w:r>
        <w:t xml:space="preserve"> denotes the controller action space. In this work, the action vector is defined as</w:t>
      </w:r>
    </w:p>
    <w:p w14:paraId="409F1579" w14:textId="77777777" w:rsidR="007D56C3" w:rsidRDefault="007D56C3" w:rsidP="007D56C3">
      <w:pPr>
        <w:pStyle w:val="p3"/>
      </w:pPr>
      <w:r>
        <w:rPr>
          <w:rStyle w:val="s2"/>
          <w:rFonts w:eastAsiaTheme="majorEastAsia"/>
        </w:rPr>
        <w:t>a_{i,j} = \bigl( \lambda_{i,j}, \rho_{i,j}, \eta_{i,j} \bigr), \tag{5}</w:t>
      </w:r>
    </w:p>
    <w:p w14:paraId="688A361E" w14:textId="313CBAB6" w:rsidR="007D56C3" w:rsidRDefault="007D56C3" w:rsidP="007D56C3">
      <w:pPr>
        <w:pStyle w:val="p1"/>
      </w:pPr>
      <w:r>
        <w:t xml:space="preserve">where each component controls a distinct aspect of the local continual learning update. The parameter </w:t>
      </w:r>
      <w:r>
        <w:rPr>
          <w:rStyle w:val="s1"/>
        </w:rPr>
        <w:t>\lambda_{i,j}</w:t>
      </w:r>
      <w:r>
        <w:t xml:space="preserve"> scales the strength of regularization applied to parameters deemed important for previously learned tasks, </w:t>
      </w:r>
      <w:r>
        <w:rPr>
          <w:rStyle w:val="s1"/>
        </w:rPr>
        <w:t>\rho_{i,j}</w:t>
      </w:r>
      <w:r>
        <w:t xml:space="preserve"> determines the proportion of replayed samples drawn from the client’s memory buffer, and </w:t>
      </w:r>
      <w:r>
        <w:rPr>
          <w:rStyle w:val="s1"/>
        </w:rPr>
        <w:t>\eta_{i,j}</w:t>
      </w:r>
      <w:r>
        <w:t xml:space="preserve"> modulates the effective learning rate used during local optimization.</w:t>
      </w:r>
    </w:p>
    <w:p w14:paraId="6D5B51A6" w14:textId="427C2FA6" w:rsidR="007D56C3" w:rsidRDefault="007D56C3" w:rsidP="007D56C3">
      <w:pPr>
        <w:pStyle w:val="p1"/>
      </w:pPr>
      <w:r>
        <w:t xml:space="preserve">The regularization scaling factor </w:t>
      </w:r>
      <w:r>
        <w:rPr>
          <w:rStyle w:val="s1"/>
        </w:rPr>
        <w:t>\lambda_{i,j}</w:t>
      </w:r>
      <w:r>
        <w:t xml:space="preserve"> directly influences the stability–plasticity trade-off. Higher values increase resistance to changes in parameters that were critical for earlier tasks, thereby reducing catastrophic forgetting, while lower values allow more aggressive adaptation to newly observed data. This mechanism generalizes classical regularization-based CL methods, such as Elastic Weight Consolidation, by allowing their influence to vary dynamically over time and across clients.</w:t>
      </w:r>
    </w:p>
    <w:p w14:paraId="48A31F73" w14:textId="6DF3F147" w:rsidR="007D56C3" w:rsidRDefault="007D56C3" w:rsidP="007D56C3">
      <w:pPr>
        <w:pStyle w:val="p1"/>
      </w:pPr>
      <w:r>
        <w:t xml:space="preserve">The replay ratio </w:t>
      </w:r>
      <w:r>
        <w:rPr>
          <w:rStyle w:val="s1"/>
        </w:rPr>
        <w:t>\rho_{i,j}</w:t>
      </w:r>
      <w:r>
        <w:t xml:space="preserve"> controls the balance between new data and previously stored samples during local training. Replay has been shown to be particularly effective in mitigating forgetting in non-stationary environments; however, excessive replay can slow adaptation and increase computational overhead. By adjusting </w:t>
      </w:r>
      <w:r>
        <w:rPr>
          <w:rStyle w:val="s1"/>
        </w:rPr>
        <w:t>\rho_{i,j}</w:t>
      </w:r>
      <w:r>
        <w:t xml:space="preserve"> dynamically, the controller can emphasize consolidation when distribution shifts are severe and prioritize new information when incoming data is sufficiently similar to past observations.</w:t>
      </w:r>
    </w:p>
    <w:p w14:paraId="01F2E4EA" w14:textId="31F72ED3" w:rsidR="007D56C3" w:rsidRDefault="007D56C3" w:rsidP="007D56C3">
      <w:pPr>
        <w:pStyle w:val="p1"/>
      </w:pPr>
      <w:r>
        <w:t xml:space="preserve">Finally, the learning rate modulation factor </w:t>
      </w:r>
      <w:r>
        <w:rPr>
          <w:rStyle w:val="s1"/>
        </w:rPr>
        <w:t>\eta_{i,j}</w:t>
      </w:r>
      <w:r>
        <w:t xml:space="preserve"> enables fine-grained control over the magnitude of parameter updates. In rapidly changing data regimes, a higher effective learning rate can accelerate adaptation, whereas in more stable phases, a conservative update helps preserve previously acquired knowledge. Rather than fixing this parameter globally, the controller adapts it to the evolving state of each client, reflecting differences in data drift, class composition, and learning progress.</w:t>
      </w:r>
    </w:p>
    <w:p w14:paraId="05A0E0FF" w14:textId="70A46642" w:rsidR="007D56C3" w:rsidRDefault="007D56C3" w:rsidP="007D56C3">
      <w:pPr>
        <w:pStyle w:val="p1"/>
      </w:pPr>
      <w:r>
        <w:t>The chosen action space intentionally remains low-dimensional. This design choice reflects a trade-off between expressiveness and robustness: while a richer action space could in principle provide more control, it would significantly increase the complexity of policy learning and the risk of unstable behavior. By focusing on a small set of interpretable and high-impact training parameters, the controller can learn meaningful adaptation strategies while preserving the transparency and reproducibility of the overall FCL framework.</w:t>
      </w:r>
    </w:p>
    <w:p w14:paraId="07E44C37" w14:textId="77777777" w:rsidR="007D56C3" w:rsidRDefault="007D56C3" w:rsidP="007D56C3">
      <w:pPr>
        <w:pStyle w:val="p1"/>
      </w:pPr>
      <w:r>
        <w:lastRenderedPageBreak/>
        <w:t xml:space="preserve">Importantly, when the action vector </w:t>
      </w:r>
      <w:r>
        <w:rPr>
          <w:rStyle w:val="s1"/>
        </w:rPr>
        <w:t>a_{i,j}</w:t>
      </w:r>
      <w:r>
        <w:t xml:space="preserve"> is fixed to constant values across all clients and learning steps, the proposed framework reduces exactly to the static FCL formulation used in our earlier work. This property ensures backward compatibility and allows direct, fair comparisons between fixed and adaptive training strategies in the experimental evaluation.</w:t>
      </w:r>
    </w:p>
    <w:p w14:paraId="2572B9CD" w14:textId="77777777" w:rsidR="00E81945" w:rsidRDefault="00E81945" w:rsidP="00E81945">
      <w:pPr>
        <w:pStyle w:val="Heading3"/>
        <w:rPr>
          <w:rFonts w:cstheme="majorHAnsi"/>
        </w:rPr>
      </w:pPr>
      <w:r w:rsidRPr="001E1A45">
        <w:rPr>
          <w:rFonts w:cstheme="majorHAnsi"/>
        </w:rPr>
        <w:t>4.4 SFT Policy Model</w:t>
      </w:r>
    </w:p>
    <w:p w14:paraId="1BA76217" w14:textId="33977E10" w:rsidR="007D56C3" w:rsidRDefault="007D56C3" w:rsidP="007D56C3">
      <w:pPr>
        <w:pStyle w:val="p1"/>
      </w:pPr>
      <w:r>
        <w:t xml:space="preserve">To generate adaptive control actions, we employ a supervised fine-tuned (SFT) language model as a policy function. The policy maps a structured representation of the client’s learning state to an action vector </w:t>
      </w:r>
      <w:r>
        <w:rPr>
          <w:rStyle w:val="s1"/>
        </w:rPr>
        <w:t>a_{i,j}</w:t>
      </w:r>
      <w:r>
        <w:t>, thereby transforming the CL process into a policy-guided system.</w:t>
      </w:r>
    </w:p>
    <w:p w14:paraId="7F6ADE66" w14:textId="77777777" w:rsidR="007D56C3" w:rsidRDefault="007D56C3" w:rsidP="007D56C3">
      <w:pPr>
        <w:pStyle w:val="p1"/>
      </w:pPr>
      <w:r>
        <w:t xml:space="preserve">Let </w:t>
      </w:r>
      <w:r>
        <w:rPr>
          <w:rStyle w:val="s1"/>
        </w:rPr>
        <w:t>s_{i,j}</w:t>
      </w:r>
      <w:r>
        <w:t xml:space="preserve"> denote the state of client </w:t>
      </w:r>
      <w:r>
        <w:rPr>
          <w:rStyle w:val="s1"/>
        </w:rPr>
        <w:t>i</w:t>
      </w:r>
      <w:r>
        <w:t xml:space="preserve"> at CL step </w:t>
      </w:r>
      <w:r>
        <w:rPr>
          <w:rStyle w:val="s1"/>
        </w:rPr>
        <w:t>j</w:t>
      </w:r>
      <w:r>
        <w:t>. This state encodes summary statistics derived from recent training behavior, including performance trends, forgetting indicators, and data distribution characteristics. The policy is defined as</w:t>
      </w:r>
    </w:p>
    <w:p w14:paraId="41E2EB49" w14:textId="77777777" w:rsidR="007D56C3" w:rsidRDefault="007D56C3" w:rsidP="007D56C3">
      <w:pPr>
        <w:pStyle w:val="p3"/>
      </w:pPr>
      <w:r>
        <w:rPr>
          <w:rStyle w:val="s2"/>
          <w:rFonts w:eastAsiaTheme="majorEastAsia"/>
        </w:rPr>
        <w:t>\pi_\phi : s_{i,j} \;\mapsto\; a_{i,j}, \tag{6}</w:t>
      </w:r>
    </w:p>
    <w:p w14:paraId="1350357E" w14:textId="2FFDB863" w:rsidR="007D56C3" w:rsidRDefault="007D56C3" w:rsidP="007D56C3">
      <w:pPr>
        <w:pStyle w:val="p1"/>
      </w:pPr>
      <w:r>
        <w:t xml:space="preserve">where </w:t>
      </w:r>
      <w:r>
        <w:rPr>
          <w:rStyle w:val="s1"/>
        </w:rPr>
        <w:t>\phi</w:t>
      </w:r>
      <w:r>
        <w:t xml:space="preserve"> denotes the parameters of the policy model.</w:t>
      </w:r>
    </w:p>
    <w:p w14:paraId="12D09B07" w14:textId="153F1462" w:rsidR="007D56C3" w:rsidRDefault="007D56C3" w:rsidP="007D56C3">
      <w:pPr>
        <w:pStyle w:val="p1"/>
      </w:pPr>
      <w:r>
        <w:t xml:space="preserve">In this work, </w:t>
      </w:r>
      <w:r>
        <w:rPr>
          <w:rStyle w:val="s1"/>
        </w:rPr>
        <w:t>\pi_\phi</w:t>
      </w:r>
      <w:r>
        <w:t xml:space="preserve"> is instantiated as a fine-tuned DistilGPT-2 model. Although originally developed for natural language processing, the model is repurposed here as a structured decision generator. Client states are serialized into compact textual prompts, and the model produces action values in a predefined, machine-readable format.</w:t>
      </w:r>
    </w:p>
    <w:p w14:paraId="67603D81" w14:textId="33992577" w:rsidR="007D56C3" w:rsidRDefault="007D56C3" w:rsidP="007D56C3">
      <w:pPr>
        <w:pStyle w:val="p1"/>
      </w:pPr>
      <w:r>
        <w:t>The choice of a lightweight language model is motivated by three considerations. First, it enables flexible conditioning on heterogeneous and partially structured state information. Second, it allows the controller to learn implicit heuristics that are difficult to encode manually. Third, the compact size of DistilGPT-2 ensures that inference overhead remains negligible relative to model training and communication costs.</w:t>
      </w:r>
    </w:p>
    <w:p w14:paraId="1A12CF23" w14:textId="7E7A443F" w:rsidR="007D56C3" w:rsidRPr="007D56C3" w:rsidRDefault="007D56C3" w:rsidP="007D56C3">
      <w:pPr>
        <w:pStyle w:val="p1"/>
      </w:pPr>
      <w:r>
        <w:t>Notably, the policy model does not access raw images or private data. Its inputs are restricted to high-level metrics already available within the FCL process, preserving the privacy guarantees of federated learning.</w:t>
      </w:r>
    </w:p>
    <w:p w14:paraId="3D4EA97E" w14:textId="77777777" w:rsidR="00E81945" w:rsidRDefault="00E81945" w:rsidP="00E81945">
      <w:pPr>
        <w:pStyle w:val="Heading3"/>
        <w:rPr>
          <w:rFonts w:cstheme="majorHAnsi"/>
        </w:rPr>
      </w:pPr>
      <w:r w:rsidRPr="001E1A45">
        <w:rPr>
          <w:rFonts w:cstheme="majorHAnsi"/>
        </w:rPr>
        <w:t>4.5 Policy Training</w:t>
      </w:r>
    </w:p>
    <w:p w14:paraId="46AB2717" w14:textId="0B5F25DB" w:rsidR="007D56C3" w:rsidRDefault="007D56C3" w:rsidP="007D56C3">
      <w:pPr>
        <w:pStyle w:val="p1"/>
      </w:pPr>
      <w:r>
        <w:t xml:space="preserve">The SFT policy is trained offline using supervision generated by a heuristic controller, referred to as the </w:t>
      </w:r>
      <w:r>
        <w:rPr>
          <w:i/>
          <w:iCs/>
        </w:rPr>
        <w:t>teacher</w:t>
      </w:r>
      <w:r>
        <w:t>. This teacher corresponds to the hand-designed V4 controller developed in our earlier work, which selects CL actions based on rule-based heuristics and empirical insights.</w:t>
      </w:r>
    </w:p>
    <w:p w14:paraId="2F078030" w14:textId="77777777" w:rsidR="007D56C3" w:rsidRDefault="007D56C3" w:rsidP="007D56C3">
      <w:pPr>
        <w:pStyle w:val="p1"/>
      </w:pPr>
      <w:r>
        <w:t xml:space="preserve">During teacher runs, the FCL process is executed normally, but at each CL step the selected action </w:t>
      </w:r>
      <w:r>
        <w:rPr>
          <w:rStyle w:val="s1"/>
        </w:rPr>
        <w:t>a_{i,j}^{\text{teacher}}</w:t>
      </w:r>
      <w:r>
        <w:t xml:space="preserve"> is logged together with the corresponding state </w:t>
      </w:r>
      <w:r>
        <w:rPr>
          <w:rStyle w:val="s1"/>
        </w:rPr>
        <w:t>s_{i,j}</w:t>
      </w:r>
      <w:r>
        <w:t>. This yields a dataset of state–action pairs</w:t>
      </w:r>
    </w:p>
    <w:p w14:paraId="4DCD86C8" w14:textId="77777777" w:rsidR="007D56C3" w:rsidRDefault="007D56C3" w:rsidP="007D56C3">
      <w:pPr>
        <w:pStyle w:val="p3"/>
      </w:pPr>
      <w:r>
        <w:rPr>
          <w:rStyle w:val="s2"/>
          <w:rFonts w:eastAsiaTheme="majorEastAsia"/>
        </w:rPr>
        <w:lastRenderedPageBreak/>
        <w:t>\mathcal{D}_{\text{teach}} = \{(s_{i,j}, a_{i,j}^{\text{teacher}})\}, \tag{7}</w:t>
      </w:r>
    </w:p>
    <w:p w14:paraId="2082812F" w14:textId="1AF6DBE8" w:rsidR="007D56C3" w:rsidRDefault="007D56C3" w:rsidP="007D56C3">
      <w:pPr>
        <w:pStyle w:val="p1"/>
      </w:pPr>
      <w:r>
        <w:t>which serves as supervision for policy learning.</w:t>
      </w:r>
    </w:p>
    <w:p w14:paraId="7EDA1A85" w14:textId="68A4F278" w:rsidR="007D56C3" w:rsidRDefault="007D56C3" w:rsidP="007D56C3">
      <w:pPr>
        <w:pStyle w:val="p1"/>
      </w:pPr>
      <w:r>
        <w:t>The SFT model is trained to minimize a standard supervised loss over this dataset, encouraging the generated actions to match the teacher’s behavior. Importantly, this training procedure does not require online interaction with the environment, reinforcement learning, or additional federated communication. The policy is learned once and subsequently deployed across all clients.</w:t>
      </w:r>
    </w:p>
    <w:p w14:paraId="10017DD5" w14:textId="5C3BFC7A" w:rsidR="007D56C3" w:rsidRPr="007D56C3" w:rsidRDefault="007D56C3" w:rsidP="007D56C3">
      <w:pPr>
        <w:pStyle w:val="p1"/>
      </w:pPr>
      <w:r>
        <w:t>While the teacher controller itself is not optimal, it encodes domain knowledge accumulated through extensive experimentation. By distilling this knowledge into a compact policy model, the SFT controller can generalize beyond the exact conditions encountered during teacher runs and produce smoother, more consistent control signals.</w:t>
      </w:r>
    </w:p>
    <w:p w14:paraId="0DC90D36" w14:textId="77777777" w:rsidR="00E81945" w:rsidRDefault="00E81945" w:rsidP="00E81945">
      <w:pPr>
        <w:pStyle w:val="Heading3"/>
        <w:rPr>
          <w:rFonts w:cstheme="majorHAnsi"/>
        </w:rPr>
      </w:pPr>
      <w:r w:rsidRPr="001E1A45">
        <w:rPr>
          <w:rFonts w:cstheme="majorHAnsi"/>
        </w:rPr>
        <w:t>4.6 Inference-Time Integration</w:t>
      </w:r>
    </w:p>
    <w:p w14:paraId="6DF74366" w14:textId="00DA6E7F" w:rsidR="007D56C3" w:rsidRDefault="007D56C3" w:rsidP="007D56C3">
      <w:pPr>
        <w:pStyle w:val="p1"/>
      </w:pPr>
      <w:r>
        <w:t xml:space="preserve">At inference time, the SFT policy is integrated into the FCL pipeline as a drop-in replacement for static or heuristic controllers. At each CL step </w:t>
      </w:r>
      <w:r>
        <w:rPr>
          <w:rStyle w:val="s1"/>
        </w:rPr>
        <w:t>j</w:t>
      </w:r>
      <w:r>
        <w:t xml:space="preserve">, each client computes its current state </w:t>
      </w:r>
      <w:r>
        <w:rPr>
          <w:rStyle w:val="s1"/>
        </w:rPr>
        <w:t>s_{i,j}</w:t>
      </w:r>
      <w:r>
        <w:t xml:space="preserve"> using locally available metrics. This state is passed to the policy model, which generates the corresponding action vector </w:t>
      </w:r>
      <w:r>
        <w:rPr>
          <w:rStyle w:val="s1"/>
        </w:rPr>
        <w:t>a_{i,j}</w:t>
      </w:r>
      <w:r>
        <w:t>.</w:t>
      </w:r>
    </w:p>
    <w:p w14:paraId="051ED490" w14:textId="7221417E" w:rsidR="007D56C3" w:rsidRDefault="007D56C3" w:rsidP="007D56C3">
      <w:pPr>
        <w:pStyle w:val="p1"/>
      </w:pPr>
      <w:r>
        <w:t>The local update then proceeds according to Eq. (3), using the policy-selected actions. No additional synchronization is required, and the policy operates independently at each client. This design ensures full compatibility with federated learning constraints and avoids introducing new communication channels.</w:t>
      </w:r>
    </w:p>
    <w:p w14:paraId="4EEBF189" w14:textId="56CDAB05" w:rsidR="007D56C3" w:rsidRPr="007D56C3" w:rsidRDefault="007D56C3" w:rsidP="007D56C3">
      <w:pPr>
        <w:pStyle w:val="p1"/>
      </w:pPr>
      <w:r>
        <w:t>Crucially, the policy model remains fixed during deployment. It is not updated online and does not exchange information across clients. As a result, the inference-time behavior of the system is deterministic given the client state, stable across runs, and easy to reproduce.</w:t>
      </w:r>
    </w:p>
    <w:p w14:paraId="750C7A33" w14:textId="77777777" w:rsidR="00E81945" w:rsidRPr="001E1A45" w:rsidRDefault="00E81945" w:rsidP="00E81945">
      <w:pPr>
        <w:pStyle w:val="Heading3"/>
        <w:rPr>
          <w:rFonts w:cstheme="majorHAnsi"/>
        </w:rPr>
      </w:pPr>
      <w:r w:rsidRPr="001E1A45">
        <w:rPr>
          <w:rFonts w:cstheme="majorHAnsi"/>
        </w:rPr>
        <w:t>4.7 Computational Overhead</w:t>
      </w:r>
    </w:p>
    <w:p w14:paraId="4B7AEE40" w14:textId="0B02593B" w:rsidR="007D56C3" w:rsidRDefault="007D56C3" w:rsidP="007D56C3">
      <w:pPr>
        <w:pStyle w:val="p1"/>
      </w:pPr>
      <w:r>
        <w:t>The introduction of an SFT-based controller raises questions regarding computational and communication overhead. In practice, the additional cost incurred by the policy model is minimal.</w:t>
      </w:r>
    </w:p>
    <w:p w14:paraId="60041A55" w14:textId="3D268D2A" w:rsidR="007D56C3" w:rsidRDefault="007D56C3" w:rsidP="007D56C3">
      <w:pPr>
        <w:pStyle w:val="p1"/>
      </w:pPr>
      <w:r>
        <w:t>Policy inference is performed once per CL step and involves a single forward pass through a lightweight language model. The resulting latency is negligible compared to the cost of local model training and federated aggregation. Moreover, the policy does not increase the size or frequency of transmitted model updates, as only standard model parameters are communicated.</w:t>
      </w:r>
    </w:p>
    <w:p w14:paraId="14BCD77F" w14:textId="628FAE82" w:rsidR="007D56C3" w:rsidRDefault="007D56C3" w:rsidP="007D56C3">
      <w:pPr>
        <w:pStyle w:val="p1"/>
      </w:pPr>
      <w:r>
        <w:lastRenderedPageBreak/>
        <w:t>From a memory perspective, the policy model is stored locally and shared across clients. Its footprint is small relative to the vision model and does not scale with the number of CL steps or clients.</w:t>
      </w:r>
    </w:p>
    <w:p w14:paraId="2111F74F" w14:textId="0E8A168C" w:rsidR="00CC624C" w:rsidRPr="007D56C3" w:rsidRDefault="007D56C3" w:rsidP="007D56C3">
      <w:pPr>
        <w:pStyle w:val="p1"/>
      </w:pPr>
      <w:r>
        <w:t>Overall, the proposed controller introduces adaptive behavior into the FCL pipeline without compromising its scalability, efficiency, or deployability in real-world recycling systems.</w:t>
      </w:r>
    </w:p>
    <w:p w14:paraId="6BB0B3A4" w14:textId="6E5281A5" w:rsidR="00B7659E" w:rsidRDefault="00000000">
      <w:pPr>
        <w:pStyle w:val="Heading2"/>
        <w:rPr>
          <w:rFonts w:cstheme="majorHAnsi"/>
          <w:b w:val="0"/>
          <w:bCs w:val="0"/>
          <w:color w:val="000000" w:themeColor="text1"/>
        </w:rPr>
      </w:pPr>
      <w:r w:rsidRPr="001E1A45">
        <w:rPr>
          <w:rFonts w:cstheme="majorHAnsi"/>
        </w:rPr>
        <w:t>5. Experimental Setup</w:t>
      </w:r>
      <w:r w:rsidR="00CC624C" w:rsidRPr="001E1A45">
        <w:rPr>
          <w:rFonts w:cstheme="majorHAnsi"/>
        </w:rPr>
        <w:t xml:space="preserve"> </w:t>
      </w:r>
      <w:r w:rsidR="00CC624C" w:rsidRPr="001E1A45">
        <w:rPr>
          <w:rFonts w:cstheme="majorHAnsi"/>
          <w:b w:val="0"/>
          <w:bCs w:val="0"/>
          <w:color w:val="000000" w:themeColor="text1"/>
        </w:rPr>
        <w:t>(1300-1600)</w:t>
      </w:r>
    </w:p>
    <w:p w14:paraId="1DFA8389" w14:textId="679EE654" w:rsidR="000C31B3" w:rsidRPr="000C31B3" w:rsidRDefault="000C31B3" w:rsidP="000C31B3">
      <w:pPr>
        <w:pStyle w:val="p1"/>
      </w:pPr>
      <w:r>
        <w:t>This section describes the experimental configuration used to evaluate the proposed LLM-guided Federated Continual Learning framework. All experiments follow a unified protocol to ensure a fair comparison between controllers and to isolate the effect of adaptive control on continual learning behavior. Unless stated otherwise, the same experimental settings are applied across datasets, enabling a consistent analysis of model performance under different data distributions.</w:t>
      </w:r>
    </w:p>
    <w:p w14:paraId="329E70F8" w14:textId="77777777" w:rsidR="00CC624C" w:rsidRDefault="00CC624C" w:rsidP="00CC624C">
      <w:pPr>
        <w:pStyle w:val="Heading3"/>
        <w:rPr>
          <w:rFonts w:cstheme="majorHAnsi"/>
        </w:rPr>
      </w:pPr>
      <w:r w:rsidRPr="001E1A45">
        <w:rPr>
          <w:rFonts w:cstheme="majorHAnsi"/>
        </w:rPr>
        <w:t>5.1 Datasets (CIFAR-100, DWRL)</w:t>
      </w:r>
    </w:p>
    <w:p w14:paraId="4B358F57" w14:textId="35C53715" w:rsidR="000C31B3" w:rsidRDefault="000C31B3" w:rsidP="000C31B3">
      <w:pPr>
        <w:pStyle w:val="p1"/>
      </w:pPr>
      <w:r>
        <w:t>Two datasets are considered in this study: CIFAR-100 and DWRL.</w:t>
      </w:r>
    </w:p>
    <w:p w14:paraId="1527F5F5" w14:textId="758977C8" w:rsidR="000C31B3" w:rsidRDefault="000C31B3" w:rsidP="000C31B3">
      <w:pPr>
        <w:pStyle w:val="p1"/>
      </w:pPr>
      <w:r>
        <w:t>CIFAR-100 is a widely used benchmark for image classification and continual learning research. It consists of 60,000 RGB images of size 32×32, distributed across 100 fine-grained classes. The dataset is organized into 20 superclasses, each containing five related classes. Following standard practice in continual learning, CIFAR-100 enables controlled simulation of distribution shifts through sequential exposure to subsets of classes. Its balanced class structure and moderate visual complexity make it well suited for controlled evaluation of federated and continual learning behaviors.</w:t>
      </w:r>
    </w:p>
    <w:p w14:paraId="7FC23824" w14:textId="69DEEB08" w:rsidR="000C31B3" w:rsidRPr="000C31B3" w:rsidRDefault="000C31B3" w:rsidP="000C31B3">
      <w:pPr>
        <w:pStyle w:val="p1"/>
      </w:pPr>
      <w:r>
        <w:t>The DWRL dataset is a custom, industrial-scale vision dataset collected from real-world waste sorting facilities. It contains images of plastic waste particles captured under operational conditions, reflecting realistic variations in lighting, contamination, deformation, and class imbalance. DWRL represents a significantly more challenging and application-oriented scenario compared to CIFAR-100. While CIFAR-100 is used to establish controlled baseline behavior, DWRL serves as a real-world validation of the proposed approach. The use of DWRL highlights the practical relevance of adaptive control in Federated Continual Learning for recycling applications. Detailed experimental results on DWRL are reported in Section 6.</w:t>
      </w:r>
    </w:p>
    <w:p w14:paraId="0360B9A2" w14:textId="77777777" w:rsidR="00CC624C" w:rsidRDefault="00CC624C" w:rsidP="00CC624C">
      <w:pPr>
        <w:pStyle w:val="Heading3"/>
        <w:rPr>
          <w:rFonts w:cstheme="majorHAnsi"/>
        </w:rPr>
      </w:pPr>
      <w:r w:rsidRPr="001E1A45">
        <w:rPr>
          <w:rFonts w:cstheme="majorHAnsi"/>
        </w:rPr>
        <w:t>5.2 Data preprocessing, CL batches, client partitioning</w:t>
      </w:r>
    </w:p>
    <w:p w14:paraId="7A144DB2" w14:textId="77777777" w:rsidR="000C31B3" w:rsidRDefault="000C31B3" w:rsidP="000C31B3">
      <w:pPr>
        <w:pStyle w:val="p1"/>
      </w:pPr>
      <w:r>
        <w:t>For both datasets, input images are normalized using dataset-specific mean and standard deviation statistics. No data augmentation beyond basic normalization is applied, in order to focus the evaluation on learning dynamics rather than augmentation effects.</w:t>
      </w:r>
    </w:p>
    <w:p w14:paraId="77F594EE" w14:textId="77777777" w:rsidR="000C31B3" w:rsidRDefault="000C31B3" w:rsidP="000C31B3">
      <w:pPr>
        <w:pStyle w:val="p2"/>
      </w:pPr>
    </w:p>
    <w:p w14:paraId="1DA412D6" w14:textId="56852615" w:rsidR="000C31B3" w:rsidRDefault="000C31B3" w:rsidP="000C31B3">
      <w:pPr>
        <w:pStyle w:val="p1"/>
      </w:pPr>
      <w:r>
        <w:lastRenderedPageBreak/>
        <w:t>In the continual learning setting, each client receives its local data stream in a sequence of disjoint batches. Each batch represents a temporal snapshot of the local data distribution and is processed sequentially without revisiting future data. For CIFAR-100, continual learning batches are constructed by grouping classes according to predefined class splits, ensuring that each batch introduces novel categories or shifts in class composition. This setup simulates realistic distribution changes over time.</w:t>
      </w:r>
    </w:p>
    <w:p w14:paraId="77F1A3A3" w14:textId="3F9F1F6B" w:rsidR="000C31B3" w:rsidRDefault="000C31B3" w:rsidP="000C31B3">
      <w:pPr>
        <w:pStyle w:val="p1"/>
      </w:pPr>
      <w:r>
        <w:t>Clients are assigned non-IID data partitions to reflect heterogeneity across recycling facilities. Each client observes a distinct subset of classes and class frequencies, and the temporal order of batches differs across clients. This configuration mirrors real-world recycling systems, where plants process different waste streams and experience distinct temporal dynamics.</w:t>
      </w:r>
    </w:p>
    <w:p w14:paraId="64C64ECA" w14:textId="11CEA510" w:rsidR="000C31B3" w:rsidRPr="000C31B3" w:rsidRDefault="000C31B3" w:rsidP="000C31B3">
      <w:pPr>
        <w:pStyle w:val="p1"/>
      </w:pPr>
      <w:r>
        <w:t>For DWRL, continual learning batches are constructed based on acquisition time and material composition. The same batching logic is applied as for CIFAR-100, ensuring consistency in the experimental protocol while accommodating dataset-specific characteristics.</w:t>
      </w:r>
    </w:p>
    <w:p w14:paraId="30BE1FAB" w14:textId="77777777" w:rsidR="00CC624C" w:rsidRDefault="00CC624C" w:rsidP="00CC624C">
      <w:pPr>
        <w:pStyle w:val="Heading3"/>
        <w:rPr>
          <w:rFonts w:cstheme="majorHAnsi"/>
        </w:rPr>
      </w:pPr>
      <w:r w:rsidRPr="001E1A45">
        <w:rPr>
          <w:rFonts w:cstheme="majorHAnsi"/>
        </w:rPr>
        <w:t>5.3 Federated configuration (clients, rounds, non-IID, aggregation)</w:t>
      </w:r>
    </w:p>
    <w:p w14:paraId="02A2AD0E" w14:textId="42FCF14D" w:rsidR="000C31B3" w:rsidRDefault="000C31B3" w:rsidP="000C31B3">
      <w:pPr>
        <w:pStyle w:val="p1"/>
      </w:pPr>
      <w:r>
        <w:t>All experiments are conducted in a federated setting with a fixed number of clients. Each client performs local training on its current continual learning batch before participating in federated aggregation. After each local update phase, model parameters are transmitted to a central server, where aggregation is performed using Federated Averaging.</w:t>
      </w:r>
    </w:p>
    <w:p w14:paraId="69609839" w14:textId="338651CD" w:rsidR="000C31B3" w:rsidRPr="000C31B3" w:rsidRDefault="000C31B3" w:rsidP="000C31B3">
      <w:pPr>
        <w:pStyle w:val="p1"/>
      </w:pPr>
      <w:r>
        <w:t>The federated process proceeds for a fixed number of communication rounds. At each round, all clients participate in training and aggregation, ensuring synchronous updates across the federation. The global model is then redistributed to clients and used as the initialization point for the next continual learning step. This configuration remains identical across controllers, allowing direct attribution of performance differences to the learning strategy rather than to variations in the federated setup.</w:t>
      </w:r>
    </w:p>
    <w:p w14:paraId="08D1B638" w14:textId="77777777" w:rsidR="00CC624C" w:rsidRDefault="00CC624C" w:rsidP="00CC624C">
      <w:pPr>
        <w:pStyle w:val="Heading3"/>
        <w:rPr>
          <w:rFonts w:cstheme="majorHAnsi"/>
        </w:rPr>
      </w:pPr>
      <w:r w:rsidRPr="001E1A45">
        <w:rPr>
          <w:rFonts w:cstheme="majorHAnsi"/>
        </w:rPr>
        <w:t>5.4 Controllers (Baseline, V4, SFT)</w:t>
      </w:r>
    </w:p>
    <w:p w14:paraId="0FBB588F" w14:textId="1167F7E7" w:rsidR="000C31B3" w:rsidRDefault="000C31B3" w:rsidP="000C31B3">
      <w:pPr>
        <w:pStyle w:val="p1"/>
      </w:pPr>
      <w:r>
        <w:t>Three controllers are evaluated in this study.</w:t>
      </w:r>
    </w:p>
    <w:p w14:paraId="21411B00" w14:textId="77777777" w:rsidR="000C31B3" w:rsidRDefault="000C31B3" w:rsidP="000C31B3">
      <w:pPr>
        <w:pStyle w:val="p1"/>
      </w:pPr>
      <w:r>
        <w:t>The baseline controller employs a fixed continual learning configuration throughout training. All hyperparameters governing replay, regularization, and learning rate remain constant across clients and across time. This controller corresponds to the static FCL setup used in our previous work and serves as a reference point for assessing the benefits of adaptive control.</w:t>
      </w:r>
    </w:p>
    <w:p w14:paraId="2E6976FD" w14:textId="53B63DA6" w:rsidR="000C31B3" w:rsidRDefault="000C31B3" w:rsidP="000C31B3">
      <w:pPr>
        <w:pStyle w:val="p1"/>
      </w:pPr>
      <w:r>
        <w:t>The V4 controller represents a heuristic-based adaptive strategy. It adjusts continual learning hyperparameters based on manually designed rules derived from observed performance indicators. While this controller introduces adaptability, its decision logic is fixed and does not improve through experience.</w:t>
      </w:r>
    </w:p>
    <w:p w14:paraId="3637B922" w14:textId="1CE59BBC" w:rsidR="000C31B3" w:rsidRPr="000C31B3" w:rsidRDefault="000C31B3" w:rsidP="000C31B3">
      <w:pPr>
        <w:pStyle w:val="p1"/>
      </w:pPr>
      <w:r>
        <w:lastRenderedPageBreak/>
        <w:t>The proposed SFT controller replaces heuristic rules with a learned policy. It generates training actions using a supervised fine-tuned language model conditioned on the current client state. The SFT controller is trained offline using demonstrations generated by the V4 controller and is deployed during federated training without further updates.</w:t>
      </w:r>
    </w:p>
    <w:p w14:paraId="704846AD" w14:textId="77777777" w:rsidR="00CC624C" w:rsidRDefault="00CC624C" w:rsidP="00CC624C">
      <w:pPr>
        <w:pStyle w:val="Heading3"/>
        <w:rPr>
          <w:rFonts w:cstheme="majorHAnsi"/>
        </w:rPr>
      </w:pPr>
      <w:r w:rsidRPr="001E1A45">
        <w:rPr>
          <w:rFonts w:cstheme="majorHAnsi"/>
        </w:rPr>
        <w:t>5.5 Training details (epochs, batch size, early stopping, optimizer)</w:t>
      </w:r>
    </w:p>
    <w:p w14:paraId="60321826" w14:textId="13C6A02A" w:rsidR="004C30EA" w:rsidRDefault="004C30EA" w:rsidP="004C30EA">
      <w:pPr>
        <w:pStyle w:val="p1"/>
      </w:pPr>
      <w:r>
        <w:t>Local training is performed for a fixed number of epochs per continual learning batch. Models are optimized using stochastic gradient descent with momentum, unless otherwise specified. Early stopping is applied based on validation performance to prevent overfitting and to stabilize training in the presence of non-IID data.</w:t>
      </w:r>
    </w:p>
    <w:p w14:paraId="5D32A2BA" w14:textId="0B9FFD57" w:rsidR="004C30EA" w:rsidRPr="004C30EA" w:rsidRDefault="004C30EA" w:rsidP="004C30EA">
      <w:pPr>
        <w:pStyle w:val="p1"/>
      </w:pPr>
      <w:r>
        <w:t>Batch size, learning rate, and optimizer settings are kept identical across controllers to ensure a fair comparison. The only difference between methods lies in how training hyperparameters are modulated over time by the controller. All experiments are conducted using identical network architectures and initialization schemes.</w:t>
      </w:r>
    </w:p>
    <w:p w14:paraId="1FCC4DDD" w14:textId="77777777" w:rsidR="00CC624C" w:rsidRPr="001E1A45" w:rsidRDefault="00CC624C" w:rsidP="00CC624C">
      <w:pPr>
        <w:pStyle w:val="Heading3"/>
        <w:rPr>
          <w:rFonts w:cstheme="majorHAnsi"/>
        </w:rPr>
      </w:pPr>
      <w:r w:rsidRPr="001E1A45">
        <w:rPr>
          <w:rFonts w:cstheme="majorHAnsi"/>
        </w:rPr>
        <w:t>5.6 Metrics and evaluation protocol</w:t>
      </w:r>
    </w:p>
    <w:p w14:paraId="2E645599" w14:textId="5E093978" w:rsidR="004C30EA" w:rsidRDefault="004C30EA" w:rsidP="004C30EA">
      <w:pPr>
        <w:pStyle w:val="p1"/>
      </w:pPr>
      <w:r>
        <w:t>Model performance is evaluated using global classification accuracy, measured after each federated round on a held-out test set. In addition to accuracy, forgetting metrics are computed to quantify the degradation of performance on previously learned data. Both mean and maximum forgetting are reported.</w:t>
      </w:r>
    </w:p>
    <w:p w14:paraId="3050B2DE" w14:textId="22EEA87B" w:rsidR="004C30EA" w:rsidRDefault="004C30EA" w:rsidP="004C30EA">
      <w:pPr>
        <w:pStyle w:val="p1"/>
      </w:pPr>
      <w:r>
        <w:t>To assess learning stability over time, the Area Under the Learning Curve (AULC) is computed as a cumulative measure of accuracy across federated rounds. Communication cost is measured in terms of transmitted model parameters per round and cumulative communication volume.</w:t>
      </w:r>
    </w:p>
    <w:p w14:paraId="4C2780B3" w14:textId="38C24223" w:rsidR="00CC624C" w:rsidRPr="004C30EA" w:rsidRDefault="004C30EA" w:rsidP="004C30EA">
      <w:pPr>
        <w:pStyle w:val="p1"/>
      </w:pPr>
      <w:r>
        <w:t>All reported results are averaged over multiple random seeds. Mean values and standard deviations are reported to account for stochasticity in data partitioning and optimization.</w:t>
      </w:r>
    </w:p>
    <w:p w14:paraId="1A8C7C26" w14:textId="7080F795" w:rsidR="00B7659E" w:rsidRPr="001E1A45" w:rsidRDefault="00000000">
      <w:pPr>
        <w:pStyle w:val="Heading2"/>
        <w:rPr>
          <w:rFonts w:cstheme="majorHAnsi"/>
        </w:rPr>
      </w:pPr>
      <w:r w:rsidRPr="001E1A45">
        <w:rPr>
          <w:rFonts w:cstheme="majorHAnsi"/>
        </w:rPr>
        <w:t>6. Results and Discussion</w:t>
      </w:r>
      <w:r w:rsidR="00CC624C" w:rsidRPr="001E1A45">
        <w:rPr>
          <w:rFonts w:cstheme="majorHAnsi"/>
        </w:rPr>
        <w:t xml:space="preserve"> </w:t>
      </w:r>
      <w:r w:rsidR="00CC624C" w:rsidRPr="001E1A45">
        <w:rPr>
          <w:rFonts w:cstheme="majorHAnsi"/>
          <w:b w:val="0"/>
          <w:bCs w:val="0"/>
          <w:color w:val="000000" w:themeColor="text1"/>
        </w:rPr>
        <w:t>(1400-1800)</w:t>
      </w:r>
    </w:p>
    <w:p w14:paraId="1FF5D961" w14:textId="77777777" w:rsidR="00CC624C" w:rsidRDefault="00CC624C" w:rsidP="00CC624C">
      <w:pPr>
        <w:pStyle w:val="Heading3"/>
        <w:rPr>
          <w:rFonts w:cstheme="majorHAnsi"/>
        </w:rPr>
      </w:pPr>
      <w:r w:rsidRPr="001E1A45">
        <w:rPr>
          <w:rFonts w:cstheme="majorHAnsi"/>
        </w:rPr>
        <w:t>6.1 CIFAR-100: accuracy, forgetting, AULC, comm-cost</w:t>
      </w:r>
    </w:p>
    <w:p w14:paraId="5F6C532D" w14:textId="77777777" w:rsidR="003F1E9B" w:rsidRDefault="003F1E9B" w:rsidP="003F1E9B">
      <w:pPr>
        <w:pStyle w:val="p1"/>
      </w:pPr>
      <w:r>
        <w:t>The CIFAR-100 experiments provide a controlled benchmark to analyze the behavior of the proposed LLM-guided Federated Continual Learning framework under non-IID and temporally evolving data streams. The comparison focuses on three learning strategies: a fixed continual learning configuration used as a baseline, a heuristic controller (V4) derived from prior work, and the proposed supervised-fine-tuned (SFT) policy. All results are aggregated over multiple random seeds to ensure robustness and to mitigate the effect of stochastic training dynamics.</w:t>
      </w:r>
    </w:p>
    <w:p w14:paraId="1FAB116C" w14:textId="32C2CCB8" w:rsidR="003F1E9B" w:rsidRDefault="003F1E9B" w:rsidP="003F1E9B">
      <w:pPr>
        <w:pStyle w:val="p1"/>
      </w:pPr>
      <w:r>
        <w:t xml:space="preserve">Across all evaluation metrics, the baseline approach exhibits the most unstable learning behavior. While it is able to achieve moderate classification accuracy in early rounds, its </w:t>
      </w:r>
      <w:r>
        <w:lastRenderedPageBreak/>
        <w:t>performance fluctuates noticeably as new continual learning batches are introduced. This behavior reflects the limitations already identified in our previous work, where static hyperparameter choices lead either to excessive plasticity or to overly conservative updates. As a result, the baseline model struggles to balance adaptation to new data with retention of previously learned knowledge.</w:t>
      </w:r>
    </w:p>
    <w:p w14:paraId="191D679D" w14:textId="763485D5" w:rsidR="003F1E9B" w:rsidRDefault="003F1E9B" w:rsidP="003F1E9B">
      <w:pPr>
        <w:pStyle w:val="p1"/>
      </w:pPr>
      <w:r>
        <w:t>The heuristic V4 controller improves upon this behavior by dynamically adjusting the continual learning strategy based on predefined rules. Compared to the baseline, V4 achieves higher average accuracy and demonstrates improved resistance to catastrophic forgetting. The learning curves are smoother, and performance degradation between rounds is reduced. However, the effectiveness of the heuristic controller remains sensitive to the specific design of its rules and thresholds. In particular, its ability to generalize across clients and across different stages of the continual learning process is limited by the handcrafted nature of the policy.</w:t>
      </w:r>
    </w:p>
    <w:p w14:paraId="2272FCD0" w14:textId="57FF3829" w:rsidR="003F1E9B" w:rsidRDefault="003F1E9B" w:rsidP="003F1E9B">
      <w:pPr>
        <w:pStyle w:val="p1"/>
      </w:pPr>
      <w:r>
        <w:t>The proposed SFT-based controller consistently demonstrates the most stable learning behavior. While its peak accuracy is comparable to that of the heuristic controller, its primary advantage lies in the reduction of forgetting and in the smooth progression of performance over federated rounds. The SFT policy adapts its training actions in response to the observed client state, resulting in gradual and sustained improvement rather than abrupt performance shifts. This behavior is reflected in higher values of the accumulated area under the learning curve, indicating more efficient and stable learning across time.</w:t>
      </w:r>
    </w:p>
    <w:p w14:paraId="71AFBD43" w14:textId="751A596E" w:rsidR="003F1E9B" w:rsidRDefault="003F1E9B" w:rsidP="003F1E9B">
      <w:pPr>
        <w:pStyle w:val="p1"/>
      </w:pPr>
      <w:r>
        <w:t>An important observation is that the gains achieved by the SFT controller do not come at the cost of increased communication overhead. Since the federated aggregation protocol and model architecture remain unchanged across all methods, the communication cost per round is comparable for the baseline, heuristic, and SFT approaches. The cumulative communication cost therefore scales similarly with the number of rounds, confirming that the proposed controller improves learning dynamics without introducing additional communication burden.</w:t>
      </w:r>
    </w:p>
    <w:p w14:paraId="48145E3E" w14:textId="6F30809C" w:rsidR="003F1E9B" w:rsidRPr="003F1E9B" w:rsidRDefault="003F1E9B" w:rsidP="003F1E9B">
      <w:pPr>
        <w:pStyle w:val="p1"/>
      </w:pPr>
      <w:r>
        <w:t>Taken together, the CIFAR-100 results highlight the limitations of static continual learning configurations and demonstrate the benefits of policy-driven adaptation within an FCL framework. The heuristic controller partially addresses instability issues through rule-based adjustments, while the SFT controller further improves robustness by learning adaptive behavior directly from experience. These findings suggest that data-driven control policies offer a promising direction for stabilizing federated continual learning systems, particularly in scenarios characterized by non-IID data and evolving distributions.</w:t>
      </w:r>
    </w:p>
    <w:p w14:paraId="35A11DDA" w14:textId="77777777" w:rsidR="00CC624C" w:rsidRPr="001E1A45" w:rsidRDefault="00CC624C" w:rsidP="00CC624C">
      <w:pPr>
        <w:pStyle w:val="Heading3"/>
        <w:rPr>
          <w:rFonts w:cstheme="majorHAnsi"/>
        </w:rPr>
      </w:pPr>
      <w:r w:rsidRPr="001E1A45">
        <w:rPr>
          <w:rFonts w:cstheme="majorHAnsi"/>
        </w:rPr>
        <w:t>6.2 DWRL: same metrics, focus on application relevance</w:t>
      </w:r>
    </w:p>
    <w:p w14:paraId="01031635" w14:textId="77777777" w:rsidR="00CC624C" w:rsidRPr="001E1A45" w:rsidRDefault="00CC624C" w:rsidP="00CC624C">
      <w:pPr>
        <w:pStyle w:val="Heading3"/>
        <w:rPr>
          <w:rFonts w:cstheme="majorHAnsi"/>
        </w:rPr>
      </w:pPr>
      <w:r w:rsidRPr="001E1A45">
        <w:rPr>
          <w:rFonts w:cstheme="majorHAnsi"/>
        </w:rPr>
        <w:t>6.3 Ablation / analysis (if we add any)</w:t>
      </w:r>
    </w:p>
    <w:p w14:paraId="6E7792D8" w14:textId="77777777" w:rsidR="00CC624C" w:rsidRPr="001E1A45" w:rsidRDefault="00CC624C" w:rsidP="00CC624C">
      <w:pPr>
        <w:pStyle w:val="Heading3"/>
        <w:rPr>
          <w:rFonts w:cstheme="majorHAnsi"/>
        </w:rPr>
      </w:pPr>
      <w:r w:rsidRPr="001E1A45">
        <w:rPr>
          <w:rFonts w:cstheme="majorHAnsi"/>
        </w:rPr>
        <w:t>6.4 Discussion: strengths, limitations, threats to validity</w:t>
      </w:r>
    </w:p>
    <w:p w14:paraId="66DC7127" w14:textId="77777777" w:rsidR="00CC624C" w:rsidRPr="001E1A45" w:rsidRDefault="00CC624C" w:rsidP="00CC624C">
      <w:pPr>
        <w:rPr>
          <w:rFonts w:asciiTheme="majorHAnsi" w:hAnsiTheme="majorHAnsi" w:cstheme="majorHAnsi"/>
        </w:rPr>
      </w:pPr>
    </w:p>
    <w:p w14:paraId="0C1E1ADD" w14:textId="77777777" w:rsidR="00CC624C" w:rsidRPr="001E1A45" w:rsidRDefault="00CC624C" w:rsidP="00CC624C">
      <w:pPr>
        <w:rPr>
          <w:rFonts w:asciiTheme="majorHAnsi" w:hAnsiTheme="majorHAnsi" w:cstheme="majorHAnsi"/>
        </w:rPr>
      </w:pPr>
    </w:p>
    <w:p w14:paraId="3F5E6BAC" w14:textId="3B01AA4B" w:rsidR="00B7659E" w:rsidRPr="001E1A45" w:rsidRDefault="00000000">
      <w:pPr>
        <w:pStyle w:val="Heading2"/>
        <w:rPr>
          <w:rFonts w:cstheme="majorHAnsi"/>
        </w:rPr>
      </w:pPr>
      <w:r w:rsidRPr="001E1A45">
        <w:rPr>
          <w:rFonts w:cstheme="majorHAnsi"/>
        </w:rPr>
        <w:t>7. Conclusion</w:t>
      </w:r>
      <w:r w:rsidR="00CC624C" w:rsidRPr="001E1A45">
        <w:rPr>
          <w:rFonts w:cstheme="majorHAnsi"/>
        </w:rPr>
        <w:t xml:space="preserve"> </w:t>
      </w:r>
      <w:r w:rsidR="00CC624C" w:rsidRPr="001E1A45">
        <w:rPr>
          <w:rFonts w:cstheme="majorHAnsi"/>
          <w:b w:val="0"/>
          <w:bCs w:val="0"/>
          <w:color w:val="000000" w:themeColor="text1"/>
        </w:rPr>
        <w:t>(400-600)</w:t>
      </w:r>
    </w:p>
    <w:p w14:paraId="5924FDE8" w14:textId="77777777" w:rsidR="00CC624C" w:rsidRPr="001E1A45" w:rsidRDefault="00CC624C" w:rsidP="00CC624C">
      <w:pPr>
        <w:spacing w:beforeAutospacing="1" w:after="0" w:afterAutospacing="1" w:line="240" w:lineRule="auto"/>
        <w:rPr>
          <w:rFonts w:asciiTheme="majorHAnsi" w:eastAsia="Times New Roman" w:hAnsiTheme="majorHAnsi" w:cstheme="majorHAnsi"/>
          <w:sz w:val="24"/>
          <w:szCs w:val="24"/>
          <w:lang w:val="en-IT" w:eastAsia="en-GB"/>
        </w:rPr>
      </w:pPr>
      <w:r w:rsidRPr="001E1A45">
        <w:rPr>
          <w:rFonts w:asciiTheme="majorHAnsi" w:eastAsia="Times New Roman" w:hAnsiTheme="majorHAnsi" w:cstheme="majorHAnsi"/>
          <w:sz w:val="24"/>
          <w:szCs w:val="24"/>
          <w:lang w:val="en-IT" w:eastAsia="en-GB"/>
        </w:rPr>
        <w:t>Short recap, key findings</w:t>
      </w:r>
    </w:p>
    <w:p w14:paraId="7B2D9A86" w14:textId="77777777" w:rsidR="00CC624C" w:rsidRPr="001E1A45" w:rsidRDefault="00CC624C" w:rsidP="00CC624C">
      <w:pPr>
        <w:spacing w:before="100" w:beforeAutospacing="1" w:after="100" w:afterAutospacing="1" w:line="240" w:lineRule="auto"/>
        <w:rPr>
          <w:rFonts w:asciiTheme="majorHAnsi" w:eastAsia="Times New Roman" w:hAnsiTheme="majorHAnsi" w:cstheme="majorHAnsi"/>
          <w:sz w:val="24"/>
          <w:szCs w:val="24"/>
          <w:lang w:val="en-IT" w:eastAsia="en-GB"/>
        </w:rPr>
      </w:pPr>
      <w:r w:rsidRPr="001E1A45">
        <w:rPr>
          <w:rFonts w:asciiTheme="majorHAnsi" w:eastAsia="Times New Roman" w:hAnsiTheme="majorHAnsi" w:cstheme="majorHAnsi"/>
          <w:sz w:val="24"/>
          <w:szCs w:val="24"/>
          <w:lang w:val="en-IT" w:eastAsia="en-GB"/>
        </w:rPr>
        <w:t>DWRL deployment implications</w:t>
      </w:r>
    </w:p>
    <w:p w14:paraId="1F8E0071" w14:textId="77777777" w:rsidR="00CC624C" w:rsidRPr="001E1A45" w:rsidRDefault="00CC624C" w:rsidP="00CC624C">
      <w:pPr>
        <w:spacing w:before="100" w:beforeAutospacing="1" w:after="100" w:afterAutospacing="1" w:line="240" w:lineRule="auto"/>
        <w:rPr>
          <w:rFonts w:asciiTheme="majorHAnsi" w:eastAsia="Times New Roman" w:hAnsiTheme="majorHAnsi" w:cstheme="majorHAnsi"/>
          <w:sz w:val="24"/>
          <w:szCs w:val="24"/>
          <w:lang w:val="en-IT" w:eastAsia="en-GB"/>
        </w:rPr>
      </w:pPr>
      <w:r w:rsidRPr="001E1A45">
        <w:rPr>
          <w:rFonts w:asciiTheme="majorHAnsi" w:eastAsia="Times New Roman" w:hAnsiTheme="majorHAnsi" w:cstheme="majorHAnsi"/>
          <w:sz w:val="24"/>
          <w:szCs w:val="24"/>
          <w:lang w:val="en-IT" w:eastAsia="en-GB"/>
        </w:rPr>
        <w:t>Future work (other datasets, agents, real plant integration)</w:t>
      </w:r>
    </w:p>
    <w:p w14:paraId="0107CD8D" w14:textId="77777777" w:rsidR="00B7659E" w:rsidRPr="001E1A45" w:rsidRDefault="00000000">
      <w:pPr>
        <w:pStyle w:val="Heading2"/>
        <w:rPr>
          <w:rFonts w:cstheme="majorHAnsi"/>
        </w:rPr>
      </w:pPr>
      <w:r w:rsidRPr="001E1A45">
        <w:rPr>
          <w:rFonts w:cstheme="majorHAnsi"/>
        </w:rPr>
        <w:t>Acknowledgements</w:t>
      </w:r>
    </w:p>
    <w:p w14:paraId="2365405D" w14:textId="77777777" w:rsidR="00B7659E" w:rsidRPr="001E1A45" w:rsidRDefault="00000000">
      <w:pPr>
        <w:rPr>
          <w:rFonts w:asciiTheme="majorHAnsi" w:hAnsiTheme="majorHAnsi" w:cstheme="majorHAnsi"/>
        </w:rPr>
      </w:pPr>
      <w:r w:rsidRPr="001E1A45">
        <w:rPr>
          <w:rFonts w:asciiTheme="majorHAnsi" w:hAnsiTheme="majorHAnsi" w:cstheme="majorHAnsi"/>
        </w:rPr>
        <w:t>&lt;&lt; Write here &gt;&gt;</w:t>
      </w:r>
      <w:r w:rsidRPr="001E1A45">
        <w:rPr>
          <w:rFonts w:asciiTheme="majorHAnsi" w:hAnsiTheme="majorHAnsi" w:cstheme="majorHAnsi"/>
        </w:rPr>
        <w:br/>
      </w:r>
    </w:p>
    <w:p w14:paraId="7E62F4B8" w14:textId="77777777" w:rsidR="00B7659E" w:rsidRPr="001E1A45" w:rsidRDefault="00000000">
      <w:pPr>
        <w:pStyle w:val="Heading2"/>
        <w:rPr>
          <w:rFonts w:cstheme="majorHAnsi"/>
        </w:rPr>
      </w:pPr>
      <w:r w:rsidRPr="001E1A45">
        <w:rPr>
          <w:rFonts w:cstheme="majorHAnsi"/>
        </w:rPr>
        <w:t>References</w:t>
      </w:r>
    </w:p>
    <w:p w14:paraId="35532062" w14:textId="77777777" w:rsidR="00B7659E" w:rsidRPr="001E1A45" w:rsidRDefault="00000000">
      <w:pPr>
        <w:rPr>
          <w:rFonts w:asciiTheme="majorHAnsi" w:hAnsiTheme="majorHAnsi" w:cstheme="majorHAnsi"/>
        </w:rPr>
      </w:pPr>
      <w:r w:rsidRPr="001E1A45">
        <w:rPr>
          <w:rFonts w:asciiTheme="majorHAnsi" w:hAnsiTheme="majorHAnsi" w:cstheme="majorHAnsi"/>
        </w:rPr>
        <w:t>&lt;&lt; Write here &gt;&gt;</w:t>
      </w:r>
      <w:r w:rsidRPr="001E1A45">
        <w:rPr>
          <w:rFonts w:asciiTheme="majorHAnsi" w:hAnsiTheme="majorHAnsi" w:cstheme="majorHAnsi"/>
        </w:rPr>
        <w:br/>
      </w:r>
    </w:p>
    <w:sectPr w:rsidR="00B7659E" w:rsidRPr="001E1A4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113A61"/>
    <w:multiLevelType w:val="multilevel"/>
    <w:tmpl w:val="BE960A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6661CB1"/>
    <w:multiLevelType w:val="multilevel"/>
    <w:tmpl w:val="E402C50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D06516"/>
    <w:multiLevelType w:val="multilevel"/>
    <w:tmpl w:val="AA0AD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8A1367D"/>
    <w:multiLevelType w:val="multilevel"/>
    <w:tmpl w:val="2B105D2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C96495"/>
    <w:multiLevelType w:val="multilevel"/>
    <w:tmpl w:val="EF50695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3C7422"/>
    <w:multiLevelType w:val="multilevel"/>
    <w:tmpl w:val="3E16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6D3B04"/>
    <w:multiLevelType w:val="multilevel"/>
    <w:tmpl w:val="B1128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406FEB"/>
    <w:multiLevelType w:val="multilevel"/>
    <w:tmpl w:val="BD283B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481046"/>
    <w:multiLevelType w:val="multilevel"/>
    <w:tmpl w:val="191EF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0D7917"/>
    <w:multiLevelType w:val="multilevel"/>
    <w:tmpl w:val="4FACE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6D03A1"/>
    <w:multiLevelType w:val="multilevel"/>
    <w:tmpl w:val="DF1CBE1E"/>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8EE6BB0"/>
    <w:multiLevelType w:val="multilevel"/>
    <w:tmpl w:val="056C695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AF60245"/>
    <w:multiLevelType w:val="multilevel"/>
    <w:tmpl w:val="A210C6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9483627">
    <w:abstractNumId w:val="8"/>
  </w:num>
  <w:num w:numId="2" w16cid:durableId="637492793">
    <w:abstractNumId w:val="6"/>
  </w:num>
  <w:num w:numId="3" w16cid:durableId="579215695">
    <w:abstractNumId w:val="5"/>
  </w:num>
  <w:num w:numId="4" w16cid:durableId="1148864794">
    <w:abstractNumId w:val="4"/>
  </w:num>
  <w:num w:numId="5" w16cid:durableId="843276978">
    <w:abstractNumId w:val="7"/>
  </w:num>
  <w:num w:numId="6" w16cid:durableId="2119522808">
    <w:abstractNumId w:val="3"/>
  </w:num>
  <w:num w:numId="7" w16cid:durableId="614482995">
    <w:abstractNumId w:val="2"/>
  </w:num>
  <w:num w:numId="8" w16cid:durableId="1263606106">
    <w:abstractNumId w:val="1"/>
  </w:num>
  <w:num w:numId="9" w16cid:durableId="443691311">
    <w:abstractNumId w:val="0"/>
  </w:num>
  <w:num w:numId="10" w16cid:durableId="1800302454">
    <w:abstractNumId w:val="17"/>
  </w:num>
  <w:num w:numId="11" w16cid:durableId="1982539125">
    <w:abstractNumId w:val="18"/>
  </w:num>
  <w:num w:numId="12" w16cid:durableId="710112189">
    <w:abstractNumId w:val="21"/>
  </w:num>
  <w:num w:numId="13" w16cid:durableId="1479111178">
    <w:abstractNumId w:val="13"/>
  </w:num>
  <w:num w:numId="14" w16cid:durableId="90274947">
    <w:abstractNumId w:val="16"/>
  </w:num>
  <w:num w:numId="15" w16cid:durableId="529418545">
    <w:abstractNumId w:val="9"/>
  </w:num>
  <w:num w:numId="16" w16cid:durableId="288440582">
    <w:abstractNumId w:val="12"/>
  </w:num>
  <w:num w:numId="17" w16cid:durableId="1731806743">
    <w:abstractNumId w:val="10"/>
  </w:num>
  <w:num w:numId="18" w16cid:durableId="2087335267">
    <w:abstractNumId w:val="19"/>
  </w:num>
  <w:num w:numId="19" w16cid:durableId="283314775">
    <w:abstractNumId w:val="20"/>
  </w:num>
  <w:num w:numId="20" w16cid:durableId="325860861">
    <w:abstractNumId w:val="11"/>
  </w:num>
  <w:num w:numId="21" w16cid:durableId="1363674607">
    <w:abstractNumId w:val="14"/>
  </w:num>
  <w:num w:numId="22" w16cid:durableId="14433816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B56"/>
    <w:rsid w:val="000C31B3"/>
    <w:rsid w:val="0015074B"/>
    <w:rsid w:val="001673FF"/>
    <w:rsid w:val="001B0E7C"/>
    <w:rsid w:val="001E1A45"/>
    <w:rsid w:val="0029639D"/>
    <w:rsid w:val="00326F90"/>
    <w:rsid w:val="003F1E9B"/>
    <w:rsid w:val="004C30EA"/>
    <w:rsid w:val="00634129"/>
    <w:rsid w:val="007D56C3"/>
    <w:rsid w:val="009F6928"/>
    <w:rsid w:val="00AA1D8D"/>
    <w:rsid w:val="00B47730"/>
    <w:rsid w:val="00B7659E"/>
    <w:rsid w:val="00CB0664"/>
    <w:rsid w:val="00CC624C"/>
    <w:rsid w:val="00D06E99"/>
    <w:rsid w:val="00D71F23"/>
    <w:rsid w:val="00DC447F"/>
    <w:rsid w:val="00E819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356E46"/>
  <w14:defaultImageDpi w14:val="300"/>
  <w15:docId w15:val="{7D96951F-9747-B840-AB17-297A07928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1B0E7C"/>
    <w:pPr>
      <w:spacing w:before="100" w:beforeAutospacing="1" w:after="100" w:afterAutospacing="1" w:line="240" w:lineRule="auto"/>
    </w:pPr>
    <w:rPr>
      <w:rFonts w:ascii="Times New Roman" w:eastAsia="Times New Roman" w:hAnsi="Times New Roman" w:cs="Times New Roman"/>
      <w:sz w:val="24"/>
      <w:szCs w:val="24"/>
      <w:lang w:val="en-IT" w:eastAsia="en-GB"/>
    </w:rPr>
  </w:style>
  <w:style w:type="paragraph" w:customStyle="1" w:styleId="p2">
    <w:name w:val="p2"/>
    <w:basedOn w:val="Normal"/>
    <w:rsid w:val="001E1A45"/>
    <w:pPr>
      <w:spacing w:before="100" w:beforeAutospacing="1" w:after="100" w:afterAutospacing="1" w:line="240" w:lineRule="auto"/>
    </w:pPr>
    <w:rPr>
      <w:rFonts w:ascii="Times New Roman" w:eastAsia="Times New Roman" w:hAnsi="Times New Roman" w:cs="Times New Roman"/>
      <w:sz w:val="24"/>
      <w:szCs w:val="24"/>
      <w:lang w:val="en-IT" w:eastAsia="en-GB"/>
    </w:rPr>
  </w:style>
  <w:style w:type="character" w:customStyle="1" w:styleId="s1">
    <w:name w:val="s1"/>
    <w:basedOn w:val="DefaultParagraphFont"/>
    <w:rsid w:val="001E1A45"/>
  </w:style>
  <w:style w:type="character" w:customStyle="1" w:styleId="apple-converted-space">
    <w:name w:val="apple-converted-space"/>
    <w:basedOn w:val="DefaultParagraphFont"/>
    <w:rsid w:val="00D06E99"/>
  </w:style>
  <w:style w:type="character" w:customStyle="1" w:styleId="s2">
    <w:name w:val="s2"/>
    <w:basedOn w:val="DefaultParagraphFont"/>
    <w:rsid w:val="00D06E99"/>
  </w:style>
  <w:style w:type="paragraph" w:customStyle="1" w:styleId="p3">
    <w:name w:val="p3"/>
    <w:basedOn w:val="Normal"/>
    <w:rsid w:val="00D06E99"/>
    <w:pPr>
      <w:spacing w:before="100" w:beforeAutospacing="1" w:after="100" w:afterAutospacing="1" w:line="240" w:lineRule="auto"/>
    </w:pPr>
    <w:rPr>
      <w:rFonts w:ascii="Times New Roman" w:eastAsia="Times New Roman" w:hAnsi="Times New Roman" w:cs="Times New Roman"/>
      <w:sz w:val="24"/>
      <w:szCs w:val="24"/>
      <w:lang w:val="en-IT" w:eastAsia="en-GB"/>
    </w:rPr>
  </w:style>
  <w:style w:type="character" w:customStyle="1" w:styleId="s3">
    <w:name w:val="s3"/>
    <w:basedOn w:val="DefaultParagraphFont"/>
    <w:rsid w:val="00D06E99"/>
  </w:style>
  <w:style w:type="character" w:styleId="PlaceholderText">
    <w:name w:val="Placeholder Text"/>
    <w:basedOn w:val="DefaultParagraphFont"/>
    <w:uiPriority w:val="99"/>
    <w:semiHidden/>
    <w:rsid w:val="00D06E9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12</Pages>
  <Words>4126</Words>
  <Characters>23524</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Somayeh Shami - somayeh.shami@studio.unibo.it</cp:lastModifiedBy>
  <cp:revision>3</cp:revision>
  <dcterms:created xsi:type="dcterms:W3CDTF">2013-12-23T23:15:00Z</dcterms:created>
  <dcterms:modified xsi:type="dcterms:W3CDTF">2025-12-15T21:43:00Z</dcterms:modified>
  <cp:category/>
</cp:coreProperties>
</file>