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NICELY B2--&gt;77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NICELY 107--&gt;77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NICELY 108--&gt;77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NICELY 105--&gt;77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CHEM 309--&gt;73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IOEC 224A--&gt;59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IOEC 224C--&gt;59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IOEC 224B--&gt;59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VANDYK 103--&gt;21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BLISS--&gt;7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VANDYK 101--&gt;21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CHEM 307--&gt;73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OSB 207--&gt;566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OSB 206--&gt;566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ADAD 209--&gt;13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PHYS 329--&gt;62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PHYS 208--&gt;62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PHYS 327--&gt;62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PHYS 206--&gt;62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ADAD 212--&gt;13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FISK 102A--&gt;8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PHYS 204--&gt;62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PHYS 202--&gt;62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NICELY 401--&gt;77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AGRIC 102--&gt;58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NICELY 408--&gt;77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NICELY 409--&gt;77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AGRIC 209--&gt;58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NICELY 406--&gt;77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IOEC 217--&gt;59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AGRIC 329--&gt;58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CHEM 211--&gt;73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NICELY 402--&gt;77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PHYS 219--&gt;62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BLISS 105--&gt;7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PHYS 217--&gt;62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AGRIC 210--&gt;58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PHYS 215--&gt;62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NICELY 411--&gt;77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NICELY 412--&gt;77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VANDYK 201--&gt;21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CHEM 201--&gt;73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VANDYK AUDT--&gt;21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PHYS 211--&gt;62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NICELY 410--&gt;77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FISK 313--&gt;8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PHYS 333--&gt;62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CHEM 207--&gt;73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PHYS 331--&gt;62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CHEM 205--&gt;73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BECHTA 203--&gt;57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BECHTA 204--&gt;57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NICELY 417--&gt;77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BECHTA 202--&gt;57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NICELY 415--&gt;77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NICELY 416--&gt;77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BECHTA 208--&gt;57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BECHTA 205--&gt;57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NICELY 414--&gt;77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WEST BATHISH--&gt;10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COLL 454--&gt;14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AGRIC 203--&gt;58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CHEM 314--&gt;73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BECHTA 209--&gt;57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VANDYK 332--&gt;21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AGRIC 201--&gt;58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BIOL 306--&gt;78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FISK 209--&gt;8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AGRIC 205--&gt;58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FISK 208--&gt;8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AGRIC 325--&gt;58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 207--&gt;18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BECHTA 212--&gt;57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CHEM 111--&gt;73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CHSC AUDITORIUM--&gt;535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OSB 238--&gt;566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OSB 236--&gt;566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BECHTA 211--&gt;57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 203--&gt;18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OSB 233--&gt;566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BLISS 205--&gt;7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BIOL SLH--&gt;78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OSB 230--&gt;566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BLISS 203--&gt;7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NICELY--&gt;77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BIOL 110--&gt;78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FISK 204A--&gt;8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CHEM 105--&gt;73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FISK 337--&gt;8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AGRIC 310--&gt;58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CHEM 107--&gt;73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FISK 339--&gt;8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NICELY 318--&gt;77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NICELY 316--&gt;77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CHEM 101--&gt;73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BECHTA 109--&gt;57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FISK 102--&gt;8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IOEC 225--&gt;59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BECHTA 107--&gt;57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ARCH 204--&gt;17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OSB 241--&gt;566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AGRIC--&gt;58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BIOL 002--&gt;78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NICELY 202--&gt;77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NICELY 323--&gt;77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NICELY 324--&gt;77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BIOL 004--&gt;78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NICELY 321--&gt;77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ISSAM LOBBY--&gt;50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FISK 104--&gt;8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NICELY 322--&gt;77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NICELY 320--&gt;77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NICELY 209--&gt;77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NICELY 206--&gt;77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NICELY 327--&gt;77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JESUP B2--&gt;9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NICELY 207--&gt;77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NICELY 325--&gt;77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ISSAM 102--&gt;50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HSON AUDITORIUM--&gt;591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OSB 216--&gt;566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JESUP 107--&gt;9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BECHTA 111--&gt;57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OSB 334--&gt;566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OSB 333--&gt;566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BECHTA 110--&gt;57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OSB 211--&gt;566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NICELY 213--&gt;77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NICELY 214--&gt;77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NICELY 211--&gt;77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NICELY 212--&gt;77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HSON 104--&gt;591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NICELY 210--&gt;77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HSON 103--&gt;591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BECHTA--&gt;57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HSON 102--&gt;591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CHEM 001--&gt;73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OSB 227--&gt;566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 210--&gt;18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OSB 226--&gt;566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COLL 406--&gt;14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OSB 340--&gt;566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AGRIC PILOT PLAN--&gt;58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NICELY 103--&gt;77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PHYS 302--&gt;62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NICELY 101--&gt;77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NICELY 102--&gt;77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BIOL 108--&gt;78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IOEC 518--&gt;59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