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Bliss  | 1541 | 4.39 | -4528.89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Fisk | 1632.33 | 4.39 | -4411.09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Jesup | 1641.08 | 4.39 | -4182.54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Nicely | 1567.8 | 4.39 | -4218.67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Ada Dodge | 1603 | 4.39 | -3727.6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College Hall | 1647.18 | 5.13 | -3502.41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Gate | 1738.62 | 5.13 | -3522.72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Assembly Hall | 1763 | 5.13 | -3369.2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 | 1864.8 | 6.429 | -2975.7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 | 1985.87 | 6.429 | -2740.83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Old Pharmacy | 2038.8 | 4.32 | -2720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Van Dyck | 1870.61 | -25.777 | -2698.76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Medical Gate | 2080.5 | 4.401 | -2678.4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Jafet | 1530.1 | 4.401 | -3414.3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West Hall | 1621.81 | 4.401 | -4042.94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Marquand House | 1393.5 | 4.401 | -3907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IFI | 1395.83 | 3.59 | -4396.63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Chemistry | 940.93 | -140.548 | -4329.1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FAFS Trio | 814.2 | -140.548 | -4300.5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Nestle | 873.7 | -140.548 | -4313.8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CHSC | 826.1 | -129.018 | -3972.8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OSB | 814.1 | -163.7 | -3427.2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Bechtel | 1180.1 | -106.586 | -3323.6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Oxy | 1130.4 | -148.85 | -3147.2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Architecture | 1354.45 | -131.62 | -3043.37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Facilities | 1251 | -165.54 | -2886.61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SRB | 1623.9 | -99.7 | -2977.5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Girls Dorms | 1452.6 | -155.505 | -2488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Penrose | 1661.5 | 3.906 | -4743.3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Kerr | 1661.5 | 6.086 | -4871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