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Fisk|1558.0|45.8|-4410.7|5.7|90.4|0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Bliss Hall|1534.1|35.5|-4463.2|6.9|178.1|0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IFI|1495.9|73.1|-4346.2|17.7|257.3|0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Nicely|1583.4|38.4|-4293.1|11.7|298.7|0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Penrose|1529.2|83.1|-4679.4|24.2|174.8|0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Kerr|1536.9|78.6|-4940.0|359.1|88.9|0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Jesup|1642.3|49.6|-4117.5|7.1|179.7|0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Green Oval|1542.3|208.7|-4353.7|78.4|171.9|0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Penrose Gate|1692.9|23.1|-4729.1|356.4|84.7|0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Observatory|1262.1|19.7|-4173.2|349.7|272.7|0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West Hall|1566.4|41.2|-4047.4|4.9|89.9|0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Ada Dodge|1542.5|39.9|-3709.0|6.0|105.4|0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Zoo|1589.6|105.4|-3680.1|72.1|277.8|180|0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Gate|1704.0|56.9|-3502.9|17.1|109.9|0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College Hall|1725.7|74.0|-3511.1|5.3|288.7|0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Jafet|1543.1|43.9|-3455.4|1.2|286.7|0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Marquand House|1407.7|24.1|-3887.0|3.6|151.2|0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Assembly Hall|1758.6|37.1|-3393.2|355.6|20.8|0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 Hall|1803.8|62.1|-2939.4|4.9|115.0|0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REP|2014.0|32.0|-2751.1|3.3|294.1|0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Old Pharmacy Building|1989.4|27.1|-2748.9|1.7|106.7|0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Medical Gate|2065.3|12.0|-2679.0|359.3|70|0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Medical|1996.8|17.0|-2669.6|6.6|251.0|0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Van Dyck|1932.9|0.2|-2707.3|358.0|292.2|0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Faculty Housing|642.1|-45.2|-4574.4|358.4|192.6|0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Chemistry|936.6|-49|-4226.9|10.8|135.7|0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Physics|916.5|-87.2|-4167.9|17.5|273.7|0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Nursing|905.6|-110.5|-4299.9|11.7|208|0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Agriculture|757.9|-116.4|-4307.7|1.5|282.0|0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Biology|667.1|-96.6|-4529.1|355.3|0.4|0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Nestle|876.1|-127.7|-4241.2|20.3|97.9|0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Gym|884.9|8.5|-3961.2|29.5|268.6|0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Green Field|1008.4|120.8|-3787.7|53.1|299.6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Tennis Court|1049.0|127.2|-3730.1|38.7|107.6|0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OSB|647.8|-92.4|-3482.9|2.0|37.1|0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Bechtel|1218.3|-69.6|-3344.4|4.6|282.7|0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RGB|1061.3|-141.3|-3272.3|358.8|258.8|0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Oxy|1186.5|-54.8|-3123.1|25|282.2|0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Architecture|1398.7|-84.1|-3066.4|9.5|312.8|0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SRB|-1726.3|-26.1|-2782.5|10.4|242.3|0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Girls Dorms|1688.4|82.3|-2682.4|23.9|325.4|0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