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Kerr|1675.3|108.9|-4947.2|359.9|270|0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Penrose|1566.4|69.7|-4813.1|347.8|0.7|0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Bliss|1562.4|66.3|-4576.9|347.8|0.7|0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Fisk Hall|1672.5|77.7|-4396.2|10.6|269.8|0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Observatory|1210.7|47.1|-4162|354.2|99.7|0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Nicely|1468.2|60.1|-4229.7|350.3|82.6|0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IFI|1388.2|60.1|-4312.7|351.8|338.1|0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West Hall|1707.2|89.9|-4552.5|2.0|181.8|0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Ada Dodge|1656.4|61.4|-3721.1|353.9|277.8|0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Jafet|1436.8|75.1|-3410.0|353.8|276.6|0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Van Dyck|1807.9|41.7|-2653.7|355.5|337.6|0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Medical|1913.1|86.6|-2489.5|3.0|180.7|0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Gym|626.3|-29.7|-3961.0|1.4|98.6|0.0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OXY|1000.9|-57.0|-3152.0|0.8|169.7|0.0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RGB|995.5|-106.9|-3288.5|6.3|107.1|0.0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OSB|709.2|-30.3|-3326.7|10.3|116.1|0.0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Nestle|894.3|-111.2|-4237.0|18.6|283.5|0.0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FHS Trio|746.3|-83.5|-4326.2|11.4|67.1|0.0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Girls Dorms|1344.1|40.8|-2324.2|15.9|152.9|0.0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Faculty Housing|628.3|27.6|-4816.9|350.2|41.5|0.0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Medical|1898.8|108.5|-2499.7|358.6|178.6|0.0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