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56"/>
        </w:rPr>
        <w:t>Taqreerk</w:t>
      </w:r>
    </w:p>
    <w:p>
      <w:pPr>
        <w:jc w:val="center"/>
      </w:pPr>
      <w:r>
        <w:rPr>
          <w:rFonts w:ascii="Calibri" w:hAnsi="Calibri"/>
          <w:color w:val="2E86AB"/>
          <w:sz w:val="36"/>
        </w:rPr>
        <w:t>RAG Architecture</w:t>
      </w:r>
    </w:p>
    <w:p>
      <w:pPr>
        <w:jc w:val="center"/>
      </w:pPr>
      <w:r>
        <w:rPr>
          <w:i/>
          <w:color w:val="555555"/>
          <w:sz w:val="20"/>
        </w:rPr>
        <w:t>Retrieval-Augmented Generation pipeline · .NET orchestrator + Python AI service</w:t>
      </w:r>
    </w:p>
    <w:p/>
    <w:p>
      <w:pPr>
        <w:pStyle w:val="Heading1"/>
        <w:spacing w:before="240" w:after="120"/>
      </w:pPr>
      <w:r>
        <w:rPr>
          <w:rFonts w:ascii="Calibri" w:hAnsi="Calibri"/>
          <w:color w:val="1F3A5F"/>
        </w:rPr>
        <w:t>1. Overview</w:t>
      </w:r>
    </w:p>
    <w:p>
      <w:pPr>
        <w:spacing w:after="120"/>
      </w:pPr>
      <w:r>
        <w:rPr>
          <w:rFonts w:ascii="Calibri" w:hAnsi="Calibri"/>
          <w:b w:val="0"/>
          <w:i w:val="0"/>
          <w:sz w:val="22"/>
        </w:rPr>
        <w:t>Taqreerk's RAG pipeline answers user questions about uploaded reports by retrieving relevant text chunks from those reports and generating grounded answers with cited page numbers. The system is split across two services: a .NET 8 orchestrator (state, quotas, persistence) and an external Python FastAPI AI service (ingestion, embeddings, vector search, chat).</w:t>
      </w:r>
    </w:p>
    <w:p>
      <w:pPr>
        <w:spacing w:after="120"/>
      </w:pPr>
      <w:r>
        <w:rPr>
          <w:rFonts w:ascii="Calibri" w:hAnsi="Calibri"/>
          <w:b w:val="0"/>
          <w:i w:val="0"/>
          <w:sz w:val="22"/>
        </w:rPr>
        <w:t>The .NET layer never calls the LLM directly. It enqueues ingest/translate/chat work via HTTP to the AI service, polls for completion, and persists final state (report chunks, AI jobs, chat sessions, citations).</w:t>
      </w:r>
    </w:p>
    <w:p>
      <w:pPr>
        <w:pStyle w:val="Heading1"/>
        <w:spacing w:before="240" w:after="120"/>
      </w:pPr>
      <w:r>
        <w:rPr>
          <w:rFonts w:ascii="Calibri" w:hAnsi="Calibri"/>
          <w:color w:val="1F3A5F"/>
        </w:rPr>
        <w:t>2. End-to-End Flow</w:t>
      </w:r>
    </w:p>
    <w:tbl>
      <w:tblPr>
        <w:tblW w:type="auto" w:w="0"/>
        <w:jc w:val="center"/>
        <w:tblLook w:firstColumn="1" w:firstRow="1" w:lastColumn="0" w:lastRow="0" w:noHBand="0" w:noVBand="1" w:val="04A0"/>
      </w:tblPr>
      <w:tblGrid>
        <w:gridCol w:w="662"/>
        <w:gridCol w:w="662"/>
        <w:gridCol w:w="662"/>
        <w:gridCol w:w="662"/>
        <w:gridCol w:w="662"/>
        <w:gridCol w:w="662"/>
        <w:gridCol w:w="662"/>
        <w:gridCol w:w="662"/>
        <w:gridCol w:w="662"/>
        <w:gridCol w:w="662"/>
        <w:gridCol w:w="662"/>
        <w:gridCol w:w="662"/>
        <w:gridCol w:w="662"/>
        <w:gridCol w:w="662"/>
        <w:gridCol w:w="662"/>
      </w:tblGrid>
      <w:tr>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PDF Upload</w:t>
            </w:r>
          </w:p>
        </w:tc>
        <w:tc>
          <w:tcPr>
            <w:tcW w:type="dxa" w:w="662"/>
          </w:tcPr>
          <w:p>
            <w:pPr>
              <w:jc w:val="center"/>
            </w:pPr>
            <w:r/>
            <w:r>
              <w:rPr>
                <w:color w:val="2E86AB"/>
                <w:sz w:val="28"/>
              </w:rPr>
              <w:t>➜</w:t>
            </w:r>
          </w:p>
        </w:tc>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Ingest Job</w:t>
            </w:r>
          </w:p>
        </w:tc>
        <w:tc>
          <w:tcPr>
            <w:tcW w:type="dxa" w:w="662"/>
          </w:tcPr>
          <w:p>
            <w:pPr>
              <w:jc w:val="center"/>
            </w:pPr>
            <w:r/>
            <w:r>
              <w:rPr>
                <w:color w:val="2E86AB"/>
                <w:sz w:val="28"/>
              </w:rPr>
              <w:t>➜</w:t>
            </w:r>
          </w:p>
        </w:tc>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Chunk + Embed</w:t>
            </w:r>
          </w:p>
        </w:tc>
        <w:tc>
          <w:tcPr>
            <w:tcW w:type="dxa" w:w="662"/>
          </w:tcPr>
          <w:p>
            <w:pPr>
              <w:jc w:val="center"/>
            </w:pPr>
            <w:r/>
            <w:r>
              <w:rPr>
                <w:color w:val="2E86AB"/>
                <w:sz w:val="28"/>
              </w:rPr>
              <w:t>➜</w:t>
            </w:r>
          </w:p>
        </w:tc>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Store (pgvector)</w:t>
            </w:r>
          </w:p>
        </w:tc>
        <w:tc>
          <w:tcPr>
            <w:tcW w:type="dxa" w:w="662"/>
          </w:tcPr>
          <w:p>
            <w:pPr>
              <w:jc w:val="center"/>
            </w:pPr>
            <w:r/>
            <w:r>
              <w:rPr>
                <w:color w:val="2E86AB"/>
                <w:sz w:val="28"/>
              </w:rPr>
              <w:t>➜</w:t>
            </w:r>
          </w:p>
        </w:tc>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User Question</w:t>
            </w:r>
          </w:p>
        </w:tc>
        <w:tc>
          <w:tcPr>
            <w:tcW w:type="dxa" w:w="662"/>
          </w:tcPr>
          <w:p>
            <w:pPr>
              <w:jc w:val="center"/>
            </w:pPr>
            <w:r/>
            <w:r>
              <w:rPr>
                <w:color w:val="2E86AB"/>
                <w:sz w:val="28"/>
              </w:rPr>
              <w:t>➜</w:t>
            </w:r>
          </w:p>
        </w:tc>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Hybrid Retrieve</w:t>
            </w:r>
          </w:p>
        </w:tc>
        <w:tc>
          <w:tcPr>
            <w:tcW w:type="dxa" w:w="662"/>
          </w:tcPr>
          <w:p>
            <w:pPr>
              <w:jc w:val="center"/>
            </w:pPr>
            <w:r/>
            <w:r>
              <w:rPr>
                <w:color w:val="2E86AB"/>
                <w:sz w:val="28"/>
              </w:rPr>
              <w:t>➜</w:t>
            </w:r>
          </w:p>
        </w:tc>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LLM Generate</w:t>
            </w:r>
          </w:p>
        </w:tc>
        <w:tc>
          <w:tcPr>
            <w:tcW w:type="dxa" w:w="662"/>
          </w:tcPr>
          <w:p>
            <w:pPr>
              <w:jc w:val="center"/>
            </w:pPr>
            <w:r/>
            <w:r>
              <w:rPr>
                <w:color w:val="2E86AB"/>
                <w:sz w:val="28"/>
              </w:rPr>
              <w:t>➜</w:t>
            </w:r>
          </w:p>
        </w:tc>
        <w:tc>
          <w:tcPr>
            <w:tcW w:type="dxa" w:w="662"/>
            <w:shd w:val="clear" w:color="auto" w:fill="EAF2F8"/>
            <w:tcBorders>
              <w:top w:val="single" w:sz="8" w:color="2E86AB"/>
              <w:left w:val="single" w:sz="8" w:color="2E86AB"/>
              <w:bottom w:val="single" w:sz="8" w:color="2E86AB"/>
              <w:right w:val="single" w:sz="8" w:color="2E86AB"/>
            </w:tcBorders>
          </w:tcPr>
          <w:p>
            <w:pPr>
              <w:jc w:val="center"/>
            </w:pPr>
            <w:r/>
            <w:r>
              <w:rPr>
                <w:rFonts w:ascii="Calibri" w:hAnsi="Calibri"/>
                <w:b/>
                <w:color w:val="1F3A5F"/>
                <w:sz w:val="20"/>
              </w:rPr>
              <w:t>Cited Answer</w:t>
            </w:r>
          </w:p>
        </w:tc>
      </w:tr>
    </w:tbl>
    <w:p/>
    <w:p>
      <w:pPr>
        <w:spacing w:after="120"/>
      </w:pPr>
      <w:r>
        <w:rPr>
          <w:rFonts w:ascii="Calibri" w:hAnsi="Calibri"/>
          <w:b w:val="0"/>
          <w:i w:val="0"/>
          <w:sz w:val="22"/>
        </w:rPr>
        <w:t>Each stage is described in detail below. Ingestion is fire-and-forget (HTTP 202); the worker reconciles terminal state. Retrieval and generation are synchronous request/response from the user's perspective, accelerated by a two-layer cache.</w:t>
      </w:r>
    </w:p>
    <w:p>
      <w:pPr>
        <w:pStyle w:val="Heading1"/>
        <w:spacing w:before="240" w:after="120"/>
      </w:pPr>
      <w:r>
        <w:rPr>
          <w:rFonts w:ascii="Calibri" w:hAnsi="Calibri"/>
          <w:color w:val="1F3A5F"/>
        </w:rPr>
        <w:t>3. Service Boundaries</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3A5F"/>
          </w:tcPr>
          <w:p>
            <w:r/>
            <w:r>
              <w:rPr>
                <w:b/>
                <w:color w:val="FFFFFF"/>
                <w:sz w:val="22"/>
              </w:rPr>
              <w:t>Component</w:t>
            </w:r>
          </w:p>
        </w:tc>
        <w:tc>
          <w:tcPr>
            <w:tcW w:type="dxa" w:w="4968"/>
            <w:shd w:val="clear" w:color="auto" w:fill="1F3A5F"/>
          </w:tcPr>
          <w:p>
            <w:r/>
            <w:r>
              <w:rPr>
                <w:b/>
                <w:color w:val="FFFFFF"/>
                <w:sz w:val="22"/>
              </w:rPr>
              <w:t>Responsibility</w:t>
            </w:r>
          </w:p>
        </w:tc>
      </w:tr>
      <w:tr>
        <w:tc>
          <w:tcPr>
            <w:tcW w:type="dxa" w:w="4968"/>
          </w:tcPr>
          <w:p>
            <w:r>
              <w:rPr>
                <w:rFonts w:ascii="Calibri" w:hAnsi="Calibri"/>
                <w:sz w:val="21"/>
              </w:rPr>
              <w:t>.NET 8 Orchestrator</w:t>
            </w:r>
          </w:p>
        </w:tc>
        <w:tc>
          <w:tcPr>
            <w:tcW w:type="dxa" w:w="4968"/>
          </w:tcPr>
          <w:p>
            <w:r>
              <w:rPr>
                <w:rFonts w:ascii="Calibri" w:hAnsi="Calibri"/>
                <w:sz w:val="21"/>
              </w:rPr>
              <w:t>HTTP API, auth, RBAC, quotas, persistence (Postgres + pgvector), job lifecycle worker, file storage signing, audit/logging.</w:t>
            </w:r>
          </w:p>
        </w:tc>
      </w:tr>
      <w:tr>
        <w:tc>
          <w:tcPr>
            <w:tcW w:type="dxa" w:w="4968"/>
          </w:tcPr>
          <w:p>
            <w:r>
              <w:rPr>
                <w:rFonts w:ascii="Calibri" w:hAnsi="Calibri"/>
                <w:sz w:val="21"/>
              </w:rPr>
              <w:t>Python AI Service (FastAPI)</w:t>
            </w:r>
          </w:p>
        </w:tc>
        <w:tc>
          <w:tcPr>
            <w:tcW w:type="dxa" w:w="4968"/>
          </w:tcPr>
          <w:p>
            <w:r>
              <w:rPr>
                <w:rFonts w:ascii="Calibri" w:hAnsi="Calibri"/>
                <w:sz w:val="21"/>
              </w:rPr>
              <w:t>PDF parsing, Gemini-Vision-driven chunking, Vertex AI embedding generation, vector search, prompt assembly, LLM invocation, two-layer chat cache.</w:t>
            </w:r>
          </w:p>
        </w:tc>
      </w:tr>
      <w:tr>
        <w:tc>
          <w:tcPr>
            <w:tcW w:type="dxa" w:w="4968"/>
          </w:tcPr>
          <w:p>
            <w:r>
              <w:rPr>
                <w:rFonts w:ascii="Calibri" w:hAnsi="Calibri"/>
                <w:sz w:val="21"/>
              </w:rPr>
              <w:t>PostgreSQL + pgvector</w:t>
            </w:r>
          </w:p>
        </w:tc>
        <w:tc>
          <w:tcPr>
            <w:tcW w:type="dxa" w:w="4968"/>
          </w:tcPr>
          <w:p>
            <w:r>
              <w:rPr>
                <w:rFonts w:ascii="Calibri" w:hAnsi="Calibri"/>
                <w:sz w:val="21"/>
              </w:rPr>
              <w:t>Source of truth for reports, report_chunks (with vector(768) and tsvector columns), ai_jobs, chat_sessions, chat_messages, chat_cache.</w:t>
            </w:r>
          </w:p>
        </w:tc>
      </w:tr>
      <w:tr>
        <w:tc>
          <w:tcPr>
            <w:tcW w:type="dxa" w:w="4968"/>
          </w:tcPr>
          <w:p>
            <w:r>
              <w:rPr>
                <w:rFonts w:ascii="Calibri" w:hAnsi="Calibri"/>
                <w:sz w:val="21"/>
              </w:rPr>
              <w:t>Vertex AI gemini-embedding-001</w:t>
            </w:r>
          </w:p>
        </w:tc>
        <w:tc>
          <w:tcPr>
            <w:tcW w:type="dxa" w:w="4968"/>
          </w:tcPr>
          <w:p>
            <w:r>
              <w:rPr>
                <w:rFonts w:ascii="Calibri" w:hAnsi="Calibri"/>
                <w:sz w:val="21"/>
              </w:rPr>
              <w:t>Managed 768-dimensional embedding model. Sub-150 ms typical latency, always warm — chosen over self-hosted GPU BGE-M3 for first-query UX.</w:t>
            </w:r>
          </w:p>
        </w:tc>
      </w:tr>
      <w:tr>
        <w:tc>
          <w:tcPr>
            <w:tcW w:type="dxa" w:w="4968"/>
          </w:tcPr>
          <w:p>
            <w:r>
              <w:rPr>
                <w:rFonts w:ascii="Calibri" w:hAnsi="Calibri"/>
                <w:sz w:val="21"/>
              </w:rPr>
              <w:t>Google Cloud Storage</w:t>
            </w:r>
          </w:p>
        </w:tc>
        <w:tc>
          <w:tcPr>
            <w:tcW w:type="dxa" w:w="4968"/>
          </w:tcPr>
          <w:p>
            <w:r>
              <w:rPr>
                <w:rFonts w:ascii="Calibri" w:hAnsi="Calibri"/>
                <w:sz w:val="21"/>
              </w:rPr>
              <w:t>Holds the original PDF and translated outputs (signed URLs).</w:t>
            </w:r>
          </w:p>
        </w:tc>
      </w:tr>
    </w:tbl>
    <w:p>
      <w:pPr>
        <w:pStyle w:val="Heading1"/>
        <w:spacing w:before="240" w:after="120"/>
      </w:pPr>
      <w:r>
        <w:rPr>
          <w:rFonts w:ascii="Calibri" w:hAnsi="Calibri"/>
          <w:color w:val="1F3A5F"/>
        </w:rPr>
        <w:t>4. Ingestion &amp; Chunking</w:t>
      </w:r>
    </w:p>
    <w:p>
      <w:pPr>
        <w:spacing w:after="120"/>
      </w:pPr>
      <w:r>
        <w:rPr>
          <w:rFonts w:ascii="Calibri" w:hAnsi="Calibri"/>
          <w:b w:val="0"/>
          <w:i w:val="0"/>
          <w:sz w:val="22"/>
        </w:rPr>
        <w:t>Triggered when a report PDF is uploaded. ReportAiService.EnqueueIngestAsync (Application/Services/ReportAiService.cs) POSTs to {AiService.BaseUrl}/reports/ingest with the report id and signed file URL, receiving a 202 with a job_id. The ingest itself runs in the AI service:</w:t>
      </w:r>
    </w:p>
    <w:p>
      <w:pPr>
        <w:pStyle w:val="ListBullet"/>
        <w:ind w:left="360"/>
      </w:pPr>
      <w:r/>
      <w:r>
        <w:rPr>
          <w:rFonts w:ascii="Calibri" w:hAnsi="Calibri"/>
          <w:b/>
          <w:sz w:val="22"/>
        </w:rPr>
        <w:t>Parse:</w:t>
      </w:r>
      <w:r>
        <w:rPr>
          <w:rFonts w:ascii="Calibri" w:hAnsi="Calibri"/>
          <w:sz w:val="22"/>
        </w:rPr>
        <w:t xml:space="preserve"> PDF rendered page-by-page through Gemini Vision for OCR + layout-aware extraction.</w:t>
      </w:r>
    </w:p>
    <w:p>
      <w:pPr>
        <w:pStyle w:val="ListBullet"/>
        <w:ind w:left="360"/>
      </w:pPr>
      <w:r/>
      <w:r>
        <w:rPr>
          <w:rFonts w:ascii="Calibri" w:hAnsi="Calibri"/>
          <w:b/>
          <w:sz w:val="22"/>
        </w:rPr>
        <w:t>Chunk:</w:t>
      </w:r>
      <w:r>
        <w:rPr>
          <w:rFonts w:ascii="Calibri" w:hAnsi="Calibri"/>
          <w:sz w:val="22"/>
        </w:rPr>
        <w:t xml:space="preserve"> each page is split into ~500-token sub-page chunks with overlap; section title and page type are captured as metadata.</w:t>
      </w:r>
    </w:p>
    <w:p>
      <w:pPr>
        <w:pStyle w:val="ListBullet"/>
        <w:ind w:left="360"/>
      </w:pPr>
      <w:r/>
      <w:r>
        <w:rPr>
          <w:rFonts w:ascii="Calibri" w:hAnsi="Calibri"/>
          <w:b/>
          <w:sz w:val="22"/>
        </w:rPr>
        <w:t>Embed:</w:t>
      </w:r>
      <w:r>
        <w:rPr>
          <w:rFonts w:ascii="Calibri" w:hAnsi="Calibri"/>
          <w:sz w:val="22"/>
        </w:rPr>
        <w:t xml:space="preserve"> each chunk is embedded with Vertex AI gemini-embedding-001 (768 dims).</w:t>
      </w:r>
    </w:p>
    <w:p>
      <w:pPr>
        <w:pStyle w:val="ListBullet"/>
        <w:ind w:left="360"/>
      </w:pPr>
      <w:r/>
      <w:r>
        <w:rPr>
          <w:rFonts w:ascii="Calibri" w:hAnsi="Calibri"/>
          <w:b/>
          <w:sz w:val="22"/>
        </w:rPr>
        <w:t>Persist:</w:t>
      </w:r>
      <w:r>
        <w:rPr>
          <w:rFonts w:ascii="Calibri" w:hAnsi="Calibri"/>
          <w:sz w:val="22"/>
        </w:rPr>
        <w:t xml:space="preserve"> insert into report_chunks (page_number, chunk_index, content, embedding vector(768), search_vector tsvector, metadata jsonb).</w:t>
      </w:r>
    </w:p>
    <w:p>
      <w:pPr>
        <w:spacing w:after="120"/>
      </w:pPr>
      <w:r>
        <w:rPr>
          <w:rFonts w:ascii="Calibri" w:hAnsi="Calibri"/>
          <w:b/>
          <w:i w:val="0"/>
          <w:sz w:val="22"/>
        </w:rPr>
        <w:t>Worker reconciliation:</w:t>
      </w:r>
    </w:p>
    <w:p>
      <w:pPr>
        <w:spacing w:after="120"/>
      </w:pPr>
      <w:r>
        <w:rPr>
          <w:rFonts w:ascii="Calibri" w:hAnsi="Calibri"/>
          <w:b w:val="0"/>
          <w:i w:val="0"/>
          <w:sz w:val="22"/>
        </w:rPr>
        <w:t>ReportProcessingWorker polls /reports/jobs/{job_id} every WorkerPollSeconds (default 5 s). On Completed it transitions the report status from ProcessingAi → Published; on Failed it marks the report and surfaces the error in ai_jobs.error_message.</w:t>
      </w:r>
    </w:p>
    <w:p>
      <w:pPr>
        <w:spacing w:after="120"/>
      </w:pPr>
      <w:r>
        <w:rPr>
          <w:rFonts w:ascii="Calibri" w:hAnsi="Calibri"/>
          <w:b/>
          <w:i w:val="0"/>
          <w:sz w:val="22"/>
        </w:rPr>
        <w:t>Migration trail (chunk schema evolution):</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3A5F"/>
          </w:tcPr>
          <w:p>
            <w:r/>
            <w:r>
              <w:rPr>
                <w:b/>
                <w:color w:val="FFFFFF"/>
                <w:sz w:val="22"/>
              </w:rPr>
              <w:t>Migration</w:t>
            </w:r>
          </w:p>
        </w:tc>
        <w:tc>
          <w:tcPr>
            <w:tcW w:type="dxa" w:w="4968"/>
            <w:shd w:val="clear" w:color="auto" w:fill="1F3A5F"/>
          </w:tcPr>
          <w:p>
            <w:r/>
            <w:r>
              <w:rPr>
                <w:b/>
                <w:color w:val="FFFFFF"/>
                <w:sz w:val="22"/>
              </w:rPr>
              <w:t>Change</w:t>
            </w:r>
          </w:p>
        </w:tc>
      </w:tr>
      <w:tr>
        <w:tc>
          <w:tcPr>
            <w:tcW w:type="dxa" w:w="4968"/>
          </w:tcPr>
          <w:p>
            <w:r>
              <w:rPr>
                <w:rFonts w:ascii="Calibri" w:hAnsi="Calibri"/>
                <w:sz w:val="21"/>
              </w:rPr>
              <w:t>ReplaceReportPagesWithReportChunks (2026-04-29)</w:t>
            </w:r>
          </w:p>
        </w:tc>
        <w:tc>
          <w:tcPr>
            <w:tcW w:type="dxa" w:w="4968"/>
          </w:tcPr>
          <w:p>
            <w:r>
              <w:rPr>
                <w:rFonts w:ascii="Calibri" w:hAnsi="Calibri"/>
                <w:sz w:val="21"/>
              </w:rPr>
              <w:t>Drops legacy report_pages; introduces report_chunks with bilingual tsvector (simple + arabic configurations) and a vector embedding column.</w:t>
            </w:r>
          </w:p>
        </w:tc>
      </w:tr>
      <w:tr>
        <w:tc>
          <w:tcPr>
            <w:tcW w:type="dxa" w:w="4968"/>
          </w:tcPr>
          <w:p>
            <w:r>
              <w:rPr>
                <w:rFonts w:ascii="Calibri" w:hAnsi="Calibri"/>
                <w:sz w:val="21"/>
              </w:rPr>
              <w:t>AddChatCache (2026-04-29)</w:t>
            </w:r>
          </w:p>
        </w:tc>
        <w:tc>
          <w:tcPr>
            <w:tcW w:type="dxa" w:w="4968"/>
          </w:tcPr>
          <w:p>
            <w:r>
              <w:rPr>
                <w:rFonts w:ascii="Calibri" w:hAnsi="Calibri"/>
                <w:sz w:val="21"/>
              </w:rPr>
              <w:t>Creates chat_cache for two-layer (exact + semantic) lookup.</w:t>
            </w:r>
          </w:p>
        </w:tc>
      </w:tr>
      <w:tr>
        <w:tc>
          <w:tcPr>
            <w:tcW w:type="dxa" w:w="4968"/>
          </w:tcPr>
          <w:p>
            <w:r>
              <w:rPr>
                <w:rFonts w:ascii="Calibri" w:hAnsi="Calibri"/>
                <w:sz w:val="21"/>
              </w:rPr>
              <w:t>BgeM3VectorDimensions (2026-04-29)</w:t>
            </w:r>
          </w:p>
        </w:tc>
        <w:tc>
          <w:tcPr>
            <w:tcW w:type="dxa" w:w="4968"/>
          </w:tcPr>
          <w:p>
            <w:r>
              <w:rPr>
                <w:rFonts w:ascii="Calibri" w:hAnsi="Calibri"/>
                <w:sz w:val="21"/>
              </w:rPr>
              <w:t>First embedding generation: BGE-M3 at 1024 dims (later replaced).</w:t>
            </w:r>
          </w:p>
        </w:tc>
      </w:tr>
      <w:tr>
        <w:tc>
          <w:tcPr>
            <w:tcW w:type="dxa" w:w="4968"/>
          </w:tcPr>
          <w:p>
            <w:r>
              <w:rPr>
                <w:rFonts w:ascii="Calibri" w:hAnsi="Calibri"/>
                <w:sz w:val="21"/>
              </w:rPr>
              <w:t>VertexEmbeddingDimensions (2026-04-30)</w:t>
            </w:r>
          </w:p>
        </w:tc>
        <w:tc>
          <w:tcPr>
            <w:tcW w:type="dxa" w:w="4968"/>
          </w:tcPr>
          <w:p>
            <w:r>
              <w:rPr>
                <w:rFonts w:ascii="Calibri" w:hAnsi="Calibri"/>
                <w:sz w:val="21"/>
              </w:rPr>
              <w:t>Production model: Vertex gemini-embedding-001 at 768 dims. Truncates report_chunks/chat_cache because dimensions changed.</w:t>
            </w:r>
          </w:p>
        </w:tc>
      </w:tr>
      <w:tr>
        <w:tc>
          <w:tcPr>
            <w:tcW w:type="dxa" w:w="4968"/>
          </w:tcPr>
          <w:p>
            <w:r>
              <w:rPr>
                <w:rFonts w:ascii="Calibri" w:hAnsi="Calibri"/>
                <w:sz w:val="21"/>
              </w:rPr>
              <w:t>AddReportChunksMetadataGinIndex (2026-05-02)</w:t>
            </w:r>
          </w:p>
        </w:tc>
        <w:tc>
          <w:tcPr>
            <w:tcW w:type="dxa" w:w="4968"/>
          </w:tcPr>
          <w:p>
            <w:r>
              <w:rPr>
                <w:rFonts w:ascii="Calibri" w:hAnsi="Calibri"/>
                <w:sz w:val="21"/>
              </w:rPr>
              <w:t>GIN index on metadata jsonb (jsonb_path_ops) — enables filtered retrieval.</w:t>
            </w:r>
          </w:p>
        </w:tc>
      </w:tr>
    </w:tbl>
    <w:p>
      <w:pPr>
        <w:pStyle w:val="Heading1"/>
        <w:spacing w:before="240" w:after="120"/>
      </w:pPr>
      <w:r>
        <w:rPr>
          <w:rFonts w:ascii="Calibri" w:hAnsi="Calibri"/>
          <w:color w:val="1F3A5F"/>
        </w:rPr>
        <w:t>5. Embedding Strategy</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3A5F"/>
          </w:tcPr>
          <w:p>
            <w:r/>
            <w:r>
              <w:rPr>
                <w:b/>
                <w:color w:val="FFFFFF"/>
                <w:sz w:val="22"/>
              </w:rPr>
              <w:t>Aspect</w:t>
            </w:r>
          </w:p>
        </w:tc>
        <w:tc>
          <w:tcPr>
            <w:tcW w:type="dxa" w:w="4968"/>
            <w:shd w:val="clear" w:color="auto" w:fill="1F3A5F"/>
          </w:tcPr>
          <w:p>
            <w:r/>
            <w:r>
              <w:rPr>
                <w:b/>
                <w:color w:val="FFFFFF"/>
                <w:sz w:val="22"/>
              </w:rPr>
              <w:t>Decision</w:t>
            </w:r>
          </w:p>
        </w:tc>
      </w:tr>
      <w:tr>
        <w:tc>
          <w:tcPr>
            <w:tcW w:type="dxa" w:w="4968"/>
          </w:tcPr>
          <w:p>
            <w:r>
              <w:rPr>
                <w:rFonts w:ascii="Calibri" w:hAnsi="Calibri"/>
                <w:sz w:val="21"/>
              </w:rPr>
              <w:t>Model</w:t>
            </w:r>
          </w:p>
        </w:tc>
        <w:tc>
          <w:tcPr>
            <w:tcW w:type="dxa" w:w="4968"/>
          </w:tcPr>
          <w:p>
            <w:r>
              <w:rPr>
                <w:rFonts w:ascii="Calibri" w:hAnsi="Calibri"/>
                <w:sz w:val="21"/>
              </w:rPr>
              <w:t>Vertex AI gemini-embedding-001 (managed).</w:t>
            </w:r>
          </w:p>
        </w:tc>
      </w:tr>
      <w:tr>
        <w:tc>
          <w:tcPr>
            <w:tcW w:type="dxa" w:w="4968"/>
          </w:tcPr>
          <w:p>
            <w:r>
              <w:rPr>
                <w:rFonts w:ascii="Calibri" w:hAnsi="Calibri"/>
                <w:sz w:val="21"/>
              </w:rPr>
              <w:t>Dimensions</w:t>
            </w:r>
          </w:p>
        </w:tc>
        <w:tc>
          <w:tcPr>
            <w:tcW w:type="dxa" w:w="4968"/>
          </w:tcPr>
          <w:p>
            <w:r>
              <w:rPr>
                <w:rFonts w:ascii="Calibri" w:hAnsi="Calibri"/>
                <w:sz w:val="21"/>
              </w:rPr>
              <w:t>768.</w:t>
            </w:r>
          </w:p>
        </w:tc>
      </w:tr>
      <w:tr>
        <w:tc>
          <w:tcPr>
            <w:tcW w:type="dxa" w:w="4968"/>
          </w:tcPr>
          <w:p>
            <w:r>
              <w:rPr>
                <w:rFonts w:ascii="Calibri" w:hAnsi="Calibri"/>
                <w:sz w:val="21"/>
              </w:rPr>
              <w:t>Why not BGE-M3?</w:t>
            </w:r>
          </w:p>
        </w:tc>
        <w:tc>
          <w:tcPr>
            <w:tcW w:type="dxa" w:w="4968"/>
          </w:tcPr>
          <w:p>
            <w:r>
              <w:rPr>
                <w:rFonts w:ascii="Calibri" w:hAnsi="Calibri"/>
                <w:sz w:val="21"/>
              </w:rPr>
              <w:t>BGE-M3 had stronger Arabic/English MIRACL scores (~75 vs ~51 for e5-base) but self-hosted GPU cold-start latency (30–90 s) broke first-query UX. Vertex is always warm, sub-150 ms typical.</w:t>
            </w:r>
          </w:p>
        </w:tc>
      </w:tr>
      <w:tr>
        <w:tc>
          <w:tcPr>
            <w:tcW w:type="dxa" w:w="4968"/>
          </w:tcPr>
          <w:p>
            <w:r>
              <w:rPr>
                <w:rFonts w:ascii="Calibri" w:hAnsi="Calibri"/>
                <w:sz w:val="21"/>
              </w:rPr>
              <w:t>Re-ingest policy</w:t>
            </w:r>
          </w:p>
        </w:tc>
        <w:tc>
          <w:tcPr>
            <w:tcW w:type="dxa" w:w="4968"/>
          </w:tcPr>
          <w:p>
            <w:r>
              <w:rPr>
                <w:rFonts w:ascii="Calibri" w:hAnsi="Calibri"/>
                <w:sz w:val="21"/>
              </w:rPr>
              <w:t>Any embedding-model change truncates report_chunks and chat_cache — vector dimensions and semantic spaces are not portable across models.</w:t>
            </w:r>
          </w:p>
        </w:tc>
      </w:tr>
      <w:tr>
        <w:tc>
          <w:tcPr>
            <w:tcW w:type="dxa" w:w="4968"/>
          </w:tcPr>
          <w:p>
            <w:r>
              <w:rPr>
                <w:rFonts w:ascii="Calibri" w:hAnsi="Calibri"/>
                <w:sz w:val="21"/>
              </w:rPr>
              <w:t>Producer</w:t>
            </w:r>
          </w:p>
        </w:tc>
        <w:tc>
          <w:tcPr>
            <w:tcW w:type="dxa" w:w="4968"/>
          </w:tcPr>
          <w:p>
            <w:r>
              <w:rPr>
                <w:rFonts w:ascii="Calibri" w:hAnsi="Calibri"/>
                <w:sz w:val="21"/>
              </w:rPr>
              <w:t>Python AI service only. .NET never embeds; the column is opaque to it.</w:t>
            </w:r>
          </w:p>
        </w:tc>
      </w:tr>
    </w:tbl>
    <w:p>
      <w:pPr>
        <w:pStyle w:val="Heading1"/>
        <w:spacing w:before="240" w:after="120"/>
      </w:pPr>
      <w:r>
        <w:rPr>
          <w:rFonts w:ascii="Calibri" w:hAnsi="Calibri"/>
          <w:color w:val="1F3A5F"/>
        </w:rPr>
        <w:t>6. Retrieval (Hybrid Search)</w:t>
      </w:r>
    </w:p>
    <w:p>
      <w:pPr>
        <w:spacing w:after="120"/>
      </w:pPr>
      <w:r>
        <w:rPr>
          <w:rFonts w:ascii="Calibri" w:hAnsi="Calibri"/>
          <w:b w:val="0"/>
          <w:i w:val="0"/>
          <w:sz w:val="22"/>
        </w:rPr>
        <w:t>Retrieval is exposed as the AI service's search_chunks tool, scoped to a single ReportId per call. It blends three signals:</w:t>
      </w:r>
    </w:p>
    <w:p>
      <w:pPr>
        <w:pStyle w:val="ListBullet"/>
        <w:ind w:left="360"/>
      </w:pPr>
      <w:r/>
      <w:r>
        <w:rPr>
          <w:rFonts w:ascii="Calibri" w:hAnsi="Calibri"/>
          <w:b/>
          <w:sz w:val="22"/>
        </w:rPr>
        <w:t>Vector:</w:t>
      </w:r>
      <w:r>
        <w:rPr>
          <w:rFonts w:ascii="Calibri" w:hAnsi="Calibri"/>
          <w:sz w:val="22"/>
        </w:rPr>
        <w:t xml:space="preserve"> cosine similarity on the 768-dim embedding column (pgvector).</w:t>
      </w:r>
    </w:p>
    <w:p>
      <w:pPr>
        <w:pStyle w:val="ListBullet"/>
        <w:ind w:left="360"/>
      </w:pPr>
      <w:r/>
      <w:r>
        <w:rPr>
          <w:rFonts w:ascii="Calibri" w:hAnsi="Calibri"/>
          <w:b/>
          <w:sz w:val="22"/>
        </w:rPr>
        <w:t>Lexical:</w:t>
      </w:r>
      <w:r>
        <w:rPr>
          <w:rFonts w:ascii="Calibri" w:hAnsi="Calibri"/>
          <w:sz w:val="22"/>
        </w:rPr>
        <w:t xml:space="preserve"> PostgreSQL tsvector full-text search with bilingual (simple + arabic) configurations.</w:t>
      </w:r>
    </w:p>
    <w:p>
      <w:pPr>
        <w:pStyle w:val="ListBullet"/>
        <w:ind w:left="360"/>
      </w:pPr>
      <w:r/>
      <w:r>
        <w:rPr>
          <w:rFonts w:ascii="Calibri" w:hAnsi="Calibri"/>
          <w:b/>
          <w:sz w:val="22"/>
        </w:rPr>
        <w:t>Metadata:</w:t>
      </w:r>
      <w:r>
        <w:rPr>
          <w:rFonts w:ascii="Calibri" w:hAnsi="Calibri"/>
          <w:sz w:val="22"/>
        </w:rPr>
        <w:t xml:space="preserve"> jsonb filters (e.g. block type, language) accelerated by a GIN index using jsonb_path_ops.</w:t>
      </w:r>
    </w:p>
    <w:p>
      <w:pPr>
        <w:spacing w:after="120"/>
      </w:pPr>
      <w:r>
        <w:rPr>
          <w:rFonts w:ascii="Calibri" w:hAnsi="Calibri"/>
          <w:b/>
          <w:i w:val="0"/>
          <w:sz w:val="22"/>
        </w:rPr>
        <w:t>Indexes on report_chunks:</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3A5F"/>
          </w:tcPr>
          <w:p>
            <w:r/>
            <w:r>
              <w:rPr>
                <w:b/>
                <w:color w:val="FFFFFF"/>
                <w:sz w:val="22"/>
              </w:rPr>
              <w:t>Index</w:t>
            </w:r>
          </w:p>
        </w:tc>
        <w:tc>
          <w:tcPr>
            <w:tcW w:type="dxa" w:w="4968"/>
            <w:shd w:val="clear" w:color="auto" w:fill="1F3A5F"/>
          </w:tcPr>
          <w:p>
            <w:r/>
            <w:r>
              <w:rPr>
                <w:b/>
                <w:color w:val="FFFFFF"/>
                <w:sz w:val="22"/>
              </w:rPr>
              <w:t>Purpose</w:t>
            </w:r>
          </w:p>
        </w:tc>
      </w:tr>
      <w:tr>
        <w:tc>
          <w:tcPr>
            <w:tcW w:type="dxa" w:w="4968"/>
          </w:tcPr>
          <w:p>
            <w:r>
              <w:rPr>
                <w:rFonts w:ascii="Calibri" w:hAnsi="Calibri"/>
                <w:sz w:val="21"/>
              </w:rPr>
              <w:t>IX_report_chunks_ReportId_PageNumber_ChunkIndex (unique)</w:t>
            </w:r>
          </w:p>
        </w:tc>
        <w:tc>
          <w:tcPr>
            <w:tcW w:type="dxa" w:w="4968"/>
          </w:tcPr>
          <w:p>
            <w:r>
              <w:rPr>
                <w:rFonts w:ascii="Calibri" w:hAnsi="Calibri"/>
                <w:sz w:val="21"/>
              </w:rPr>
              <w:t>Deduplication — one chunk per (report, page, chunk index).</w:t>
            </w:r>
          </w:p>
        </w:tc>
      </w:tr>
      <w:tr>
        <w:tc>
          <w:tcPr>
            <w:tcW w:type="dxa" w:w="4968"/>
          </w:tcPr>
          <w:p>
            <w:r>
              <w:rPr>
                <w:rFonts w:ascii="Calibri" w:hAnsi="Calibri"/>
                <w:sz w:val="21"/>
              </w:rPr>
              <w:t>IX_report_chunks_ReportId_PageNumber</w:t>
            </w:r>
          </w:p>
        </w:tc>
        <w:tc>
          <w:tcPr>
            <w:tcW w:type="dxa" w:w="4968"/>
          </w:tcPr>
          <w:p>
            <w:r>
              <w:rPr>
                <w:rFonts w:ascii="Calibri" w:hAnsi="Calibri"/>
                <w:sz w:val="21"/>
              </w:rPr>
              <w:t>Page-level retrieval (e.g. 'show me page 12').</w:t>
            </w:r>
          </w:p>
        </w:tc>
      </w:tr>
      <w:tr>
        <w:tc>
          <w:tcPr>
            <w:tcW w:type="dxa" w:w="4968"/>
          </w:tcPr>
          <w:p>
            <w:r>
              <w:rPr>
                <w:rFonts w:ascii="Calibri" w:hAnsi="Calibri"/>
                <w:sz w:val="21"/>
              </w:rPr>
              <w:t>IX_report_chunks_search_vector (GIN)</w:t>
            </w:r>
          </w:p>
        </w:tc>
        <w:tc>
          <w:tcPr>
            <w:tcW w:type="dxa" w:w="4968"/>
          </w:tcPr>
          <w:p>
            <w:r>
              <w:rPr>
                <w:rFonts w:ascii="Calibri" w:hAnsi="Calibri"/>
                <w:sz w:val="21"/>
              </w:rPr>
              <w:t>Millisecond full-text lookup on the bilingual tsvector.</w:t>
            </w:r>
          </w:p>
        </w:tc>
      </w:tr>
      <w:tr>
        <w:tc>
          <w:tcPr>
            <w:tcW w:type="dxa" w:w="4968"/>
          </w:tcPr>
          <w:p>
            <w:r>
              <w:rPr>
                <w:rFonts w:ascii="Calibri" w:hAnsi="Calibri"/>
                <w:sz w:val="21"/>
              </w:rPr>
              <w:t>idx_report_chunks_metadata_gin (GIN, jsonb_path_ops)</w:t>
            </w:r>
          </w:p>
        </w:tc>
        <w:tc>
          <w:tcPr>
            <w:tcW w:type="dxa" w:w="4968"/>
          </w:tcPr>
          <w:p>
            <w:r>
              <w:rPr>
                <w:rFonts w:ascii="Calibri" w:hAnsi="Calibri"/>
                <w:sz w:val="21"/>
              </w:rPr>
              <w:t>Metadata-filtered queries — added concurrently to avoid table lock.</w:t>
            </w:r>
          </w:p>
        </w:tc>
      </w:tr>
      <w:tr>
        <w:tc>
          <w:tcPr>
            <w:tcW w:type="dxa" w:w="4968"/>
          </w:tcPr>
          <w:p>
            <w:r>
              <w:rPr>
                <w:rFonts w:ascii="Calibri" w:hAnsi="Calibri"/>
                <w:sz w:val="21"/>
              </w:rPr>
              <w:t>Vector ANN index</w:t>
            </w:r>
          </w:p>
        </w:tc>
        <w:tc>
          <w:tcPr>
            <w:tcW w:type="dxa" w:w="4968"/>
          </w:tcPr>
          <w:p>
            <w:r>
              <w:rPr>
                <w:rFonts w:ascii="Calibri" w:hAnsi="Calibri"/>
                <w:sz w:val="21"/>
              </w:rPr>
              <w:t>Provided by pgvector on the embedding column (cosine ops).</w:t>
            </w:r>
          </w:p>
        </w:tc>
      </w:tr>
    </w:tbl>
    <w:p>
      <w:pPr>
        <w:spacing w:after="120"/>
      </w:pPr>
      <w:r>
        <w:rPr>
          <w:rFonts w:ascii="Calibri" w:hAnsi="Calibri"/>
          <w:b w:val="0"/>
          <w:i/>
          <w:sz w:val="22"/>
        </w:rPr>
        <w:t>All retrieval is per-report — there is no cross-report bleed. A reranker (bge-reranker-v2-m3) was evaluated but dropped along with the GPU-hosted models in favor of relying on the managed embedding quality.</w:t>
      </w:r>
    </w:p>
    <w:p>
      <w:pPr>
        <w:pStyle w:val="Heading1"/>
        <w:spacing w:before="240" w:after="120"/>
      </w:pPr>
      <w:r>
        <w:rPr>
          <w:rFonts w:ascii="Calibri" w:hAnsi="Calibri"/>
          <w:color w:val="1F3A5F"/>
        </w:rPr>
        <w:t>7. Generation &amp; Citations</w:t>
      </w:r>
    </w:p>
    <w:p>
      <w:pPr>
        <w:spacing w:after="120"/>
      </w:pPr>
      <w:r>
        <w:rPr>
          <w:rFonts w:ascii="Calibri" w:hAnsi="Calibri"/>
          <w:b w:val="0"/>
          <w:i w:val="0"/>
          <w:sz w:val="22"/>
        </w:rPr>
        <w:t>Once retrieval returns the top chunks, the AI service assembles a prompt and calls the LLM. The .NET layer sees only the persisted output:</w:t>
      </w:r>
    </w:p>
    <w:p>
      <w:pPr>
        <w:pStyle w:val="ListBullet"/>
        <w:ind w:left="360"/>
      </w:pPr>
      <w:r/>
      <w:r>
        <w:rPr>
          <w:rFonts w:ascii="Calibri" w:hAnsi="Calibri"/>
          <w:b/>
          <w:sz w:val="22"/>
        </w:rPr>
        <w:t>ChatSession:</w:t>
      </w:r>
      <w:r>
        <w:rPr>
          <w:rFonts w:ascii="Calibri" w:hAnsi="Calibri"/>
          <w:sz w:val="22"/>
        </w:rPr>
        <w:t xml:space="preserve"> one row per (UserId, ReportId) pair with a derived title.</w:t>
      </w:r>
    </w:p>
    <w:p>
      <w:pPr>
        <w:pStyle w:val="ListBullet"/>
        <w:ind w:left="360"/>
      </w:pPr>
      <w:r/>
      <w:r>
        <w:rPr>
          <w:rFonts w:ascii="Calibri" w:hAnsi="Calibri"/>
          <w:b/>
          <w:sz w:val="22"/>
        </w:rPr>
        <w:t>ChatMessage:</w:t>
      </w:r>
      <w:r>
        <w:rPr>
          <w:rFonts w:ascii="Calibri" w:hAnsi="Calibri"/>
          <w:sz w:val="22"/>
        </w:rPr>
        <w:t xml:space="preserve"> role (user|assistant), content, and SourcePages (jsonb int[]) — e.g. [7, 23, 41].</w:t>
      </w:r>
    </w:p>
    <w:p>
      <w:pPr>
        <w:spacing w:after="120"/>
      </w:pPr>
      <w:r>
        <w:rPr>
          <w:rFonts w:ascii="Calibri" w:hAnsi="Calibri"/>
          <w:b w:val="0"/>
          <w:i w:val="0"/>
          <w:sz w:val="22"/>
        </w:rPr>
        <w:t>SourcePages is the citation contract: the frontend renders these as clickable page badges next to the assistant message, and clicking jumps the embedded PDF viewer to that page. Cascade-delete on user or report removes the session.</w:t>
      </w:r>
    </w:p>
    <w:p>
      <w:pPr>
        <w:pStyle w:val="Heading1"/>
        <w:spacing w:before="240" w:after="120"/>
      </w:pPr>
      <w:r>
        <w:rPr>
          <w:rFonts w:ascii="Calibri" w:hAnsi="Calibri"/>
          <w:color w:val="1F3A5F"/>
        </w:rPr>
        <w:t>8. Two-Layer Chat Cache</w:t>
      </w:r>
    </w:p>
    <w:p>
      <w:pPr>
        <w:spacing w:after="120"/>
      </w:pPr>
      <w:r>
        <w:rPr>
          <w:rFonts w:ascii="Calibri" w:hAnsi="Calibri"/>
          <w:b w:val="0"/>
          <w:i w:val="0"/>
          <w:sz w:val="22"/>
        </w:rPr>
        <w:t>chat_cache (owned by the AI service) short-circuits both retrieval and LLM generation when the same or a paraphrased question reappears for a report:</w:t>
      </w:r>
    </w:p>
    <w:p>
      <w:pPr>
        <w:pStyle w:val="ListBullet"/>
        <w:ind w:left="360"/>
      </w:pPr>
      <w:r/>
      <w:r>
        <w:rPr>
          <w:rFonts w:ascii="Calibri" w:hAnsi="Calibri"/>
          <w:b/>
          <w:sz w:val="22"/>
        </w:rPr>
        <w:t>Layer 1 (exact):</w:t>
      </w:r>
      <w:r>
        <w:rPr>
          <w:rFonts w:ascii="Calibri" w:hAnsi="Calibri"/>
          <w:sz w:val="22"/>
        </w:rPr>
        <w:t xml:space="preserve"> SHA-256(report_id ‖ normalized question) primary key — sub-millisecond hit.</w:t>
      </w:r>
    </w:p>
    <w:p>
      <w:pPr>
        <w:pStyle w:val="ListBullet"/>
        <w:ind w:left="360"/>
      </w:pPr>
      <w:r/>
      <w:r>
        <w:rPr>
          <w:rFonts w:ascii="Calibri" w:hAnsi="Calibri"/>
          <w:b/>
          <w:sz w:val="22"/>
        </w:rPr>
        <w:t>Layer 2 (semantic):</w:t>
      </w:r>
      <w:r>
        <w:rPr>
          <w:rFonts w:ascii="Calibri" w:hAnsi="Calibri"/>
          <w:sz w:val="22"/>
        </w:rPr>
        <w:t xml:space="preserve"> question_emb vector(768) — cosine match catches paraphrases of recent questions.</w:t>
      </w:r>
    </w:p>
    <w:p>
      <w:pPr>
        <w:pStyle w:val="ListBullet"/>
        <w:ind w:left="360"/>
      </w:pPr>
      <w:r/>
      <w:r>
        <w:rPr>
          <w:rFonts w:ascii="Calibri" w:hAnsi="Calibri"/>
          <w:b/>
          <w:sz w:val="22"/>
        </w:rPr>
        <w:t>TTL:</w:t>
      </w:r>
      <w:r>
        <w:rPr>
          <w:rFonts w:ascii="Calibri" w:hAnsi="Calibri"/>
          <w:sz w:val="22"/>
        </w:rPr>
        <w:t xml:space="preserve"> indexed (report_id, expires_at) for cheap expired-row sweeps.</w:t>
      </w:r>
    </w:p>
    <w:p>
      <w:pPr>
        <w:pStyle w:val="ListBullet"/>
        <w:ind w:left="360"/>
      </w:pPr>
      <w:r/>
      <w:r>
        <w:rPr>
          <w:rFonts w:ascii="Calibri" w:hAnsi="Calibri"/>
          <w:b/>
          <w:sz w:val="22"/>
        </w:rPr>
        <w:t>Telemetry:</w:t>
      </w:r>
      <w:r>
        <w:rPr>
          <w:rFonts w:ascii="Calibri" w:hAnsi="Calibri"/>
          <w:sz w:val="22"/>
        </w:rPr>
        <w:t xml:space="preserve"> hit_count tracks popular questions for content/UX feedback.</w:t>
      </w:r>
    </w:p>
    <w:p>
      <w:pPr>
        <w:spacing w:after="120"/>
      </w:pPr>
      <w:r>
        <w:rPr>
          <w:rFonts w:ascii="Calibri" w:hAnsi="Calibri"/>
          <w:b w:val="0"/>
          <w:i/>
          <w:sz w:val="22"/>
        </w:rPr>
        <w:t>.NET never reads or writes chat_cache directly — it lives entirely behind the AI service.</w:t>
      </w:r>
    </w:p>
    <w:p>
      <w:pPr>
        <w:pStyle w:val="Heading1"/>
        <w:spacing w:before="240" w:after="120"/>
      </w:pPr>
      <w:r>
        <w:rPr>
          <w:rFonts w:ascii="Calibri" w:hAnsi="Calibri"/>
          <w:color w:val="1F3A5F"/>
        </w:rPr>
        <w:t>9. API &amp; Configuration Surface</w:t>
      </w:r>
    </w:p>
    <w:p>
      <w:pPr>
        <w:spacing w:after="120"/>
      </w:pPr>
      <w:r>
        <w:rPr>
          <w:rFonts w:ascii="Calibri" w:hAnsi="Calibri"/>
          <w:b/>
          <w:i w:val="0"/>
          <w:sz w:val="22"/>
        </w:rPr>
        <w:t>.NET → AI service calls (Infrastructure/AI/AiServiceClient.cs):</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3A5F"/>
          </w:tcPr>
          <w:p>
            <w:r/>
            <w:r>
              <w:rPr>
                <w:b/>
                <w:color w:val="FFFFFF"/>
                <w:sz w:val="22"/>
              </w:rPr>
              <w:t>Endpoint</w:t>
            </w:r>
          </w:p>
        </w:tc>
        <w:tc>
          <w:tcPr>
            <w:tcW w:type="dxa" w:w="4968"/>
            <w:shd w:val="clear" w:color="auto" w:fill="1F3A5F"/>
          </w:tcPr>
          <w:p>
            <w:r/>
            <w:r>
              <w:rPr>
                <w:b/>
                <w:color w:val="FFFFFF"/>
                <w:sz w:val="22"/>
              </w:rPr>
              <w:t>Behavior</w:t>
            </w:r>
          </w:p>
        </w:tc>
      </w:tr>
      <w:tr>
        <w:tc>
          <w:tcPr>
            <w:tcW w:type="dxa" w:w="4968"/>
          </w:tcPr>
          <w:p>
            <w:r>
              <w:rPr>
                <w:rFonts w:ascii="Calibri" w:hAnsi="Calibri"/>
                <w:sz w:val="21"/>
              </w:rPr>
              <w:t>POST /reports/ingest</w:t>
            </w:r>
          </w:p>
        </w:tc>
        <w:tc>
          <w:tcPr>
            <w:tcW w:type="dxa" w:w="4968"/>
          </w:tcPr>
          <w:p>
            <w:r>
              <w:rPr>
                <w:rFonts w:ascii="Calibri" w:hAnsi="Calibri"/>
                <w:sz w:val="21"/>
              </w:rPr>
              <w:t>Fire-and-forget (HTTP 202). Body: { report_id, file_url }. Returns job_id.</w:t>
            </w:r>
          </w:p>
        </w:tc>
      </w:tr>
      <w:tr>
        <w:tc>
          <w:tcPr>
            <w:tcW w:type="dxa" w:w="4968"/>
          </w:tcPr>
          <w:p>
            <w:r>
              <w:rPr>
                <w:rFonts w:ascii="Calibri" w:hAnsi="Calibri"/>
                <w:sz w:val="21"/>
              </w:rPr>
              <w:t>POST /reports/translate</w:t>
            </w:r>
          </w:p>
        </w:tc>
        <w:tc>
          <w:tcPr>
            <w:tcW w:type="dxa" w:w="4968"/>
          </w:tcPr>
          <w:p>
            <w:r>
              <w:rPr>
                <w:rFonts w:ascii="Calibri" w:hAnsi="Calibri"/>
                <w:sz w:val="21"/>
              </w:rPr>
              <w:t>Synchronous. Cloud Translation v3; 1–3 min for large PDFs (timeout 300 s).</w:t>
            </w:r>
          </w:p>
        </w:tc>
      </w:tr>
      <w:tr>
        <w:tc>
          <w:tcPr>
            <w:tcW w:type="dxa" w:w="4968"/>
          </w:tcPr>
          <w:p>
            <w:r>
              <w:rPr>
                <w:rFonts w:ascii="Calibri" w:hAnsi="Calibri"/>
                <w:sz w:val="21"/>
              </w:rPr>
              <w:t>GET  /reports/jobs/{id}</w:t>
            </w:r>
          </w:p>
        </w:tc>
        <w:tc>
          <w:tcPr>
            <w:tcW w:type="dxa" w:w="4968"/>
          </w:tcPr>
          <w:p>
            <w:r>
              <w:rPr>
                <w:rFonts w:ascii="Calibri" w:hAnsi="Calibri"/>
                <w:sz w:val="21"/>
              </w:rPr>
              <w:t>Polled by ReportProcessingWorker every 5 s until terminal state.</w:t>
            </w:r>
          </w:p>
        </w:tc>
      </w:tr>
    </w:tbl>
    <w:p>
      <w:pPr>
        <w:spacing w:after="120"/>
      </w:pPr>
      <w:r>
        <w:rPr>
          <w:rFonts w:ascii="Calibri" w:hAnsi="Calibri"/>
          <w:b/>
          <w:i w:val="0"/>
          <w:sz w:val="22"/>
        </w:rPr>
        <w:t>Configuration keys (appsettings.json → AiService):</w:t>
      </w:r>
    </w:p>
    <w:tbl>
      <w:tblPr>
        <w:tblW w:type="auto" w:w="0"/>
        <w:tblLayout w:type="autofit"/>
        <w:tblLook w:firstColumn="1" w:firstRow="1" w:lastColumn="0" w:lastRow="0" w:noHBand="0" w:noVBand="1" w:val="04A0"/>
      </w:tblPr>
      <w:tblGrid>
        <w:gridCol w:w="9936"/>
      </w:tblGrid>
      <w:tr>
        <w:tc>
          <w:tcPr>
            <w:tcW w:type="dxa" w:w="9936"/>
            <w:shd w:val="clear" w:color="auto" w:fill="F4F6F8"/>
            <w:vAlign w:val="top"/>
            <w:tcMar>
              <w:top w:w="60" w:type="dxa"/>
              <w:bottom w:w="60" w:type="dxa"/>
              <w:left w:w="120" w:type="dxa"/>
              <w:right w:w="120" w:type="dxa"/>
            </w:tcMar>
          </w:tcPr>
          <w:p>
            <w:r>
              <w:rPr>
                <w:rFonts w:ascii="Consolas" w:hAnsi="Consolas"/>
                <w:color w:val="222222"/>
                <w:sz w:val="19"/>
              </w:rPr>
              <w:t>"AiService": {</w:t>
              <w:br/>
              <w:t xml:space="preserve">  "BaseUrl": "https://taqreerk-ai-service-staging-...run.app/api/ai",</w:t>
              <w:br/>
              <w:t xml:space="preserve">  "TimeoutSeconds": 300,</w:t>
              <w:br/>
              <w:t xml:space="preserve">  "WorkerPollSeconds": 5,</w:t>
              <w:br/>
              <w:t xml:space="preserve">  "TranslationOutputPrefix": "gs://taqreerk-uploads/.../translations"</w:t>
              <w:br/>
              <w:t>}</w:t>
            </w:r>
          </w:p>
        </w:tc>
      </w:tr>
    </w:tbl>
    <w:p>
      <w:pPr>
        <w:spacing w:after="120"/>
      </w:pPr>
      <w:r>
        <w:rPr>
          <w:rFonts w:ascii="Calibri" w:hAnsi="Calibri"/>
          <w:b/>
          <w:i w:val="0"/>
          <w:sz w:val="22"/>
        </w:rPr>
        <w:t>Quota gates (enforced by .NET before each enqueue):</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3A5F"/>
          </w:tcPr>
          <w:p>
            <w:r/>
            <w:r>
              <w:rPr>
                <w:b/>
                <w:color w:val="FFFFFF"/>
                <w:sz w:val="22"/>
              </w:rPr>
              <w:t>Quota</w:t>
            </w:r>
          </w:p>
        </w:tc>
        <w:tc>
          <w:tcPr>
            <w:tcW w:type="dxa" w:w="4968"/>
            <w:shd w:val="clear" w:color="auto" w:fill="1F3A5F"/>
          </w:tcPr>
          <w:p>
            <w:r/>
            <w:r>
              <w:rPr>
                <w:b/>
                <w:color w:val="FFFFFF"/>
                <w:sz w:val="22"/>
              </w:rPr>
              <w:t>Default</w:t>
            </w:r>
          </w:p>
        </w:tc>
      </w:tr>
      <w:tr>
        <w:tc>
          <w:tcPr>
            <w:tcW w:type="dxa" w:w="4968"/>
          </w:tcPr>
          <w:p>
            <w:r>
              <w:rPr>
                <w:rFonts w:ascii="Calibri" w:hAnsi="Calibri"/>
                <w:sz w:val="21"/>
              </w:rPr>
              <w:t>DailyIngestPerOrg</w:t>
            </w:r>
          </w:p>
        </w:tc>
        <w:tc>
          <w:tcPr>
            <w:tcW w:type="dxa" w:w="4968"/>
          </w:tcPr>
          <w:p>
            <w:r>
              <w:rPr>
                <w:rFonts w:ascii="Calibri" w:hAnsi="Calibri"/>
                <w:sz w:val="21"/>
              </w:rPr>
              <w:t>20</w:t>
            </w:r>
          </w:p>
        </w:tc>
      </w:tr>
      <w:tr>
        <w:tc>
          <w:tcPr>
            <w:tcW w:type="dxa" w:w="4968"/>
          </w:tcPr>
          <w:p>
            <w:r>
              <w:rPr>
                <w:rFonts w:ascii="Calibri" w:hAnsi="Calibri"/>
                <w:sz w:val="21"/>
              </w:rPr>
              <w:t>DailyTranslatePerOrg</w:t>
            </w:r>
          </w:p>
        </w:tc>
        <w:tc>
          <w:tcPr>
            <w:tcW w:type="dxa" w:w="4968"/>
          </w:tcPr>
          <w:p>
            <w:r>
              <w:rPr>
                <w:rFonts w:ascii="Calibri" w:hAnsi="Calibri"/>
                <w:sz w:val="21"/>
              </w:rPr>
              <w:t>10</w:t>
            </w:r>
          </w:p>
        </w:tc>
      </w:tr>
      <w:tr>
        <w:tc>
          <w:tcPr>
            <w:tcW w:type="dxa" w:w="4968"/>
          </w:tcPr>
          <w:p>
            <w:r>
              <w:rPr>
                <w:rFonts w:ascii="Calibri" w:hAnsi="Calibri"/>
                <w:sz w:val="21"/>
              </w:rPr>
              <w:t>DailyChatPerUser</w:t>
            </w:r>
          </w:p>
        </w:tc>
        <w:tc>
          <w:tcPr>
            <w:tcW w:type="dxa" w:w="4968"/>
          </w:tcPr>
          <w:p>
            <w:r>
              <w:rPr>
                <w:rFonts w:ascii="Calibri" w:hAnsi="Calibri"/>
                <w:sz w:val="21"/>
              </w:rPr>
              <w:t>200</w:t>
            </w:r>
          </w:p>
        </w:tc>
      </w:tr>
    </w:tbl>
    <w:p>
      <w:pPr>
        <w:pStyle w:val="Heading1"/>
        <w:spacing w:before="240" w:after="120"/>
      </w:pPr>
      <w:r>
        <w:rPr>
          <w:rFonts w:ascii="Calibri" w:hAnsi="Calibri"/>
          <w:color w:val="1F3A5F"/>
        </w:rPr>
        <w:t>10. Operational Notes</w:t>
      </w:r>
    </w:p>
    <w:p>
      <w:pPr>
        <w:pStyle w:val="ListBullet"/>
        <w:ind w:left="360"/>
      </w:pPr>
      <w:r/>
      <w:r>
        <w:rPr>
          <w:rFonts w:ascii="Calibri" w:hAnsi="Calibri"/>
          <w:b/>
          <w:sz w:val="22"/>
        </w:rPr>
        <w:t>Idempotency:</w:t>
      </w:r>
      <w:r>
        <w:rPr>
          <w:rFonts w:ascii="Calibri" w:hAnsi="Calibri"/>
          <w:sz w:val="22"/>
        </w:rPr>
        <w:t xml:space="preserve"> ingest is keyed by report_id; re-runs supersede prior chunks.</w:t>
      </w:r>
    </w:p>
    <w:p>
      <w:pPr>
        <w:pStyle w:val="ListBullet"/>
        <w:ind w:left="360"/>
      </w:pPr>
      <w:r/>
      <w:r>
        <w:rPr>
          <w:rFonts w:ascii="Calibri" w:hAnsi="Calibri"/>
          <w:b/>
          <w:sz w:val="22"/>
        </w:rPr>
        <w:t>Backpressure:</w:t>
      </w:r>
      <w:r>
        <w:rPr>
          <w:rFonts w:ascii="Calibri" w:hAnsi="Calibri"/>
          <w:sz w:val="22"/>
        </w:rPr>
        <w:t xml:space="preserve"> quotas in .NET cap per-org/per-user enqueue rate before HTTP 202.</w:t>
      </w:r>
    </w:p>
    <w:p>
      <w:pPr>
        <w:pStyle w:val="ListBullet"/>
        <w:ind w:left="360"/>
      </w:pPr>
      <w:r/>
      <w:r>
        <w:rPr>
          <w:rFonts w:ascii="Calibri" w:hAnsi="Calibri"/>
          <w:b/>
          <w:sz w:val="22"/>
        </w:rPr>
        <w:t>Failure mode:</w:t>
      </w:r>
      <w:r>
        <w:rPr>
          <w:rFonts w:ascii="Calibri" w:hAnsi="Calibri"/>
          <w:sz w:val="22"/>
        </w:rPr>
        <w:t xml:space="preserve"> AI service marks AiJob.Failed with error_message; report is not auto-retried — admin re-triggers.</w:t>
      </w:r>
    </w:p>
    <w:p>
      <w:pPr>
        <w:pStyle w:val="ListBullet"/>
        <w:ind w:left="360"/>
      </w:pPr>
      <w:r/>
      <w:r>
        <w:rPr>
          <w:rFonts w:ascii="Calibri" w:hAnsi="Calibri"/>
          <w:sz w:val="22"/>
        </w:rPr>
        <w:t>Schema migrations changing embedding model truncate report_chunks and chat_cache; reports must be re-ingested.</w:t>
      </w:r>
    </w:p>
    <w:p>
      <w:pPr>
        <w:pStyle w:val="ListBullet"/>
        <w:ind w:left="360"/>
      </w:pPr>
      <w:r/>
      <w:r>
        <w:rPr>
          <w:rFonts w:ascii="Calibri" w:hAnsi="Calibri"/>
          <w:sz w:val="22"/>
        </w:rPr>
        <w:t>All retrieval is report-scoped — multi-tenant isolation is structural, not a query filter that can be forgotten.</w:t>
      </w:r>
    </w:p>
    <w:p>
      <w:pPr>
        <w:pStyle w:val="Heading1"/>
        <w:spacing w:before="240" w:after="120"/>
      </w:pPr>
      <w:r>
        <w:rPr>
          <w:rFonts w:ascii="Calibri" w:hAnsi="Calibri"/>
          <w:color w:val="1F3A5F"/>
        </w:rPr>
        <w:t>11. Key Source Files</w:t>
      </w:r>
    </w:p>
    <w:tbl>
      <w:tblPr>
        <w:tblStyle w:val="LightGrid-Accent1"/>
        <w:tblW w:type="auto" w:w="0"/>
        <w:tblLook w:firstColumn="1" w:firstRow="1" w:lastColumn="0" w:lastRow="0" w:noHBand="0" w:noVBand="1" w:val="04A0"/>
      </w:tblPr>
      <w:tblGrid>
        <w:gridCol w:w="4968"/>
        <w:gridCol w:w="4968"/>
      </w:tblGrid>
      <w:tr>
        <w:tc>
          <w:tcPr>
            <w:tcW w:type="dxa" w:w="4968"/>
            <w:shd w:val="clear" w:color="auto" w:fill="1F3A5F"/>
          </w:tcPr>
          <w:p>
            <w:r/>
            <w:r>
              <w:rPr>
                <w:b/>
                <w:color w:val="FFFFFF"/>
                <w:sz w:val="22"/>
              </w:rPr>
              <w:t>File</w:t>
            </w:r>
          </w:p>
        </w:tc>
        <w:tc>
          <w:tcPr>
            <w:tcW w:type="dxa" w:w="4968"/>
            <w:shd w:val="clear" w:color="auto" w:fill="1F3A5F"/>
          </w:tcPr>
          <w:p>
            <w:r/>
            <w:r>
              <w:rPr>
                <w:b/>
                <w:color w:val="FFFFFF"/>
                <w:sz w:val="22"/>
              </w:rPr>
              <w:t>Role</w:t>
            </w:r>
          </w:p>
        </w:tc>
      </w:tr>
      <w:tr>
        <w:tc>
          <w:tcPr>
            <w:tcW w:type="dxa" w:w="4968"/>
          </w:tcPr>
          <w:p>
            <w:r>
              <w:rPr>
                <w:rFonts w:ascii="Calibri" w:hAnsi="Calibri"/>
                <w:sz w:val="21"/>
              </w:rPr>
              <w:t>Application/Services/ReportAiService.cs</w:t>
            </w:r>
          </w:p>
        </w:tc>
        <w:tc>
          <w:tcPr>
            <w:tcW w:type="dxa" w:w="4968"/>
          </w:tcPr>
          <w:p>
            <w:r>
              <w:rPr>
                <w:rFonts w:ascii="Calibri" w:hAnsi="Calibri"/>
                <w:sz w:val="21"/>
              </w:rPr>
              <w:t>Enqueues ingest/translate; wraps the HTTP client.</w:t>
            </w:r>
          </w:p>
        </w:tc>
      </w:tr>
      <w:tr>
        <w:tc>
          <w:tcPr>
            <w:tcW w:type="dxa" w:w="4968"/>
          </w:tcPr>
          <w:p>
            <w:r>
              <w:rPr>
                <w:rFonts w:ascii="Calibri" w:hAnsi="Calibri"/>
                <w:sz w:val="21"/>
              </w:rPr>
              <w:t>Infrastructure/AI/AiServiceClient.cs</w:t>
            </w:r>
          </w:p>
        </w:tc>
        <w:tc>
          <w:tcPr>
            <w:tcW w:type="dxa" w:w="4968"/>
          </w:tcPr>
          <w:p>
            <w:r>
              <w:rPr>
                <w:rFonts w:ascii="Calibri" w:hAnsi="Calibri"/>
                <w:sz w:val="21"/>
              </w:rPr>
              <w:t>Typed HttpClient: ingest, translate, job polling.</w:t>
            </w:r>
          </w:p>
        </w:tc>
      </w:tr>
      <w:tr>
        <w:tc>
          <w:tcPr>
            <w:tcW w:type="dxa" w:w="4968"/>
          </w:tcPr>
          <w:p>
            <w:r>
              <w:rPr>
                <w:rFonts w:ascii="Calibri" w:hAnsi="Calibri"/>
                <w:sz w:val="21"/>
              </w:rPr>
              <w:t>Application/Workers/ReportProcessingWorker.cs</w:t>
            </w:r>
          </w:p>
        </w:tc>
        <w:tc>
          <w:tcPr>
            <w:tcW w:type="dxa" w:w="4968"/>
          </w:tcPr>
          <w:p>
            <w:r>
              <w:rPr>
                <w:rFonts w:ascii="Calibri" w:hAnsi="Calibri"/>
                <w:sz w:val="21"/>
              </w:rPr>
              <w:t>Polls AI jobs, advances Report.Status.</w:t>
            </w:r>
          </w:p>
        </w:tc>
      </w:tr>
      <w:tr>
        <w:tc>
          <w:tcPr>
            <w:tcW w:type="dxa" w:w="4968"/>
          </w:tcPr>
          <w:p>
            <w:r>
              <w:rPr>
                <w:rFonts w:ascii="Calibri" w:hAnsi="Calibri"/>
                <w:sz w:val="21"/>
              </w:rPr>
              <w:t>Domain/Entities/ReportChunk.cs</w:t>
            </w:r>
          </w:p>
        </w:tc>
        <w:tc>
          <w:tcPr>
            <w:tcW w:type="dxa" w:w="4968"/>
          </w:tcPr>
          <w:p>
            <w:r>
              <w:rPr>
                <w:rFonts w:ascii="Calibri" w:hAnsi="Calibri"/>
                <w:sz w:val="21"/>
              </w:rPr>
              <w:t>Per-page chunk with embedding + tsvector + metadata.</w:t>
            </w:r>
          </w:p>
        </w:tc>
      </w:tr>
      <w:tr>
        <w:tc>
          <w:tcPr>
            <w:tcW w:type="dxa" w:w="4968"/>
          </w:tcPr>
          <w:p>
            <w:r>
              <w:rPr>
                <w:rFonts w:ascii="Calibri" w:hAnsi="Calibri"/>
                <w:sz w:val="21"/>
              </w:rPr>
              <w:t>Domain/Entities/AiJob.cs</w:t>
            </w:r>
          </w:p>
        </w:tc>
        <w:tc>
          <w:tcPr>
            <w:tcW w:type="dxa" w:w="4968"/>
          </w:tcPr>
          <w:p>
            <w:r>
              <w:rPr>
                <w:rFonts w:ascii="Calibri" w:hAnsi="Calibri"/>
                <w:sz w:val="21"/>
              </w:rPr>
              <w:t>Lifecycle of an AI task (Pending → Processing → Completed/Failed).</w:t>
            </w:r>
          </w:p>
        </w:tc>
      </w:tr>
      <w:tr>
        <w:tc>
          <w:tcPr>
            <w:tcW w:type="dxa" w:w="4968"/>
          </w:tcPr>
          <w:p>
            <w:r>
              <w:rPr>
                <w:rFonts w:ascii="Calibri" w:hAnsi="Calibri"/>
                <w:sz w:val="21"/>
              </w:rPr>
              <w:t>Domain/Entities/ChatSession.cs / ChatMessage.cs</w:t>
            </w:r>
          </w:p>
        </w:tc>
        <w:tc>
          <w:tcPr>
            <w:tcW w:type="dxa" w:w="4968"/>
          </w:tcPr>
          <w:p>
            <w:r>
              <w:rPr>
                <w:rFonts w:ascii="Calibri" w:hAnsi="Calibri"/>
                <w:sz w:val="21"/>
              </w:rPr>
              <w:t>Persisted chat history with SourcePages citations.</w:t>
            </w:r>
          </w:p>
        </w:tc>
      </w:tr>
      <w:tr>
        <w:tc>
          <w:tcPr>
            <w:tcW w:type="dxa" w:w="4968"/>
          </w:tcPr>
          <w:p>
            <w:r>
              <w:rPr>
                <w:rFonts w:ascii="Calibri" w:hAnsi="Calibri"/>
                <w:sz w:val="21"/>
              </w:rPr>
              <w:t>Infrastructure/Data/Migrations/2026042900*_*Chunks*.cs</w:t>
            </w:r>
          </w:p>
        </w:tc>
        <w:tc>
          <w:tcPr>
            <w:tcW w:type="dxa" w:w="4968"/>
          </w:tcPr>
          <w:p>
            <w:r>
              <w:rPr>
                <w:rFonts w:ascii="Calibri" w:hAnsi="Calibri"/>
                <w:sz w:val="21"/>
              </w:rPr>
              <w:t>Chunk schema + chat_cache + dimension migrations.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