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180D9" w14:textId="044DA492" w:rsidR="00137F2F" w:rsidRPr="00235798" w:rsidRDefault="00137F2F" w:rsidP="00137F2F">
      <w:pPr>
        <w:pStyle w:val="Title"/>
      </w:pPr>
      <w:bookmarkStart w:id="0" w:name="_Hlk510254572"/>
      <w:r w:rsidRPr="00235798">
        <w:t>Project Proposal Word Draft</w:t>
      </w:r>
    </w:p>
    <w:p w14:paraId="6F67E2FE" w14:textId="77777777" w:rsidR="00137F2F" w:rsidRDefault="00137F2F" w:rsidP="00137F2F">
      <w:pPr>
        <w:suppressLineNumbers/>
        <w:spacing w:line="259" w:lineRule="auto"/>
        <w:jc w:val="center"/>
      </w:pPr>
      <w:r>
        <w:t>Samuel A Welch</w:t>
      </w:r>
    </w:p>
    <w:bookmarkEnd w:id="0"/>
    <w:p w14:paraId="7786D694" w14:textId="77777777" w:rsidR="00F30119" w:rsidRDefault="00F30119" w:rsidP="00137F2F">
      <w:pPr>
        <w:suppressLineNumbers/>
        <w:spacing w:line="259" w:lineRule="auto"/>
        <w:jc w:val="center"/>
      </w:pPr>
      <w:r>
        <w:t>Supervisor: Dr Emma Ransome</w:t>
      </w:r>
    </w:p>
    <w:p w14:paraId="0299A442" w14:textId="41DCEC50" w:rsidR="00F30119" w:rsidRDefault="003745EA" w:rsidP="00137F2F">
      <w:pPr>
        <w:suppressLineNumbers/>
        <w:spacing w:line="259" w:lineRule="auto"/>
        <w:jc w:val="center"/>
      </w:pPr>
      <w:hyperlink r:id="rId6" w:history="1">
        <w:r w:rsidRPr="003B2217">
          <w:rPr>
            <w:rStyle w:val="Hyperlink"/>
          </w:rPr>
          <w:t>e.ransome@imperial.ac.uk</w:t>
        </w:r>
      </w:hyperlink>
    </w:p>
    <w:p w14:paraId="6E48615B" w14:textId="77777777" w:rsidR="00F30119" w:rsidRDefault="00F30119" w:rsidP="003745EA">
      <w:pPr>
        <w:suppressLineNumbers/>
        <w:spacing w:line="259" w:lineRule="auto"/>
      </w:pPr>
    </w:p>
    <w:p w14:paraId="79D36E55" w14:textId="77777777" w:rsidR="00F30119" w:rsidRDefault="00F30119" w:rsidP="00137F2F">
      <w:pPr>
        <w:suppressLineNumbers/>
        <w:spacing w:line="259" w:lineRule="auto"/>
        <w:jc w:val="center"/>
      </w:pPr>
      <w:r>
        <w:t>Imperial College Campus</w:t>
      </w:r>
    </w:p>
    <w:p w14:paraId="1945F25A" w14:textId="77777777" w:rsidR="00F30119" w:rsidRDefault="00F30119" w:rsidP="00137F2F">
      <w:pPr>
        <w:suppressLineNumbers/>
        <w:spacing w:line="259" w:lineRule="auto"/>
        <w:jc w:val="center"/>
      </w:pPr>
      <w:proofErr w:type="spellStart"/>
      <w:r>
        <w:t>Silwood</w:t>
      </w:r>
      <w:proofErr w:type="spellEnd"/>
      <w:r>
        <w:t xml:space="preserve"> Park</w:t>
      </w:r>
    </w:p>
    <w:p w14:paraId="32802959" w14:textId="77777777" w:rsidR="00F30119" w:rsidRDefault="00F30119" w:rsidP="00137F2F">
      <w:pPr>
        <w:suppressLineNumbers/>
        <w:spacing w:line="259" w:lineRule="auto"/>
        <w:jc w:val="center"/>
      </w:pPr>
      <w:r>
        <w:t>Buckhurst Road</w:t>
      </w:r>
    </w:p>
    <w:p w14:paraId="556B4619" w14:textId="77777777" w:rsidR="00F30119" w:rsidRDefault="00F30119" w:rsidP="00137F2F">
      <w:pPr>
        <w:suppressLineNumbers/>
        <w:spacing w:line="259" w:lineRule="auto"/>
        <w:jc w:val="center"/>
      </w:pPr>
      <w:r>
        <w:t>Ascot</w:t>
      </w:r>
    </w:p>
    <w:p w14:paraId="22A4E62A" w14:textId="77777777" w:rsidR="00F30119" w:rsidRDefault="00F30119" w:rsidP="00137F2F">
      <w:pPr>
        <w:suppressLineNumbers/>
        <w:spacing w:line="259" w:lineRule="auto"/>
        <w:jc w:val="center"/>
      </w:pPr>
      <w:r>
        <w:t>SL5 7PY</w:t>
      </w:r>
    </w:p>
    <w:p w14:paraId="26EA88F3" w14:textId="77777777" w:rsidR="00F30119" w:rsidRDefault="00F30119" w:rsidP="00137F2F">
      <w:pPr>
        <w:suppressLineNumbers/>
        <w:spacing w:line="259" w:lineRule="auto"/>
        <w:jc w:val="center"/>
      </w:pPr>
    </w:p>
    <w:p w14:paraId="6DA49D86" w14:textId="77777777" w:rsidR="00F30119" w:rsidRDefault="00F30119" w:rsidP="00137F2F">
      <w:pPr>
        <w:suppressLineNumbers/>
        <w:spacing w:line="259" w:lineRule="auto"/>
        <w:jc w:val="center"/>
      </w:pPr>
    </w:p>
    <w:p w14:paraId="76D309CA" w14:textId="67D21B50" w:rsidR="00137F2F" w:rsidRDefault="00137F2F" w:rsidP="00137F2F">
      <w:pPr>
        <w:suppressLineNumbers/>
        <w:spacing w:line="259" w:lineRule="auto"/>
        <w:jc w:val="center"/>
        <w:rPr>
          <w:b/>
        </w:rPr>
      </w:pPr>
      <w:r>
        <w:br w:type="page"/>
      </w:r>
    </w:p>
    <w:p w14:paraId="20487138" w14:textId="4B4D10D2" w:rsidR="00235798" w:rsidRDefault="00235798" w:rsidP="00BD3058">
      <w:pPr>
        <w:pStyle w:val="Heading1"/>
      </w:pPr>
      <w:r w:rsidRPr="00235798">
        <w:lastRenderedPageBreak/>
        <w:t>Keywords</w:t>
      </w:r>
    </w:p>
    <w:p w14:paraId="668B16E3" w14:textId="1E76C0AA" w:rsidR="00235798" w:rsidRPr="00235798" w:rsidRDefault="00235798" w:rsidP="00BD3058">
      <w:r>
        <w:t xml:space="preserve">Bacterial, aquatic, multiple stressors, </w:t>
      </w:r>
      <w:r w:rsidR="00483DDE">
        <w:t>pollution, community ecology, honking great robots</w:t>
      </w:r>
    </w:p>
    <w:p w14:paraId="3B14DE4D" w14:textId="12254FB2" w:rsidR="00235798" w:rsidRDefault="00235798" w:rsidP="00BD3058">
      <w:pPr>
        <w:pStyle w:val="Heading1"/>
      </w:pPr>
      <w:r w:rsidRPr="00235798">
        <w:t>Project Introduction</w:t>
      </w:r>
    </w:p>
    <w:p w14:paraId="3E7DDD1B" w14:textId="5EFC984B" w:rsidR="00176BEC" w:rsidRDefault="00367846" w:rsidP="00BD3058">
      <w:r>
        <w:t xml:space="preserve">It is well known that anthropogenic climate change </w:t>
      </w:r>
      <w:r w:rsidR="00E53CCF">
        <w:t>– a predicted average increase of 2</w:t>
      </w:r>
      <w:r w:rsidR="00E53CCF">
        <w:rPr>
          <w:rFonts w:ascii="Calibri" w:hAnsi="Calibri"/>
        </w:rPr>
        <w:t>°</w:t>
      </w:r>
      <w:r w:rsidR="00E53CCF">
        <w:t>C by the end of the 21</w:t>
      </w:r>
      <w:r w:rsidR="00E53CCF" w:rsidRPr="00E53CCF">
        <w:rPr>
          <w:vertAlign w:val="superscript"/>
        </w:rPr>
        <w:t>st</w:t>
      </w:r>
      <w:r w:rsidR="00E53CCF">
        <w:t xml:space="preserve"> century </w:t>
      </w:r>
      <w:r w:rsidR="00E53CCF">
        <w:fldChar w:fldCharType="begin" w:fldLock="1"/>
      </w:r>
      <w:r w:rsidR="00BB0413">
        <w:instrText>ADDIN CSL_CITATION { "citationItems" : [ { "id" : "ITEM-1", "itemData" : { "DOI" : "10.1017/CBO9781107415324", "ISBN" : "9781107661820", "ISSN" : "1476-4687", "PMID" : "17429376", "abstract" : "This Synthesis Report is based on the reports of the three Working Groups of the Intergovernmental Panel on Climate Change (IPCC), including relevant Special Reports. It provides an integrated view of climate change as the final part of the IPCC\u2019s Fifth Assessment Report (AR5). This summary follows the structure of the longer report which addresses the following topics: Observed changes and their causes; Future climate change, risks and impacts; Future pathways for adaptation, mitigation and sustainable development; Adaptation and mitigation. In the Synthesis Report, the certainty in key assessment findings is communicated as in the Working Group Reports and Special Reports. It is based on the author teams\u2019 evaluations of underlying scientific understanding and is expressed as a qualitative level of confidence (from very low to very high) and, when possible, probabilistically with a quantified likelihood (from exceptionally unlikely to virtually certain)1 . Where appropriate, findings are also formulated as statements of fact with- out using uncertainty qualifiers. This report includes information relevant to Article 2 of the United Nations Framework Convention on Climate Change (UNFCCC)", "author" : [ { "dropping-particle" : "", "family" : "IPCC", "given" : "", "non-dropping-particle" : "", "parse-names" : false, "suffix" : "" } ], "id" : "ITEM-1", "issued" : { "date-parts" : [ [ "2014" ] ] }, "number-of-pages" : "31", "title" : "Climate Change 2014 Synthesis Report Summary Chapter for Policymakers", "type" : "report" }, "uris" : [ "http://www.mendeley.com/documents/?uuid=173b24e2-98c3-3ce2-8da5-d0874c8c7b7e" ] } ], "mendeley" : { "formattedCitation" : "(IPCC, 2014b)", "plainTextFormattedCitation" : "(IPCC, 2014b)", "previouslyFormattedCitation" : "(IPCC, 2014b)" }, "properties" : {  }, "schema" : "https://github.com/citation-style-language/schema/raw/master/csl-citation.json" }</w:instrText>
      </w:r>
      <w:r w:rsidR="00E53CCF">
        <w:fldChar w:fldCharType="separate"/>
      </w:r>
      <w:r w:rsidR="00BB0413" w:rsidRPr="00BB0413">
        <w:rPr>
          <w:noProof/>
        </w:rPr>
        <w:t>(IPCC, 2014b)</w:t>
      </w:r>
      <w:r w:rsidR="00E53CCF">
        <w:fldChar w:fldCharType="end"/>
      </w:r>
      <w:r w:rsidR="00E53CCF">
        <w:t xml:space="preserve"> – will affect ecosystems around the world at all levels. </w:t>
      </w:r>
      <w:r w:rsidR="0064544F">
        <w:t xml:space="preserve">Despite the apparently simplicity of this prediction, it has proved difficult to generalise how ecosystems will respond to changes in temperatures, particularly when taking into account their simultaneous interaction with </w:t>
      </w:r>
      <w:r w:rsidR="00BB0413">
        <w:t xml:space="preserve">hundreds of other stressors </w:t>
      </w:r>
      <w:r w:rsidR="00BB0413">
        <w:fldChar w:fldCharType="begin" w:fldLock="1"/>
      </w:r>
      <w:r w:rsidR="00BB0413">
        <w:instrText>ADDIN CSL_CITATION { "citationItems" : [ { "id" : "ITEM-1", "itemData" : { "DOI" : "10.1016/j.renene.2009.11.012", "ISBN" : "9781139177245", "ISSN" : "09601481", "PMID" : "12515354", "abstract" : "The Working Group III Special Report on Renewable Energy Sources and Climate Change Mitigation (SRREN) presents an assessment of the literature on the scientific, technological, environmental, economic and social aspects of the contribution of six renewable energy (RE) sources to the mitigation of climate change. It is intended to provide policy relevant information to governments, intergovernmental processes and other interested parties. This Summary for Policymakers provides an overview of the SRREN, summarizing the essential findings.", "author" : [ { "dropping-particle" : "", "family" : "IPCC", "given" : "", "non-dropping-particle" : "", "parse-names" : false, "suffix" : "" } ], "id" : "ITEM-1", "issued" : { "date-parts" : [ [ "2014" ] ] }, "number-of-pages" : "1-32", "publisher" : "Cambridge University Press", "title" : "Climate Change 2014: Impacts, Adaptation and Vulnerability - Contributions of the Working Group II to the Fifth Assessment Report", "type" : "report" }, "uris" : [ "http://www.mendeley.com/documents/?uuid=49180ad6-67df-3a05-8fff-1ee2fdf322df" ] } ], "mendeley" : { "formattedCitation" : "(IPCC, 2014a)", "plainTextFormattedCitation" : "(IPCC, 2014a)", "previouslyFormattedCitation" : "(IPCC, 2014a)" }, "properties" : {  }, "schema" : "https://github.com/citation-style-language/schema/raw/master/csl-citation.json" }</w:instrText>
      </w:r>
      <w:r w:rsidR="00BB0413">
        <w:fldChar w:fldCharType="separate"/>
      </w:r>
      <w:r w:rsidR="00BB0413" w:rsidRPr="00BB0413">
        <w:rPr>
          <w:noProof/>
        </w:rPr>
        <w:t>(IPCC, 2014a)</w:t>
      </w:r>
      <w:r w:rsidR="00BB0413">
        <w:fldChar w:fldCharType="end"/>
      </w:r>
      <w:r w:rsidR="00A7146C">
        <w:t>.</w:t>
      </w:r>
    </w:p>
    <w:p w14:paraId="1B6B4C04" w14:textId="592C63CC" w:rsidR="00A7146C" w:rsidRDefault="00A7146C" w:rsidP="00BD3058">
      <w:r>
        <w:t xml:space="preserve">Freshwater ecosystems </w:t>
      </w:r>
      <w:r w:rsidR="00B709E3">
        <w:t xml:space="preserve">are likely to prove a crucial but vulnerable aspect of this issue in the coming decades, due to their near-universal importance to humans and wildlife alike. </w:t>
      </w:r>
      <w:r w:rsidR="008F624C">
        <w:t xml:space="preserve">In particular, initial experimentation on freshwater ecosystems has shown that protracted exposure to heat can alter ecosystems considerably, increasing the prevalence of smaller organisms, reducing standing biomass, and increasing turnover rates </w:t>
      </w:r>
      <w:r w:rsidR="008F624C">
        <w:fldChar w:fldCharType="begin" w:fldLock="1"/>
      </w:r>
      <w:r w:rsidR="008F624C">
        <w:instrText>ADDIN CSL_CITATION { "citationItems" : [ { "id" : "ITEM-1", "itemData" : { "DOI" : "10.1111/j.1365-2486.2010.02321.x", "ISBN" : "1354-1013", "ISSN" : "13541013", "abstract" : "Organism size is one of the key determinants of community structure, and its relationship with abundance can describe how biomass is partitioned among the biota within an ecosystem. An outdoor freshwater mesocosm experiment was used to determine how warming of ?4 1C would affect the size, biomass and taxonomic structure of planktonic communities. Warming increased the steepness of the community size spectrum by increasing the prevalence of small organisms, primarily within the phytoplankton assemblage and it also reduced the mean and maximum size of phytoplankton by approximately one order of magnitude. The observed shifts in phytoplankton size structure were reflected in changes in phytoplankton community composition, though zooplankton taxonomic composition was unaffected by warming. Furthermore, warming reduced community biomass and total phytoplank- ton biomass, although zooplankton biomass was unaffected. This resulted in an increase in the zooplankton to phytoplankton biomass ratio in the warmed mesocosms, which could be explained by faster turnover within the phytoplankton assemblages. Overall, warming shifted the distribution of phytoplankton size towards smaller individuals with rapid turnover and low standing biomass, resulting in a reorganization of the biomass structure of the food webs. These results indicate future environmental warming may have profound effects on the structure and functioning of aquatic communities and ecosystems.", "author" : [ { "dropping-particle" : "", "family" : "Yvon-Durocher", "given" : "Gabriel", "non-dropping-particle" : "", "parse-names" : false, "suffix" : "" }, { "dropping-particle" : "", "family" : "Montoya", "given" : "Jos\u00e9 M.", "non-dropping-particle" : "", "parse-names" : false, "suffix" : "" }, { "dropping-particle" : "", "family" : "Trimmer", "given" : "Mark", "non-dropping-particle" : "", "parse-names" : false, "suffix" : "" }, { "dropping-particle" : "", "family" : "Woodward", "given" : "Guy", "non-dropping-particle" : "", "parse-names" : false, "suffix" : "" } ], "container-title" : "Global Change Biology", "id" : "ITEM-1", "issue" : "4", "issued" : { "date-parts" : [ [ "2011" ] ] }, "page" : "1681-1694", "title" : "Warming alters the size spectrum and shifts the distribution of biomass in freshwater ecosystems", "type" : "article-journal", "volume" : "17" }, "uris" : [ "http://www.mendeley.com/documents/?uuid=376e9538-73d1-4533-925d-3922bd5abb2b" ] } ], "mendeley" : { "formattedCitation" : "(Yvon-Durocher &lt;i&gt;et al.&lt;/i&gt;, 2011)", "plainTextFormattedCitation" : "(Yvon-Durocher et al., 2011)", "previouslyFormattedCitation" : "(Yvon-Durocher &lt;i&gt;et al.&lt;/i&gt;, 2011)" }, "properties" : {  }, "schema" : "https://github.com/citation-style-language/schema/raw/master/csl-citation.json" }</w:instrText>
      </w:r>
      <w:r w:rsidR="008F624C">
        <w:fldChar w:fldCharType="separate"/>
      </w:r>
      <w:r w:rsidR="008F624C" w:rsidRPr="008F624C">
        <w:rPr>
          <w:noProof/>
        </w:rPr>
        <w:t xml:space="preserve">(Yvon-Durocher </w:t>
      </w:r>
      <w:r w:rsidR="008F624C" w:rsidRPr="008F624C">
        <w:rPr>
          <w:i/>
          <w:noProof/>
        </w:rPr>
        <w:t>et al.</w:t>
      </w:r>
      <w:r w:rsidR="008F624C" w:rsidRPr="008F624C">
        <w:rPr>
          <w:noProof/>
        </w:rPr>
        <w:t>, 2011)</w:t>
      </w:r>
      <w:r w:rsidR="008F624C">
        <w:fldChar w:fldCharType="end"/>
      </w:r>
      <w:r w:rsidR="008F624C">
        <w:t xml:space="preserve">. </w:t>
      </w:r>
      <w:r w:rsidR="00B709E3">
        <w:t xml:space="preserve">However, </w:t>
      </w:r>
      <w:r w:rsidR="008F624C">
        <w:t xml:space="preserve">applying this kind of knowledge to make more general </w:t>
      </w:r>
      <w:r w:rsidR="00896F85">
        <w:t>predictions about the future of freshwater ecosystems is difficult, and research on the interaction between temperature and specific stressors is needed to tease apart community responses.</w:t>
      </w:r>
      <w:r w:rsidR="008F624C">
        <w:t xml:space="preserve"> </w:t>
      </w:r>
    </w:p>
    <w:p w14:paraId="7E69DFD1" w14:textId="59051F13" w:rsidR="00A365C3" w:rsidRDefault="00B64217" w:rsidP="00BD3058">
      <w:r>
        <w:t>A natural laborat</w:t>
      </w:r>
      <w:r w:rsidR="008507A2">
        <w:t>o</w:t>
      </w:r>
      <w:r>
        <w:t>ry of sorts for the study of</w:t>
      </w:r>
      <w:r w:rsidR="008507A2">
        <w:t xml:space="preserve"> bacterial responses to temperature increases can be found in Iceland’s many volcanically-heated springs.</w:t>
      </w:r>
      <w:r w:rsidR="001548B8">
        <w:t xml:space="preserve"> Samples of bacterial communities taken from these springs have experienced long-term exposure to elevated temperatures between about 5 and 5</w:t>
      </w:r>
      <w:r w:rsidR="001548B8" w:rsidRPr="001548B8">
        <w:t>0°</w:t>
      </w:r>
      <w:r w:rsidR="001548B8">
        <w:t xml:space="preserve">C over long periods of time. By exposing </w:t>
      </w:r>
      <w:r w:rsidR="00A365C3">
        <w:t>different temperature-adapted communities of bacteria, as well as a mixture of hot and hold adapted bacteria, to different temperature treatments and stressors we hope to assess how bacterial communities will respond to stress under future warming scenarios.</w:t>
      </w:r>
    </w:p>
    <w:p w14:paraId="794AF6F8" w14:textId="53B730A1" w:rsidR="00235798" w:rsidRDefault="00235798" w:rsidP="00BD3058">
      <w:pPr>
        <w:pStyle w:val="Heading1"/>
      </w:pPr>
      <w:r w:rsidRPr="00235798">
        <w:t>Proposed Methods</w:t>
      </w:r>
    </w:p>
    <w:p w14:paraId="35D171BF" w14:textId="62E318C5" w:rsidR="003745EA" w:rsidRPr="003745EA" w:rsidRDefault="003745EA" w:rsidP="003745EA">
      <w:pPr>
        <w:rPr>
          <w:u w:val="single"/>
        </w:rPr>
      </w:pPr>
      <w:r>
        <w:rPr>
          <w:u w:val="single"/>
        </w:rPr>
        <w:t>Initial Investigation</w:t>
      </w:r>
    </w:p>
    <w:p w14:paraId="276BB3A5" w14:textId="10C37843" w:rsidR="002F7E73" w:rsidRDefault="002F7E73" w:rsidP="002F7E73">
      <w:r>
        <w:t xml:space="preserve">In order to keep lab workload within reasonable bounds for an MSc thesis, this project proposes to use a somewhat limited set of environmental </w:t>
      </w:r>
      <w:r w:rsidR="00E9610E">
        <w:t>conditions</w:t>
      </w:r>
      <w:r>
        <w:t xml:space="preserve">. </w:t>
      </w:r>
      <w:r w:rsidR="00E9610E">
        <w:t>Iceland-sourced</w:t>
      </w:r>
      <w:r>
        <w:t xml:space="preserve"> </w:t>
      </w:r>
      <w:r w:rsidR="00E9610E">
        <w:t>isolates from across temperature gradients will be classified into those with cold or warm life histories, and a third experimental group produced from a mixture of the prior two.</w:t>
      </w:r>
      <w:r w:rsidR="00C26CA5">
        <w:t xml:space="preserve"> These communities will then be cultured (?) using an RDP method that I don’t </w:t>
      </w:r>
      <w:r w:rsidR="00A94CE2">
        <w:t>understand, and</w:t>
      </w:r>
      <w:r w:rsidR="00C26CA5">
        <w:t xml:space="preserve"> can’t find info on anywhere online</w:t>
      </w:r>
      <w:r w:rsidR="001A69BF">
        <w:t xml:space="preserve"> – first row of a plate will have 8 wells of 1 sp., then 7 of 2, and 6 of 3, right up to 1 of 8. </w:t>
      </w:r>
    </w:p>
    <w:p w14:paraId="34D21553" w14:textId="4326E238" w:rsidR="00E9610E" w:rsidRDefault="00A94CE2" w:rsidP="002F7E73">
      <w:r>
        <w:lastRenderedPageBreak/>
        <w:t>Identical communities will then be exposed to various combinations of three stressors: temperature, in the form of cold treatments, warm treatments, and both of the above plus an ‘extreme event’, and variously no additional stressors, additional stressors 2, 3, or 2 and 3 in combination.</w:t>
      </w:r>
    </w:p>
    <w:p w14:paraId="45C154E3" w14:textId="5CCF5FA3" w:rsidR="003745EA" w:rsidRPr="003745EA" w:rsidRDefault="003745EA" w:rsidP="002F7E73">
      <w:pPr>
        <w:rPr>
          <w:u w:val="single"/>
        </w:rPr>
      </w:pPr>
      <w:r>
        <w:rPr>
          <w:u w:val="single"/>
        </w:rPr>
        <w:t>Follow-up Studies</w:t>
      </w:r>
    </w:p>
    <w:p w14:paraId="1B288716" w14:textId="08614BA6" w:rsidR="00067ECC" w:rsidRDefault="003745EA" w:rsidP="002F7E73">
      <w:bookmarkStart w:id="1" w:name="_GoBack"/>
      <w:r>
        <w:t>Nutrient-mediated stress?</w:t>
      </w:r>
    </w:p>
    <w:p w14:paraId="1C3AAB6A" w14:textId="56CA68BB" w:rsidR="00376599" w:rsidRPr="00656C69" w:rsidRDefault="00791610" w:rsidP="004A2448">
      <w:pPr>
        <w:pStyle w:val="ListParagraph"/>
        <w:numPr>
          <w:ilvl w:val="0"/>
          <w:numId w:val="5"/>
        </w:numPr>
      </w:pPr>
      <w:r>
        <w:t xml:space="preserve">Plan to use </w:t>
      </w:r>
      <w:r>
        <w:fldChar w:fldCharType="begin" w:fldLock="1"/>
      </w:r>
      <w:r>
        <w:instrText>ADDIN CSL_CITATION { "citationItems" : [ { "id" : "ITEM-1", "itemData" : { "DOI" : "10.1111/gcb.13852", "ISSN" : "13652486", "PMID" : "28752533", "abstract" : "Ecological stressors (i.e. environmental factors outside their normal range of variation) can mediate each other through their interactions, leading to unexpected combined effects on communities. Determining whether the net effect of stressors is ecologically surprising requires comparing their cumulative impact to a null model that represents the linear combination of their individual effects (i.e. an additive expectation). However, we show that standard additive and multiplicative null models that base their predictions on the effects of single stressors on community properties (e.g. species richness or biomass) do not provide this linear expectation, leading to incorrect interpretations of antagonistic and synergistic responses by communities. We present an alternative, the compositional null model, which instead bases its predictions on the effects of stressors on individual species, and then aggregates them to the community level. Simulations demonstrate the improved ability of the compositional null model to accurately provide a linear expectation of the net effect of stressors. We simulate the response of communities to paired stressors that affect species in a purely additive fashion and compare the relative abilities of the compositional null model and two standard community property null models (additive and multiplicative) to predict these linear changes in species richness and community biomass across different combinations (both positive, negative, or opposite) and intensities of stressors. The compositional model predicts the linear effects of multiple stressors under almost all scenarios, allowing for proper classification of net effects, whereas the standard null models do not. Our findings suggest that current estimates of the prevalence of ecological surprises on communities based on community property null models are unreliable, and should be improved by integrating the responses of individual species to the community level as does our compositional null model. This article is protected by copyright. All rights reserved. ", "author" : [ { "dropping-particle" : "", "family" : "Thompson", "given" : "Patrick L.", "non-dropping-particle" : "", "parse-names" : false, "suffix" : "" }, { "dropping-particle" : "", "family" : "MacLennan", "given" : "Megan M.", "non-dropping-particle" : "", "parse-names" : false, "suffix" : "" }, { "dropping-particle" : "", "family" : "Vinebrooke", "given" : "Rolf D.", "non-dropping-particle" : "", "parse-names" : false, "suffix" : "" } ], "container-title" : "Global Change Biology", "id" : "ITEM-1", "issue" : "1", "issued" : { "date-parts" : [ [ "2018" ] ] }, "page" : "517-525", "title" : "An improved null model for assessing the net effects of multiple stressors on communities", "type" : "article-journal", "volume" : "24" }, "uris" : [ "http://www.mendeley.com/documents/?uuid=d4862960-0b43-49ec-979a-9fbb158af17e" ] } ], "mendeley" : { "formattedCitation" : "(Thompson, MacLennan and Vinebrooke, 2018)", "plainTextFormattedCitation" : "(Thompson, MacLennan and Vinebrooke, 2018)", "previouslyFormattedCitation" : "(Thompson, MacLennan and Vinebrooke, 2018)" }, "properties" : {  }, "schema" : "https://github.com/citation-style-language/schema/raw/master/csl-citation.json" }</w:instrText>
      </w:r>
      <w:r>
        <w:fldChar w:fldCharType="separate"/>
      </w:r>
      <w:r w:rsidRPr="00791610">
        <w:rPr>
          <w:noProof/>
        </w:rPr>
        <w:t>(Thompson, MacLennan and Vinebrooke, 2018)</w:t>
      </w:r>
      <w:r>
        <w:fldChar w:fldCharType="end"/>
      </w:r>
      <w:r>
        <w:t>’s proposed improved null model</w:t>
      </w:r>
      <w:r w:rsidR="004A2448">
        <w:t xml:space="preserve"> – but I need to keep an eye out for any criticisms, as it’s only just been published</w:t>
      </w:r>
    </w:p>
    <w:bookmarkEnd w:id="1"/>
    <w:p w14:paraId="1CF801EE" w14:textId="1F67D3CA" w:rsidR="00235798" w:rsidRDefault="00235798" w:rsidP="00BD3058">
      <w:pPr>
        <w:pStyle w:val="Heading1"/>
      </w:pPr>
      <w:r w:rsidRPr="00235798">
        <w:t>Anticipated Outputs and Outcomes</w:t>
      </w:r>
    </w:p>
    <w:p w14:paraId="6687B904" w14:textId="16AB5A08" w:rsidR="00137F2F" w:rsidRPr="00805F09" w:rsidRDefault="004E045E" w:rsidP="004B708C">
      <w:r>
        <w:t>This study will, if successful, develop understanding of how communities with different histories of chronic temperature stress respond to stressors and combinations of stressors. If circumstances permit, it will also examine how different responses to stress are mediated by nutrient availability.</w:t>
      </w:r>
    </w:p>
    <w:p w14:paraId="183C579A" w14:textId="6C0C700A" w:rsidR="00235798" w:rsidRDefault="00235798" w:rsidP="00BD3058">
      <w:pPr>
        <w:pStyle w:val="Heading1"/>
      </w:pPr>
      <w:r w:rsidRPr="00235798">
        <w:t>Project Feasibility and Timeline</w:t>
      </w:r>
    </w:p>
    <w:p w14:paraId="4945A9D9" w14:textId="0C983C2C" w:rsidR="00137F2F" w:rsidRDefault="00D50DED" w:rsidP="00D50DED">
      <w:r>
        <w:t xml:space="preserve">Through use of the Bell microbiology lab’s high-throughput liquid-handling and community measurement robots it should prove possible to complete the relatively high number of exposures needed to </w:t>
      </w:r>
      <w:r w:rsidR="007D0DC1">
        <w:t>test a variety of bacterial communities against a variety of conditions</w:t>
      </w:r>
      <w:r w:rsidR="004B708C">
        <w:t>, with a high level of replication.</w:t>
      </w:r>
    </w:p>
    <w:p w14:paraId="0C5E3B28" w14:textId="68AC01A9" w:rsidR="009561F9" w:rsidRPr="004E045E" w:rsidRDefault="00D46541" w:rsidP="00D46541">
      <w:pPr>
        <w:pStyle w:val="NoSpacing"/>
        <w:rPr>
          <w:u w:val="single"/>
        </w:rPr>
      </w:pPr>
      <w:r w:rsidRPr="004E045E">
        <w:rPr>
          <w:noProof/>
          <w:u w:val="single"/>
        </w:rPr>
        <w:drawing>
          <wp:anchor distT="107950" distB="107950" distL="114300" distR="114300" simplePos="0" relativeHeight="251658240" behindDoc="0" locked="0" layoutInCell="1" allowOverlap="1" wp14:anchorId="397427F3" wp14:editId="7942E5DF">
            <wp:simplePos x="0" y="0"/>
            <wp:positionH relativeFrom="column">
              <wp:posOffset>19050</wp:posOffset>
            </wp:positionH>
            <wp:positionV relativeFrom="paragraph">
              <wp:posOffset>291465</wp:posOffset>
            </wp:positionV>
            <wp:extent cx="5695950" cy="1184910"/>
            <wp:effectExtent l="0" t="0" r="0" b="0"/>
            <wp:wrapSquare wrapText="bothSides"/>
            <wp:docPr id="3" name="Picture 2">
              <a:extLst xmlns:a="http://schemas.openxmlformats.org/drawingml/2006/main">
                <a:ext uri="{FF2B5EF4-FFF2-40B4-BE49-F238E27FC236}">
                  <a16:creationId xmlns:a16="http://schemas.microsoft.com/office/drawing/2014/main" id="{54BBF824-35B5-432E-91E8-248137DE92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4BBF824-35B5-432E-91E8-248137DE9280}"/>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1184910"/>
                    </a:xfrm>
                    <a:prstGeom prst="rect">
                      <a:avLst/>
                    </a:prstGeom>
                    <a:noFill/>
                    <a:extLst/>
                  </pic:spPr>
                </pic:pic>
              </a:graphicData>
            </a:graphic>
            <wp14:sizeRelH relativeFrom="margin">
              <wp14:pctWidth>0</wp14:pctWidth>
            </wp14:sizeRelH>
            <wp14:sizeRelV relativeFrom="margin">
              <wp14:pctHeight>0</wp14:pctHeight>
            </wp14:sizeRelV>
          </wp:anchor>
        </w:drawing>
      </w:r>
      <w:r w:rsidRPr="004E045E">
        <w:rPr>
          <w:u w:val="single"/>
        </w:rPr>
        <w:t>GANTT Chart</w:t>
      </w:r>
    </w:p>
    <w:p w14:paraId="6111EEC0" w14:textId="7F562910" w:rsidR="00137F2F" w:rsidRPr="00F3284B" w:rsidRDefault="00235798" w:rsidP="004E045E">
      <w:pPr>
        <w:pStyle w:val="Heading1"/>
      </w:pPr>
      <w:r w:rsidRPr="00235798">
        <w:t>Budget</w:t>
      </w:r>
    </w:p>
    <w:tbl>
      <w:tblPr>
        <w:tblStyle w:val="TableGridLight"/>
        <w:tblW w:w="0" w:type="auto"/>
        <w:tblLook w:val="04A0" w:firstRow="1" w:lastRow="0" w:firstColumn="1" w:lastColumn="0" w:noHBand="0" w:noVBand="1"/>
      </w:tblPr>
      <w:tblGrid>
        <w:gridCol w:w="2254"/>
        <w:gridCol w:w="2254"/>
        <w:gridCol w:w="2254"/>
        <w:gridCol w:w="2254"/>
      </w:tblGrid>
      <w:tr w:rsidR="00663854" w14:paraId="4F1CA138" w14:textId="77777777" w:rsidTr="00663854">
        <w:tc>
          <w:tcPr>
            <w:tcW w:w="2254" w:type="dxa"/>
          </w:tcPr>
          <w:p w14:paraId="3D7E7526" w14:textId="22D2BC08" w:rsidR="00663854" w:rsidRPr="00F3284B" w:rsidRDefault="00663854" w:rsidP="00D46541">
            <w:pPr>
              <w:rPr>
                <w:b/>
              </w:rPr>
            </w:pPr>
            <w:r w:rsidRPr="00F3284B">
              <w:rPr>
                <w:b/>
              </w:rPr>
              <w:t>Item</w:t>
            </w:r>
          </w:p>
        </w:tc>
        <w:tc>
          <w:tcPr>
            <w:tcW w:w="2254" w:type="dxa"/>
          </w:tcPr>
          <w:p w14:paraId="376111F7" w14:textId="5925D76F" w:rsidR="00663854" w:rsidRPr="00F3284B" w:rsidRDefault="00663854" w:rsidP="00D46541">
            <w:pPr>
              <w:rPr>
                <w:b/>
              </w:rPr>
            </w:pPr>
            <w:r w:rsidRPr="00F3284B">
              <w:rPr>
                <w:b/>
              </w:rPr>
              <w:t>Unit Cost</w:t>
            </w:r>
          </w:p>
        </w:tc>
        <w:tc>
          <w:tcPr>
            <w:tcW w:w="2254" w:type="dxa"/>
          </w:tcPr>
          <w:p w14:paraId="21FAFE6F" w14:textId="195528FE" w:rsidR="00663854" w:rsidRPr="00F3284B" w:rsidRDefault="00663854" w:rsidP="00D46541">
            <w:pPr>
              <w:rPr>
                <w:b/>
              </w:rPr>
            </w:pPr>
            <w:r w:rsidRPr="00F3284B">
              <w:rPr>
                <w:b/>
              </w:rPr>
              <w:t>Quantity</w:t>
            </w:r>
          </w:p>
        </w:tc>
        <w:tc>
          <w:tcPr>
            <w:tcW w:w="2254" w:type="dxa"/>
          </w:tcPr>
          <w:p w14:paraId="34FFA9AA" w14:textId="0A192AAE" w:rsidR="00663854" w:rsidRPr="00F3284B" w:rsidRDefault="00663854" w:rsidP="00D46541">
            <w:pPr>
              <w:rPr>
                <w:b/>
              </w:rPr>
            </w:pPr>
            <w:r w:rsidRPr="00F3284B">
              <w:rPr>
                <w:b/>
              </w:rPr>
              <w:t>Subtotal</w:t>
            </w:r>
          </w:p>
        </w:tc>
      </w:tr>
      <w:tr w:rsidR="00663854" w14:paraId="46DFABD7" w14:textId="77777777" w:rsidTr="00663854">
        <w:tc>
          <w:tcPr>
            <w:tcW w:w="2254" w:type="dxa"/>
          </w:tcPr>
          <w:p w14:paraId="1861BF9B" w14:textId="77777777" w:rsidR="00663854" w:rsidRDefault="00663854" w:rsidP="00D46541"/>
        </w:tc>
        <w:tc>
          <w:tcPr>
            <w:tcW w:w="2254" w:type="dxa"/>
          </w:tcPr>
          <w:p w14:paraId="7900641D" w14:textId="77777777" w:rsidR="00663854" w:rsidRDefault="00663854" w:rsidP="00D46541"/>
        </w:tc>
        <w:tc>
          <w:tcPr>
            <w:tcW w:w="2254" w:type="dxa"/>
          </w:tcPr>
          <w:p w14:paraId="1F0D9F54" w14:textId="77777777" w:rsidR="00663854" w:rsidRDefault="00663854" w:rsidP="00D46541"/>
        </w:tc>
        <w:tc>
          <w:tcPr>
            <w:tcW w:w="2254" w:type="dxa"/>
          </w:tcPr>
          <w:p w14:paraId="68A6177B" w14:textId="77777777" w:rsidR="00663854" w:rsidRDefault="00663854" w:rsidP="00D46541"/>
        </w:tc>
      </w:tr>
      <w:tr w:rsidR="00663854" w14:paraId="45E7C2D3" w14:textId="77777777" w:rsidTr="00663854">
        <w:tc>
          <w:tcPr>
            <w:tcW w:w="2254" w:type="dxa"/>
          </w:tcPr>
          <w:p w14:paraId="0DD02F00" w14:textId="77777777" w:rsidR="00663854" w:rsidRDefault="00663854" w:rsidP="00D46541"/>
        </w:tc>
        <w:tc>
          <w:tcPr>
            <w:tcW w:w="2254" w:type="dxa"/>
          </w:tcPr>
          <w:p w14:paraId="06A7C8F4" w14:textId="77777777" w:rsidR="00663854" w:rsidRDefault="00663854" w:rsidP="00D46541"/>
        </w:tc>
        <w:tc>
          <w:tcPr>
            <w:tcW w:w="2254" w:type="dxa"/>
          </w:tcPr>
          <w:p w14:paraId="6DD4E3B9" w14:textId="77777777" w:rsidR="00663854" w:rsidRDefault="00663854" w:rsidP="00D46541"/>
        </w:tc>
        <w:tc>
          <w:tcPr>
            <w:tcW w:w="2254" w:type="dxa"/>
          </w:tcPr>
          <w:p w14:paraId="1B311B0F" w14:textId="77777777" w:rsidR="00663854" w:rsidRDefault="00663854" w:rsidP="00D46541"/>
        </w:tc>
      </w:tr>
      <w:tr w:rsidR="00663854" w14:paraId="2835AC4B" w14:textId="77777777" w:rsidTr="00663854">
        <w:tc>
          <w:tcPr>
            <w:tcW w:w="2254" w:type="dxa"/>
          </w:tcPr>
          <w:p w14:paraId="6729F137" w14:textId="77777777" w:rsidR="00663854" w:rsidRDefault="00663854" w:rsidP="00D46541"/>
        </w:tc>
        <w:tc>
          <w:tcPr>
            <w:tcW w:w="2254" w:type="dxa"/>
          </w:tcPr>
          <w:p w14:paraId="4F17BFA5" w14:textId="77777777" w:rsidR="00663854" w:rsidRDefault="00663854" w:rsidP="00D46541"/>
        </w:tc>
        <w:tc>
          <w:tcPr>
            <w:tcW w:w="2254" w:type="dxa"/>
          </w:tcPr>
          <w:p w14:paraId="5D1FEFA9" w14:textId="77777777" w:rsidR="00663854" w:rsidRDefault="00663854" w:rsidP="00D46541"/>
        </w:tc>
        <w:tc>
          <w:tcPr>
            <w:tcW w:w="2254" w:type="dxa"/>
          </w:tcPr>
          <w:p w14:paraId="2D3A149E" w14:textId="77777777" w:rsidR="00663854" w:rsidRDefault="00663854" w:rsidP="00D46541"/>
        </w:tc>
      </w:tr>
      <w:tr w:rsidR="00663854" w14:paraId="6BE5F81D" w14:textId="77777777" w:rsidTr="00663854">
        <w:tc>
          <w:tcPr>
            <w:tcW w:w="2254" w:type="dxa"/>
          </w:tcPr>
          <w:p w14:paraId="2E1F8A3F" w14:textId="77777777" w:rsidR="00663854" w:rsidRDefault="00663854" w:rsidP="00D46541"/>
        </w:tc>
        <w:tc>
          <w:tcPr>
            <w:tcW w:w="2254" w:type="dxa"/>
          </w:tcPr>
          <w:p w14:paraId="0B0753EE" w14:textId="77777777" w:rsidR="00663854" w:rsidRDefault="00663854" w:rsidP="00D46541"/>
        </w:tc>
        <w:tc>
          <w:tcPr>
            <w:tcW w:w="2254" w:type="dxa"/>
          </w:tcPr>
          <w:p w14:paraId="332B780D" w14:textId="77777777" w:rsidR="00663854" w:rsidRDefault="00663854" w:rsidP="00D46541"/>
        </w:tc>
        <w:tc>
          <w:tcPr>
            <w:tcW w:w="2254" w:type="dxa"/>
          </w:tcPr>
          <w:p w14:paraId="25A9531B" w14:textId="77777777" w:rsidR="00663854" w:rsidRDefault="00663854" w:rsidP="00D46541"/>
        </w:tc>
      </w:tr>
      <w:tr w:rsidR="00663854" w14:paraId="7EAA7629" w14:textId="77777777" w:rsidTr="00663854">
        <w:tc>
          <w:tcPr>
            <w:tcW w:w="2254" w:type="dxa"/>
          </w:tcPr>
          <w:p w14:paraId="40E5CA57" w14:textId="77777777" w:rsidR="00663854" w:rsidRDefault="00663854" w:rsidP="00D46541"/>
        </w:tc>
        <w:tc>
          <w:tcPr>
            <w:tcW w:w="2254" w:type="dxa"/>
          </w:tcPr>
          <w:p w14:paraId="4A903376" w14:textId="77777777" w:rsidR="00663854" w:rsidRDefault="00663854" w:rsidP="00D46541"/>
        </w:tc>
        <w:tc>
          <w:tcPr>
            <w:tcW w:w="2254" w:type="dxa"/>
          </w:tcPr>
          <w:p w14:paraId="19131720" w14:textId="77777777" w:rsidR="00663854" w:rsidRDefault="00663854" w:rsidP="00D46541"/>
        </w:tc>
        <w:tc>
          <w:tcPr>
            <w:tcW w:w="2254" w:type="dxa"/>
          </w:tcPr>
          <w:p w14:paraId="0C6AF7A0" w14:textId="77777777" w:rsidR="00663854" w:rsidRDefault="00663854" w:rsidP="00D46541"/>
        </w:tc>
      </w:tr>
      <w:tr w:rsidR="00663854" w14:paraId="1A7BEBBD" w14:textId="77777777" w:rsidTr="00663854">
        <w:tc>
          <w:tcPr>
            <w:tcW w:w="2254" w:type="dxa"/>
          </w:tcPr>
          <w:p w14:paraId="6C83F635" w14:textId="77777777" w:rsidR="00663854" w:rsidRDefault="00663854" w:rsidP="00D46541"/>
        </w:tc>
        <w:tc>
          <w:tcPr>
            <w:tcW w:w="2254" w:type="dxa"/>
          </w:tcPr>
          <w:p w14:paraId="1D893E13" w14:textId="77777777" w:rsidR="00663854" w:rsidRDefault="00663854" w:rsidP="00D46541"/>
        </w:tc>
        <w:tc>
          <w:tcPr>
            <w:tcW w:w="2254" w:type="dxa"/>
          </w:tcPr>
          <w:p w14:paraId="351F2B41" w14:textId="2A6F1DB5" w:rsidR="00663854" w:rsidRPr="00F3284B" w:rsidRDefault="00F3284B" w:rsidP="00F3284B">
            <w:pPr>
              <w:jc w:val="right"/>
              <w:rPr>
                <w:b/>
              </w:rPr>
            </w:pPr>
            <w:r w:rsidRPr="00F3284B">
              <w:rPr>
                <w:b/>
              </w:rPr>
              <w:t>Total:</w:t>
            </w:r>
          </w:p>
        </w:tc>
        <w:tc>
          <w:tcPr>
            <w:tcW w:w="2254" w:type="dxa"/>
          </w:tcPr>
          <w:p w14:paraId="07CB39FA" w14:textId="77777777" w:rsidR="00663854" w:rsidRDefault="00663854" w:rsidP="00D46541"/>
        </w:tc>
      </w:tr>
    </w:tbl>
    <w:p w14:paraId="60B53192" w14:textId="58BF1471" w:rsidR="00235798" w:rsidRPr="004E045E" w:rsidRDefault="00235798" w:rsidP="004E045E">
      <w:pPr>
        <w:pStyle w:val="Heading1"/>
      </w:pPr>
      <w:r w:rsidRPr="004E045E">
        <w:lastRenderedPageBreak/>
        <w:t>References</w:t>
      </w:r>
    </w:p>
    <w:p w14:paraId="3B4F721D" w14:textId="1BAEB3E0" w:rsidR="00E05096" w:rsidRPr="00E05096" w:rsidRDefault="00D345E3" w:rsidP="00E05096">
      <w:pPr>
        <w:widowControl w:val="0"/>
        <w:autoSpaceDE w:val="0"/>
        <w:autoSpaceDN w:val="0"/>
        <w:adjustRightInd w:val="0"/>
        <w:rPr>
          <w:noProof/>
          <w:szCs w:val="24"/>
        </w:rPr>
      </w:pPr>
      <w:r>
        <w:fldChar w:fldCharType="begin" w:fldLock="1"/>
      </w:r>
      <w:r>
        <w:instrText xml:space="preserve">ADDIN Mendeley Bibliography CSL_BIBLIOGRAPHY </w:instrText>
      </w:r>
      <w:r>
        <w:fldChar w:fldCharType="separate"/>
      </w:r>
      <w:r w:rsidR="00E05096" w:rsidRPr="00E05096">
        <w:rPr>
          <w:noProof/>
          <w:szCs w:val="24"/>
        </w:rPr>
        <w:t xml:space="preserve">IPCC (2014a) </w:t>
      </w:r>
      <w:r w:rsidR="00E05096" w:rsidRPr="00E05096">
        <w:rPr>
          <w:i/>
          <w:iCs/>
          <w:noProof/>
          <w:szCs w:val="24"/>
        </w:rPr>
        <w:t>Climate Change 2014: Impacts, Adaptation and Vulnerability - Contributions of the Working Group II to the Fifth Assessment Report</w:t>
      </w:r>
      <w:r w:rsidR="00E05096" w:rsidRPr="00E05096">
        <w:rPr>
          <w:noProof/>
          <w:szCs w:val="24"/>
        </w:rPr>
        <w:t>. Cambridge University Press. doi: 10.1016/j.renene.2009.11.012.</w:t>
      </w:r>
    </w:p>
    <w:p w14:paraId="71D99A59" w14:textId="77777777" w:rsidR="00E05096" w:rsidRPr="00E05096" w:rsidRDefault="00E05096" w:rsidP="00E05096">
      <w:pPr>
        <w:widowControl w:val="0"/>
        <w:autoSpaceDE w:val="0"/>
        <w:autoSpaceDN w:val="0"/>
        <w:adjustRightInd w:val="0"/>
        <w:rPr>
          <w:noProof/>
          <w:szCs w:val="24"/>
        </w:rPr>
      </w:pPr>
      <w:r w:rsidRPr="00E05096">
        <w:rPr>
          <w:noProof/>
          <w:szCs w:val="24"/>
        </w:rPr>
        <w:t xml:space="preserve">IPCC (2014b) </w:t>
      </w:r>
      <w:r w:rsidRPr="00E05096">
        <w:rPr>
          <w:i/>
          <w:iCs/>
          <w:noProof/>
          <w:szCs w:val="24"/>
        </w:rPr>
        <w:t>Climate Change 2014 Synthesis Report Summary Chapter for Policymakers</w:t>
      </w:r>
      <w:r w:rsidRPr="00E05096">
        <w:rPr>
          <w:noProof/>
          <w:szCs w:val="24"/>
        </w:rPr>
        <w:t>. doi: 10.1017/CBO9781107415324.</w:t>
      </w:r>
    </w:p>
    <w:p w14:paraId="4403440A" w14:textId="77777777" w:rsidR="00E05096" w:rsidRPr="00E05096" w:rsidRDefault="00E05096" w:rsidP="00E05096">
      <w:pPr>
        <w:widowControl w:val="0"/>
        <w:autoSpaceDE w:val="0"/>
        <w:autoSpaceDN w:val="0"/>
        <w:adjustRightInd w:val="0"/>
        <w:rPr>
          <w:noProof/>
          <w:szCs w:val="24"/>
        </w:rPr>
      </w:pPr>
      <w:r w:rsidRPr="00E05096">
        <w:rPr>
          <w:noProof/>
          <w:szCs w:val="24"/>
        </w:rPr>
        <w:t xml:space="preserve">Thompson, P. L., MacLennan, M. M. and Vinebrooke, R. D. (2018) ‘An improved null model for assessing the net effects of multiple stressors on communities’, </w:t>
      </w:r>
      <w:r w:rsidRPr="00E05096">
        <w:rPr>
          <w:i/>
          <w:iCs/>
          <w:noProof/>
          <w:szCs w:val="24"/>
        </w:rPr>
        <w:t>Global Change Biology</w:t>
      </w:r>
      <w:r w:rsidRPr="00E05096">
        <w:rPr>
          <w:noProof/>
          <w:szCs w:val="24"/>
        </w:rPr>
        <w:t>, 24(1), pp. 517–525. doi: 10.1111/gcb.13852.</w:t>
      </w:r>
    </w:p>
    <w:p w14:paraId="4C560947" w14:textId="77777777" w:rsidR="00E05096" w:rsidRPr="00E05096" w:rsidRDefault="00E05096" w:rsidP="00E05096">
      <w:pPr>
        <w:widowControl w:val="0"/>
        <w:autoSpaceDE w:val="0"/>
        <w:autoSpaceDN w:val="0"/>
        <w:adjustRightInd w:val="0"/>
        <w:rPr>
          <w:noProof/>
        </w:rPr>
      </w:pPr>
      <w:r w:rsidRPr="00E05096">
        <w:rPr>
          <w:noProof/>
          <w:szCs w:val="24"/>
        </w:rPr>
        <w:t xml:space="preserve">Yvon-Durocher, G. </w:t>
      </w:r>
      <w:r w:rsidRPr="00E05096">
        <w:rPr>
          <w:i/>
          <w:iCs/>
          <w:noProof/>
          <w:szCs w:val="24"/>
        </w:rPr>
        <w:t>et al.</w:t>
      </w:r>
      <w:r w:rsidRPr="00E05096">
        <w:rPr>
          <w:noProof/>
          <w:szCs w:val="24"/>
        </w:rPr>
        <w:t xml:space="preserve"> (2011) ‘Warming alters the size spectrum and shifts the distribution of biomass in freshwater ecosystems’, </w:t>
      </w:r>
      <w:r w:rsidRPr="00E05096">
        <w:rPr>
          <w:i/>
          <w:iCs/>
          <w:noProof/>
          <w:szCs w:val="24"/>
        </w:rPr>
        <w:t>Global Change Biology</w:t>
      </w:r>
      <w:r w:rsidRPr="00E05096">
        <w:rPr>
          <w:noProof/>
          <w:szCs w:val="24"/>
        </w:rPr>
        <w:t>, 17(4), pp. 1681–1694. doi: 10.1111/j.1365-2486.2010.02321.x.</w:t>
      </w:r>
    </w:p>
    <w:p w14:paraId="358014E9" w14:textId="40E12DCF" w:rsidR="003B507E" w:rsidRDefault="00D345E3" w:rsidP="00D345E3">
      <w:r>
        <w:fldChar w:fldCharType="end"/>
      </w:r>
    </w:p>
    <w:p w14:paraId="19A73771" w14:textId="77777777" w:rsidR="003B507E" w:rsidRDefault="003B507E">
      <w:pPr>
        <w:spacing w:line="259" w:lineRule="auto"/>
        <w:jc w:val="left"/>
      </w:pPr>
      <w:r>
        <w:br w:type="page"/>
      </w:r>
    </w:p>
    <w:p w14:paraId="720B91B1" w14:textId="6AB0DED4" w:rsidR="00D345E3" w:rsidRDefault="003B507E" w:rsidP="003B507E">
      <w:pPr>
        <w:pStyle w:val="Heading1"/>
      </w:pPr>
      <w:r>
        <w:lastRenderedPageBreak/>
        <w:t>Appendix I: Tabulated Budget</w:t>
      </w:r>
    </w:p>
    <w:p w14:paraId="1E616C1F" w14:textId="71D66D97" w:rsidR="003B507E" w:rsidRPr="003B507E" w:rsidRDefault="003B507E" w:rsidP="003B507E">
      <w:pPr>
        <w:pStyle w:val="ListParagraph"/>
        <w:numPr>
          <w:ilvl w:val="0"/>
          <w:numId w:val="4"/>
        </w:numPr>
      </w:pPr>
      <w:r>
        <w:t>Needs to be signed off by Emma</w:t>
      </w:r>
    </w:p>
    <w:tbl>
      <w:tblPr>
        <w:tblStyle w:val="TableGridLight"/>
        <w:tblW w:w="0" w:type="auto"/>
        <w:tblLook w:val="04A0" w:firstRow="1" w:lastRow="0" w:firstColumn="1" w:lastColumn="0" w:noHBand="0" w:noVBand="1"/>
      </w:tblPr>
      <w:tblGrid>
        <w:gridCol w:w="2254"/>
        <w:gridCol w:w="2254"/>
        <w:gridCol w:w="2254"/>
        <w:gridCol w:w="2254"/>
      </w:tblGrid>
      <w:tr w:rsidR="003B507E" w14:paraId="5DAE7038" w14:textId="77777777" w:rsidTr="00A7146C">
        <w:tc>
          <w:tcPr>
            <w:tcW w:w="2254" w:type="dxa"/>
          </w:tcPr>
          <w:p w14:paraId="37067E4C" w14:textId="77777777" w:rsidR="003B507E" w:rsidRPr="00F3284B" w:rsidRDefault="003B507E" w:rsidP="00A7146C">
            <w:pPr>
              <w:rPr>
                <w:b/>
              </w:rPr>
            </w:pPr>
            <w:r w:rsidRPr="00F3284B">
              <w:rPr>
                <w:b/>
              </w:rPr>
              <w:t>Item</w:t>
            </w:r>
          </w:p>
        </w:tc>
        <w:tc>
          <w:tcPr>
            <w:tcW w:w="2254" w:type="dxa"/>
          </w:tcPr>
          <w:p w14:paraId="0F280D91" w14:textId="77777777" w:rsidR="003B507E" w:rsidRPr="00F3284B" w:rsidRDefault="003B507E" w:rsidP="00A7146C">
            <w:pPr>
              <w:rPr>
                <w:b/>
              </w:rPr>
            </w:pPr>
            <w:r w:rsidRPr="00F3284B">
              <w:rPr>
                <w:b/>
              </w:rPr>
              <w:t>Unit Cost</w:t>
            </w:r>
          </w:p>
        </w:tc>
        <w:tc>
          <w:tcPr>
            <w:tcW w:w="2254" w:type="dxa"/>
          </w:tcPr>
          <w:p w14:paraId="0E9D32FE" w14:textId="77777777" w:rsidR="003B507E" w:rsidRPr="00F3284B" w:rsidRDefault="003B507E" w:rsidP="00A7146C">
            <w:pPr>
              <w:rPr>
                <w:b/>
              </w:rPr>
            </w:pPr>
            <w:r w:rsidRPr="00F3284B">
              <w:rPr>
                <w:b/>
              </w:rPr>
              <w:t>Quantity</w:t>
            </w:r>
          </w:p>
        </w:tc>
        <w:tc>
          <w:tcPr>
            <w:tcW w:w="2254" w:type="dxa"/>
          </w:tcPr>
          <w:p w14:paraId="3FBA0068" w14:textId="77777777" w:rsidR="003B507E" w:rsidRPr="00F3284B" w:rsidRDefault="003B507E" w:rsidP="00A7146C">
            <w:pPr>
              <w:rPr>
                <w:b/>
              </w:rPr>
            </w:pPr>
            <w:r w:rsidRPr="00F3284B">
              <w:rPr>
                <w:b/>
              </w:rPr>
              <w:t>Subtotal</w:t>
            </w:r>
          </w:p>
        </w:tc>
      </w:tr>
      <w:tr w:rsidR="003B507E" w14:paraId="321631F5" w14:textId="77777777" w:rsidTr="00A7146C">
        <w:tc>
          <w:tcPr>
            <w:tcW w:w="2254" w:type="dxa"/>
          </w:tcPr>
          <w:p w14:paraId="0813F767" w14:textId="77777777" w:rsidR="003B507E" w:rsidRDefault="003B507E" w:rsidP="00A7146C"/>
        </w:tc>
        <w:tc>
          <w:tcPr>
            <w:tcW w:w="2254" w:type="dxa"/>
          </w:tcPr>
          <w:p w14:paraId="0106E2D8" w14:textId="77777777" w:rsidR="003B507E" w:rsidRDefault="003B507E" w:rsidP="00A7146C"/>
        </w:tc>
        <w:tc>
          <w:tcPr>
            <w:tcW w:w="2254" w:type="dxa"/>
          </w:tcPr>
          <w:p w14:paraId="00392355" w14:textId="77777777" w:rsidR="003B507E" w:rsidRDefault="003B507E" w:rsidP="00A7146C"/>
        </w:tc>
        <w:tc>
          <w:tcPr>
            <w:tcW w:w="2254" w:type="dxa"/>
          </w:tcPr>
          <w:p w14:paraId="2B0D2376" w14:textId="77777777" w:rsidR="003B507E" w:rsidRDefault="003B507E" w:rsidP="00A7146C"/>
        </w:tc>
      </w:tr>
      <w:tr w:rsidR="003B507E" w14:paraId="7BC503A9" w14:textId="77777777" w:rsidTr="00A7146C">
        <w:tc>
          <w:tcPr>
            <w:tcW w:w="2254" w:type="dxa"/>
          </w:tcPr>
          <w:p w14:paraId="1887480B" w14:textId="77777777" w:rsidR="003B507E" w:rsidRDefault="003B507E" w:rsidP="00A7146C"/>
        </w:tc>
        <w:tc>
          <w:tcPr>
            <w:tcW w:w="2254" w:type="dxa"/>
          </w:tcPr>
          <w:p w14:paraId="18E37EC7" w14:textId="77777777" w:rsidR="003B507E" w:rsidRDefault="003B507E" w:rsidP="00A7146C"/>
        </w:tc>
        <w:tc>
          <w:tcPr>
            <w:tcW w:w="2254" w:type="dxa"/>
          </w:tcPr>
          <w:p w14:paraId="6A835548" w14:textId="77777777" w:rsidR="003B507E" w:rsidRDefault="003B507E" w:rsidP="00A7146C"/>
        </w:tc>
        <w:tc>
          <w:tcPr>
            <w:tcW w:w="2254" w:type="dxa"/>
          </w:tcPr>
          <w:p w14:paraId="4B6BA5D0" w14:textId="77777777" w:rsidR="003B507E" w:rsidRDefault="003B507E" w:rsidP="00A7146C"/>
        </w:tc>
      </w:tr>
      <w:tr w:rsidR="003B507E" w14:paraId="4AAA4901" w14:textId="77777777" w:rsidTr="00A7146C">
        <w:tc>
          <w:tcPr>
            <w:tcW w:w="2254" w:type="dxa"/>
          </w:tcPr>
          <w:p w14:paraId="502A6833" w14:textId="77777777" w:rsidR="003B507E" w:rsidRDefault="003B507E" w:rsidP="00A7146C"/>
        </w:tc>
        <w:tc>
          <w:tcPr>
            <w:tcW w:w="2254" w:type="dxa"/>
          </w:tcPr>
          <w:p w14:paraId="05EC4579" w14:textId="77777777" w:rsidR="003B507E" w:rsidRDefault="003B507E" w:rsidP="00A7146C"/>
        </w:tc>
        <w:tc>
          <w:tcPr>
            <w:tcW w:w="2254" w:type="dxa"/>
          </w:tcPr>
          <w:p w14:paraId="5431D75F" w14:textId="77777777" w:rsidR="003B507E" w:rsidRDefault="003B507E" w:rsidP="00A7146C"/>
        </w:tc>
        <w:tc>
          <w:tcPr>
            <w:tcW w:w="2254" w:type="dxa"/>
          </w:tcPr>
          <w:p w14:paraId="17203BFE" w14:textId="77777777" w:rsidR="003B507E" w:rsidRDefault="003B507E" w:rsidP="00A7146C"/>
        </w:tc>
      </w:tr>
      <w:tr w:rsidR="003B507E" w14:paraId="3AC80857" w14:textId="77777777" w:rsidTr="00A7146C">
        <w:tc>
          <w:tcPr>
            <w:tcW w:w="2254" w:type="dxa"/>
          </w:tcPr>
          <w:p w14:paraId="01BF7B04" w14:textId="77777777" w:rsidR="003B507E" w:rsidRDefault="003B507E" w:rsidP="00A7146C"/>
        </w:tc>
        <w:tc>
          <w:tcPr>
            <w:tcW w:w="2254" w:type="dxa"/>
          </w:tcPr>
          <w:p w14:paraId="29DEFF27" w14:textId="77777777" w:rsidR="003B507E" w:rsidRDefault="003B507E" w:rsidP="00A7146C"/>
        </w:tc>
        <w:tc>
          <w:tcPr>
            <w:tcW w:w="2254" w:type="dxa"/>
          </w:tcPr>
          <w:p w14:paraId="6AEF4592" w14:textId="77777777" w:rsidR="003B507E" w:rsidRDefault="003B507E" w:rsidP="00A7146C"/>
        </w:tc>
        <w:tc>
          <w:tcPr>
            <w:tcW w:w="2254" w:type="dxa"/>
          </w:tcPr>
          <w:p w14:paraId="784CF10A" w14:textId="77777777" w:rsidR="003B507E" w:rsidRDefault="003B507E" w:rsidP="00A7146C"/>
        </w:tc>
      </w:tr>
      <w:tr w:rsidR="003B507E" w14:paraId="501A281B" w14:textId="77777777" w:rsidTr="00A7146C">
        <w:tc>
          <w:tcPr>
            <w:tcW w:w="2254" w:type="dxa"/>
          </w:tcPr>
          <w:p w14:paraId="26F4C740" w14:textId="77777777" w:rsidR="003B507E" w:rsidRDefault="003B507E" w:rsidP="00A7146C"/>
        </w:tc>
        <w:tc>
          <w:tcPr>
            <w:tcW w:w="2254" w:type="dxa"/>
          </w:tcPr>
          <w:p w14:paraId="178CAD55" w14:textId="77777777" w:rsidR="003B507E" w:rsidRDefault="003B507E" w:rsidP="00A7146C"/>
        </w:tc>
        <w:tc>
          <w:tcPr>
            <w:tcW w:w="2254" w:type="dxa"/>
          </w:tcPr>
          <w:p w14:paraId="0AE24982" w14:textId="77777777" w:rsidR="003B507E" w:rsidRDefault="003B507E" w:rsidP="00A7146C"/>
        </w:tc>
        <w:tc>
          <w:tcPr>
            <w:tcW w:w="2254" w:type="dxa"/>
          </w:tcPr>
          <w:p w14:paraId="262AB979" w14:textId="77777777" w:rsidR="003B507E" w:rsidRDefault="003B507E" w:rsidP="00A7146C"/>
        </w:tc>
      </w:tr>
      <w:tr w:rsidR="003B507E" w14:paraId="69C2A0B7" w14:textId="77777777" w:rsidTr="00A7146C">
        <w:tc>
          <w:tcPr>
            <w:tcW w:w="2254" w:type="dxa"/>
          </w:tcPr>
          <w:p w14:paraId="168162C9" w14:textId="77777777" w:rsidR="003B507E" w:rsidRDefault="003B507E" w:rsidP="00A7146C"/>
        </w:tc>
        <w:tc>
          <w:tcPr>
            <w:tcW w:w="2254" w:type="dxa"/>
          </w:tcPr>
          <w:p w14:paraId="7CB77DBA" w14:textId="77777777" w:rsidR="003B507E" w:rsidRDefault="003B507E" w:rsidP="00A7146C"/>
        </w:tc>
        <w:tc>
          <w:tcPr>
            <w:tcW w:w="2254" w:type="dxa"/>
          </w:tcPr>
          <w:p w14:paraId="265F3811" w14:textId="77777777" w:rsidR="003B507E" w:rsidRDefault="003B507E" w:rsidP="00A7146C"/>
        </w:tc>
        <w:tc>
          <w:tcPr>
            <w:tcW w:w="2254" w:type="dxa"/>
          </w:tcPr>
          <w:p w14:paraId="2DF6A271" w14:textId="77777777" w:rsidR="003B507E" w:rsidRDefault="003B507E" w:rsidP="00A7146C"/>
        </w:tc>
      </w:tr>
      <w:tr w:rsidR="003B507E" w14:paraId="1D8E9DCC" w14:textId="77777777" w:rsidTr="00A7146C">
        <w:tc>
          <w:tcPr>
            <w:tcW w:w="2254" w:type="dxa"/>
          </w:tcPr>
          <w:p w14:paraId="6A9C7A40" w14:textId="77777777" w:rsidR="003B507E" w:rsidRDefault="003B507E" w:rsidP="00A7146C"/>
        </w:tc>
        <w:tc>
          <w:tcPr>
            <w:tcW w:w="2254" w:type="dxa"/>
          </w:tcPr>
          <w:p w14:paraId="100AC710" w14:textId="77777777" w:rsidR="003B507E" w:rsidRDefault="003B507E" w:rsidP="00A7146C"/>
        </w:tc>
        <w:tc>
          <w:tcPr>
            <w:tcW w:w="2254" w:type="dxa"/>
          </w:tcPr>
          <w:p w14:paraId="0883742D" w14:textId="77777777" w:rsidR="003B507E" w:rsidRPr="00F3284B" w:rsidRDefault="003B507E" w:rsidP="00A7146C">
            <w:pPr>
              <w:jc w:val="right"/>
              <w:rPr>
                <w:b/>
              </w:rPr>
            </w:pPr>
            <w:r w:rsidRPr="00F3284B">
              <w:rPr>
                <w:b/>
              </w:rPr>
              <w:t>Total:</w:t>
            </w:r>
          </w:p>
        </w:tc>
        <w:tc>
          <w:tcPr>
            <w:tcW w:w="2254" w:type="dxa"/>
          </w:tcPr>
          <w:p w14:paraId="360CA123" w14:textId="77777777" w:rsidR="003B507E" w:rsidRDefault="003B507E" w:rsidP="00A7146C"/>
        </w:tc>
      </w:tr>
    </w:tbl>
    <w:p w14:paraId="174CA0BC" w14:textId="77777777" w:rsidR="003B507E" w:rsidRPr="003B507E" w:rsidRDefault="003B507E" w:rsidP="003B507E"/>
    <w:sectPr w:rsidR="003B507E" w:rsidRPr="003B507E" w:rsidSect="00235798">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3026"/>
    <w:multiLevelType w:val="hybridMultilevel"/>
    <w:tmpl w:val="4BD48822"/>
    <w:lvl w:ilvl="0" w:tplc="141CC67C">
      <w:start w:val="1"/>
      <w:numFmt w:val="lowerRoman"/>
      <w:pStyle w:val="Heading1"/>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6A3A45"/>
    <w:multiLevelType w:val="hybridMultilevel"/>
    <w:tmpl w:val="6B4E2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D1746C"/>
    <w:multiLevelType w:val="hybridMultilevel"/>
    <w:tmpl w:val="65140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2C3928"/>
    <w:multiLevelType w:val="hybridMultilevel"/>
    <w:tmpl w:val="D15AE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044FE3"/>
    <w:multiLevelType w:val="hybridMultilevel"/>
    <w:tmpl w:val="09066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98"/>
    <w:rsid w:val="0000308B"/>
    <w:rsid w:val="00011BB1"/>
    <w:rsid w:val="0001644A"/>
    <w:rsid w:val="0004463E"/>
    <w:rsid w:val="00051D4B"/>
    <w:rsid w:val="000552E5"/>
    <w:rsid w:val="00067ECC"/>
    <w:rsid w:val="00081477"/>
    <w:rsid w:val="000820B9"/>
    <w:rsid w:val="000B75C7"/>
    <w:rsid w:val="000C4873"/>
    <w:rsid w:val="000D0172"/>
    <w:rsid w:val="000F03A6"/>
    <w:rsid w:val="0010465C"/>
    <w:rsid w:val="00104F33"/>
    <w:rsid w:val="0012215C"/>
    <w:rsid w:val="0012501D"/>
    <w:rsid w:val="001360BB"/>
    <w:rsid w:val="00137F2F"/>
    <w:rsid w:val="001408F6"/>
    <w:rsid w:val="001409C2"/>
    <w:rsid w:val="0015272F"/>
    <w:rsid w:val="001548B8"/>
    <w:rsid w:val="0017381B"/>
    <w:rsid w:val="00176BEC"/>
    <w:rsid w:val="001801D9"/>
    <w:rsid w:val="001916E1"/>
    <w:rsid w:val="00197856"/>
    <w:rsid w:val="001A69BF"/>
    <w:rsid w:val="001B0675"/>
    <w:rsid w:val="001C7035"/>
    <w:rsid w:val="001E7E68"/>
    <w:rsid w:val="00201497"/>
    <w:rsid w:val="00204DD5"/>
    <w:rsid w:val="00234990"/>
    <w:rsid w:val="00235798"/>
    <w:rsid w:val="00251337"/>
    <w:rsid w:val="0025734E"/>
    <w:rsid w:val="00262A75"/>
    <w:rsid w:val="00265641"/>
    <w:rsid w:val="002777FC"/>
    <w:rsid w:val="00281713"/>
    <w:rsid w:val="002C6AB5"/>
    <w:rsid w:val="002F7E73"/>
    <w:rsid w:val="0032265D"/>
    <w:rsid w:val="00331AE2"/>
    <w:rsid w:val="003662EC"/>
    <w:rsid w:val="00367846"/>
    <w:rsid w:val="003745EA"/>
    <w:rsid w:val="0037585A"/>
    <w:rsid w:val="00376599"/>
    <w:rsid w:val="003970AB"/>
    <w:rsid w:val="003A7E82"/>
    <w:rsid w:val="003B07A1"/>
    <w:rsid w:val="003B3C0F"/>
    <w:rsid w:val="003B507E"/>
    <w:rsid w:val="003C15FF"/>
    <w:rsid w:val="003C7FC1"/>
    <w:rsid w:val="003E6C62"/>
    <w:rsid w:val="004567A7"/>
    <w:rsid w:val="00483606"/>
    <w:rsid w:val="00483DDE"/>
    <w:rsid w:val="00484255"/>
    <w:rsid w:val="004A2448"/>
    <w:rsid w:val="004B708C"/>
    <w:rsid w:val="004C77F9"/>
    <w:rsid w:val="004D632C"/>
    <w:rsid w:val="004E045E"/>
    <w:rsid w:val="004E3735"/>
    <w:rsid w:val="004E74DB"/>
    <w:rsid w:val="004F40ED"/>
    <w:rsid w:val="005A4B07"/>
    <w:rsid w:val="005F1E11"/>
    <w:rsid w:val="00607063"/>
    <w:rsid w:val="00612F99"/>
    <w:rsid w:val="0064544F"/>
    <w:rsid w:val="006539CA"/>
    <w:rsid w:val="00656171"/>
    <w:rsid w:val="006567C0"/>
    <w:rsid w:val="00656955"/>
    <w:rsid w:val="00656C69"/>
    <w:rsid w:val="00663854"/>
    <w:rsid w:val="006640BF"/>
    <w:rsid w:val="0066692B"/>
    <w:rsid w:val="006B2C3A"/>
    <w:rsid w:val="006D0B3B"/>
    <w:rsid w:val="006F3175"/>
    <w:rsid w:val="0070143E"/>
    <w:rsid w:val="007365FF"/>
    <w:rsid w:val="00740454"/>
    <w:rsid w:val="00744FC4"/>
    <w:rsid w:val="007524ED"/>
    <w:rsid w:val="007859C7"/>
    <w:rsid w:val="007861EA"/>
    <w:rsid w:val="00791610"/>
    <w:rsid w:val="00792ED3"/>
    <w:rsid w:val="00796C61"/>
    <w:rsid w:val="007A41C0"/>
    <w:rsid w:val="007D0DC1"/>
    <w:rsid w:val="007D2F58"/>
    <w:rsid w:val="007D7149"/>
    <w:rsid w:val="007E0D87"/>
    <w:rsid w:val="007E27E5"/>
    <w:rsid w:val="00805F09"/>
    <w:rsid w:val="00820A61"/>
    <w:rsid w:val="00825677"/>
    <w:rsid w:val="00825B98"/>
    <w:rsid w:val="00830426"/>
    <w:rsid w:val="008308C9"/>
    <w:rsid w:val="008368AF"/>
    <w:rsid w:val="008507A2"/>
    <w:rsid w:val="00863A0C"/>
    <w:rsid w:val="0088404E"/>
    <w:rsid w:val="00884159"/>
    <w:rsid w:val="00896F85"/>
    <w:rsid w:val="0089737B"/>
    <w:rsid w:val="008B7B37"/>
    <w:rsid w:val="008C32F2"/>
    <w:rsid w:val="008C692C"/>
    <w:rsid w:val="008C6F96"/>
    <w:rsid w:val="008D0EAA"/>
    <w:rsid w:val="008D2611"/>
    <w:rsid w:val="008E657E"/>
    <w:rsid w:val="008F4E3F"/>
    <w:rsid w:val="008F624C"/>
    <w:rsid w:val="00902572"/>
    <w:rsid w:val="00912A59"/>
    <w:rsid w:val="00913873"/>
    <w:rsid w:val="00923281"/>
    <w:rsid w:val="009232E8"/>
    <w:rsid w:val="009561F9"/>
    <w:rsid w:val="00960623"/>
    <w:rsid w:val="0098153F"/>
    <w:rsid w:val="0098566A"/>
    <w:rsid w:val="00993B87"/>
    <w:rsid w:val="009C5A14"/>
    <w:rsid w:val="009F574E"/>
    <w:rsid w:val="00A024A2"/>
    <w:rsid w:val="00A02A26"/>
    <w:rsid w:val="00A16FB1"/>
    <w:rsid w:val="00A3251D"/>
    <w:rsid w:val="00A3611C"/>
    <w:rsid w:val="00A365C3"/>
    <w:rsid w:val="00A617D9"/>
    <w:rsid w:val="00A7146C"/>
    <w:rsid w:val="00A94CE2"/>
    <w:rsid w:val="00A97DC4"/>
    <w:rsid w:val="00AF0DDF"/>
    <w:rsid w:val="00AF2DCE"/>
    <w:rsid w:val="00AF5864"/>
    <w:rsid w:val="00B56868"/>
    <w:rsid w:val="00B64217"/>
    <w:rsid w:val="00B709E3"/>
    <w:rsid w:val="00B96C8B"/>
    <w:rsid w:val="00BA6E83"/>
    <w:rsid w:val="00BB0413"/>
    <w:rsid w:val="00BC1A0E"/>
    <w:rsid w:val="00BC3020"/>
    <w:rsid w:val="00BC639A"/>
    <w:rsid w:val="00BD3058"/>
    <w:rsid w:val="00C03BA1"/>
    <w:rsid w:val="00C26CA5"/>
    <w:rsid w:val="00C57D3B"/>
    <w:rsid w:val="00C67EF8"/>
    <w:rsid w:val="00C72D33"/>
    <w:rsid w:val="00C76767"/>
    <w:rsid w:val="00C84067"/>
    <w:rsid w:val="00C95CA7"/>
    <w:rsid w:val="00C97AD1"/>
    <w:rsid w:val="00CA151E"/>
    <w:rsid w:val="00CA3310"/>
    <w:rsid w:val="00CC0DF5"/>
    <w:rsid w:val="00CC635F"/>
    <w:rsid w:val="00CE6208"/>
    <w:rsid w:val="00CF33FF"/>
    <w:rsid w:val="00D26269"/>
    <w:rsid w:val="00D33180"/>
    <w:rsid w:val="00D343E1"/>
    <w:rsid w:val="00D345E3"/>
    <w:rsid w:val="00D46541"/>
    <w:rsid w:val="00D50DED"/>
    <w:rsid w:val="00D745B7"/>
    <w:rsid w:val="00D97DEC"/>
    <w:rsid w:val="00DA6762"/>
    <w:rsid w:val="00DB1B6C"/>
    <w:rsid w:val="00DB481A"/>
    <w:rsid w:val="00E05096"/>
    <w:rsid w:val="00E14415"/>
    <w:rsid w:val="00E15ECF"/>
    <w:rsid w:val="00E46194"/>
    <w:rsid w:val="00E53CCF"/>
    <w:rsid w:val="00E64588"/>
    <w:rsid w:val="00E93DF4"/>
    <w:rsid w:val="00E9610E"/>
    <w:rsid w:val="00E97F60"/>
    <w:rsid w:val="00EA2D3E"/>
    <w:rsid w:val="00EF0F60"/>
    <w:rsid w:val="00EF4548"/>
    <w:rsid w:val="00F073C9"/>
    <w:rsid w:val="00F27800"/>
    <w:rsid w:val="00F30119"/>
    <w:rsid w:val="00F3066B"/>
    <w:rsid w:val="00F3068C"/>
    <w:rsid w:val="00F31CB9"/>
    <w:rsid w:val="00F3284B"/>
    <w:rsid w:val="00F675C4"/>
    <w:rsid w:val="00FC51C2"/>
    <w:rsid w:val="00FE04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DE9C"/>
  <w15:chartTrackingRefBased/>
  <w15:docId w15:val="{1D00D967-5B1E-47A8-A68B-2C18068D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058"/>
    <w:pPr>
      <w:spacing w:line="360" w:lineRule="auto"/>
      <w:jc w:val="both"/>
    </w:pPr>
    <w:rPr>
      <w:rFonts w:ascii="Arial" w:hAnsi="Arial" w:cs="Arial"/>
    </w:rPr>
  </w:style>
  <w:style w:type="paragraph" w:styleId="Heading1">
    <w:name w:val="heading 1"/>
    <w:basedOn w:val="ListParagraph"/>
    <w:next w:val="Normal"/>
    <w:link w:val="Heading1Char"/>
    <w:uiPriority w:val="9"/>
    <w:qFormat/>
    <w:rsid w:val="00235798"/>
    <w:pPr>
      <w:numPr>
        <w:numId w:val="1"/>
      </w:numPr>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35798"/>
  </w:style>
  <w:style w:type="character" w:customStyle="1" w:styleId="Heading1Char">
    <w:name w:val="Heading 1 Char"/>
    <w:basedOn w:val="DefaultParagraphFont"/>
    <w:link w:val="Heading1"/>
    <w:uiPriority w:val="9"/>
    <w:rsid w:val="00235798"/>
    <w:rPr>
      <w:rFonts w:ascii="Arial" w:hAnsi="Arial" w:cs="Arial"/>
      <w:b/>
    </w:rPr>
  </w:style>
  <w:style w:type="paragraph" w:styleId="Title">
    <w:name w:val="Title"/>
    <w:basedOn w:val="Normal"/>
    <w:next w:val="Normal"/>
    <w:link w:val="TitleChar"/>
    <w:uiPriority w:val="10"/>
    <w:qFormat/>
    <w:rsid w:val="00235798"/>
    <w:pPr>
      <w:suppressLineNumbers/>
      <w:jc w:val="center"/>
    </w:pPr>
    <w:rPr>
      <w:b/>
    </w:rPr>
  </w:style>
  <w:style w:type="character" w:customStyle="1" w:styleId="TitleChar">
    <w:name w:val="Title Char"/>
    <w:basedOn w:val="DefaultParagraphFont"/>
    <w:link w:val="Title"/>
    <w:uiPriority w:val="10"/>
    <w:rsid w:val="00235798"/>
    <w:rPr>
      <w:rFonts w:ascii="Arial" w:hAnsi="Arial" w:cs="Arial"/>
      <w:b/>
    </w:rPr>
  </w:style>
  <w:style w:type="paragraph" w:styleId="ListParagraph">
    <w:name w:val="List Paragraph"/>
    <w:basedOn w:val="Normal"/>
    <w:uiPriority w:val="34"/>
    <w:qFormat/>
    <w:rsid w:val="00235798"/>
    <w:pPr>
      <w:ind w:left="720"/>
      <w:contextualSpacing/>
    </w:pPr>
  </w:style>
  <w:style w:type="table" w:styleId="TableGrid">
    <w:name w:val="Table Grid"/>
    <w:basedOn w:val="TableNormal"/>
    <w:uiPriority w:val="39"/>
    <w:rsid w:val="00956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6541"/>
    <w:pPr>
      <w:spacing w:after="0" w:line="240" w:lineRule="auto"/>
      <w:jc w:val="both"/>
    </w:pPr>
    <w:rPr>
      <w:rFonts w:ascii="Arial" w:hAnsi="Arial" w:cs="Arial"/>
    </w:rPr>
  </w:style>
  <w:style w:type="table" w:styleId="TableGridLight">
    <w:name w:val="Grid Table Light"/>
    <w:basedOn w:val="TableNormal"/>
    <w:uiPriority w:val="40"/>
    <w:rsid w:val="006638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745EA"/>
    <w:rPr>
      <w:color w:val="0563C1" w:themeColor="hyperlink"/>
      <w:u w:val="single"/>
    </w:rPr>
  </w:style>
  <w:style w:type="character" w:styleId="UnresolvedMention">
    <w:name w:val="Unresolved Mention"/>
    <w:basedOn w:val="DefaultParagraphFont"/>
    <w:uiPriority w:val="99"/>
    <w:semiHidden/>
    <w:unhideWhenUsed/>
    <w:rsid w:val="003745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762">
      <w:bodyDiv w:val="1"/>
      <w:marLeft w:val="0"/>
      <w:marRight w:val="0"/>
      <w:marTop w:val="0"/>
      <w:marBottom w:val="0"/>
      <w:divBdr>
        <w:top w:val="none" w:sz="0" w:space="0" w:color="auto"/>
        <w:left w:val="none" w:sz="0" w:space="0" w:color="auto"/>
        <w:bottom w:val="none" w:sz="0" w:space="0" w:color="auto"/>
        <w:right w:val="none" w:sz="0" w:space="0" w:color="auto"/>
      </w:divBdr>
    </w:div>
    <w:div w:id="472329154">
      <w:bodyDiv w:val="1"/>
      <w:marLeft w:val="0"/>
      <w:marRight w:val="0"/>
      <w:marTop w:val="0"/>
      <w:marBottom w:val="0"/>
      <w:divBdr>
        <w:top w:val="none" w:sz="0" w:space="0" w:color="auto"/>
        <w:left w:val="none" w:sz="0" w:space="0" w:color="auto"/>
        <w:bottom w:val="none" w:sz="0" w:space="0" w:color="auto"/>
        <w:right w:val="none" w:sz="0" w:space="0" w:color="auto"/>
      </w:divBdr>
    </w:div>
    <w:div w:id="629898613">
      <w:bodyDiv w:val="1"/>
      <w:marLeft w:val="0"/>
      <w:marRight w:val="0"/>
      <w:marTop w:val="0"/>
      <w:marBottom w:val="0"/>
      <w:divBdr>
        <w:top w:val="none" w:sz="0" w:space="0" w:color="auto"/>
        <w:left w:val="none" w:sz="0" w:space="0" w:color="auto"/>
        <w:bottom w:val="none" w:sz="0" w:space="0" w:color="auto"/>
        <w:right w:val="none" w:sz="0" w:space="0" w:color="auto"/>
      </w:divBdr>
    </w:div>
    <w:div w:id="153264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ransome@imperial.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6D509-ED4B-4903-A28A-3B9E00CE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5</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16</cp:revision>
  <dcterms:created xsi:type="dcterms:W3CDTF">2018-03-31T07:25:00Z</dcterms:created>
  <dcterms:modified xsi:type="dcterms:W3CDTF">2018-04-05T09:21:00Z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