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0FDF9" w14:textId="77777777" w:rsidR="00A6021C" w:rsidRPr="009E39FD" w:rsidRDefault="00A6021C" w:rsidP="00A6021C">
      <w:pPr>
        <w:pStyle w:val="Heading2"/>
      </w:pPr>
      <w:r w:rsidRPr="005673D9">
        <w:t>Chemical Stressors</w:t>
      </w:r>
    </w:p>
    <w:p w14:paraId="7F8C3323" w14:textId="77777777" w:rsidR="00A6021C" w:rsidRDefault="00A6021C" w:rsidP="00A6021C">
      <w:r>
        <w:t>Despite the high-profile banning of certain chemical pollutants – DDT, early organochlorides – a bewildering and unpredictable diversity of chemical stressors remain present in the environment. With a wide range of sources, structures and effects, these stressors can nonetheless be categorised into several broad families with similar modes of action or applications.</w:t>
      </w:r>
    </w:p>
    <w:p w14:paraId="4092C551" w14:textId="77777777" w:rsidR="00A6021C" w:rsidRDefault="00A6021C" w:rsidP="00A6021C">
      <w:r>
        <w:rPr>
          <w:i/>
        </w:rPr>
        <w:t>Heavy Metals</w:t>
      </w:r>
    </w:p>
    <w:p w14:paraId="59A89B27" w14:textId="77777777" w:rsidR="00A6021C" w:rsidRDefault="00A6021C" w:rsidP="00A6021C">
      <w:r>
        <w:t xml:space="preserve">Heavy metals refer to a somewhat nebulous family of high-density metallic elements that are frequently toxic, sometimes essential nutrients, and produced as waste products by a wide range of industrial and agricultural processes </w:t>
      </w:r>
      <w:r>
        <w:fldChar w:fldCharType="begin" w:fldLock="1"/>
      </w:r>
      <w:r>
        <w:instrText>ADDIN CSL_CITATION { "citationItems" : [ { "id" : "ITEM-1", "itemData" : { "DOI" : "10.1007/978-3-7643-8340-4", "ISBN" : "978-3-7643-8339-8", "abstract" : "Chemicals are found in workplaces of many organisations. A significant proportion of them are harmful to health and/or the environment and need to be identified, assessed, controlled or otherwise managed to ensure a safe and healthy work environment exists for all who work or visit those organisations, and that environ- mental impacts are minimised. Operationally, the term chemical is usually used to cover those materials that are natural or artificial entities, composite materials, mixtures or formulations, other than articles. Of course, from an occupational, health, safety and environment (OHSE) perspective, all chemicals are not necessarily the problem: only those with hazards or risks. There are two factors that affect chemical safety: l l Inherent properties (toxicity, flammability, corrosiveness, destruction of the environment and so forth) Factors relating to exposure (e.g. the probability of exposure, duration, fre- quency and intensity of exposure during or after use, or following dispersal in the environment)", "author" : [ { "dropping-particle" : "", "family" : "Tchounwou", "given" : "Paul B", "non-dropping-particle" : "", "parse-names" : false, "suffix" : "" }, { "dropping-particle" : "", "family" : "Yedjou", "given" : "Clement G", "non-dropping-particle" : "", "parse-names" : false, "suffix" : "" }, { "dropping-particle" : "", "family" : "Patlolla", "given" : "Anita K", "non-dropping-particle" : "", "parse-names" : false, "suffix" : "" }, { "dropping-particle" : "", "family" : "Sutton", "given" : "Dwayne J", "non-dropping-particle" : "", "parse-names" : false, "suffix" : "" } ], "container-title" : "Molecular, clinical and environmental toxicology", "id" : "ITEM-1", "issued" : { "date-parts" : [ [ "2012" ] ] }, "page" : "1-30", "title" : "Heavy Metals Toxicity and the Environment", "type" : "chapter", "volume" : "101" }, "uris" : [ "http://www.mendeley.com/documents/?uuid=e0120887-ace8-4746-b6a2-5cd587fef539" ] } ], "mendeley" : { "formattedCitation" : "(Tchounwou &lt;i&gt;et al.&lt;/i&gt;, 2012)", "plainTextFormattedCitation" : "(Tchounwou et al., 2012)", "previouslyFormattedCitation" : "(Tchounwou &lt;i&gt;et al.&lt;/i&gt;, 2012)" }, "properties" : { "noteIndex" : 0 }, "schema" : "https://github.com/citation-style-language/schema/raw/master/csl-citation.json" }</w:instrText>
      </w:r>
      <w:r>
        <w:fldChar w:fldCharType="separate"/>
      </w:r>
      <w:r w:rsidRPr="00362F5B">
        <w:rPr>
          <w:noProof/>
        </w:rPr>
        <w:t xml:space="preserve">(Tchounwou </w:t>
      </w:r>
      <w:r w:rsidRPr="00362F5B">
        <w:rPr>
          <w:i/>
          <w:noProof/>
        </w:rPr>
        <w:t>et al.</w:t>
      </w:r>
      <w:r w:rsidRPr="00362F5B">
        <w:rPr>
          <w:noProof/>
        </w:rPr>
        <w:t>, 2012)</w:t>
      </w:r>
      <w:r>
        <w:fldChar w:fldCharType="end"/>
      </w:r>
      <w:r>
        <w:t xml:space="preserve">. Heavy metals are regulated under the EU’s Water Framework Directive (WFD) </w:t>
      </w:r>
      <w:r>
        <w:fldChar w:fldCharType="begin" w:fldLock="1"/>
      </w:r>
      <w:r>
        <w:instrText>ADDIN CSL_CITATION { "citationItems" : [ { "id" : "ITEM-1", "itemData" : { "DOI" : "10.1039/ap9842100196", "ISBN" : "ATBD X.X", "ISSN" : "0144557X", "PMID" : "2179", "abstract" : "The WFD is the most substantial piece of water legislation ever produced by the European Commission, and will provide the major driver for achieving sustainable management of water in the UK and other EU Member States for many years to come. It requires that all inland and coastal waters within defined river basin districts must reach at least good status by 2015 and defines how this should be achieved through the establishment of environmental objectives and ecological targets for surface waters. The result will be a healthy water environment achieved by taking due account of environmental, economic and social considerations.", "author" : [ { "dropping-particle" : "", "family" : "EU", "given" : "", "non-dropping-particle" : "", "parse-names" : false, "suffix" : "" } ], "container-title" : "Official Journal of the European Parliament", "id" : "ITEM-1", "issue" : "22.12.2000", "issued" : { "date-parts" : [ [ "2000" ] ] }, "page" : "1-82", "title" : "Directive 2000/60/EC of the European Parliament and of the Council of 23 October 2000 establishing a framework for Community action in the field of water policy", "type" : "article-journal", "volume" : "L327" }, "uris" : [ "http://www.mendeley.com/documents/?uuid=3f7ad7b6-06dd-4507-9ff7-35e9d7bbf975" ] } ], "mendeley" : { "formattedCitation" : "(EU, 2000)", "plainTextFormattedCitation" : "(EU, 2000)", "previouslyFormattedCitation" : "(EU, 2000)" }, "properties" : { "noteIndex" : 0 }, "schema" : "https://github.com/citation-style-language/schema/raw/master/csl-citation.json" }</w:instrText>
      </w:r>
      <w:r>
        <w:fldChar w:fldCharType="separate"/>
      </w:r>
      <w:r w:rsidRPr="00362F5B">
        <w:rPr>
          <w:noProof/>
        </w:rPr>
        <w:t>(EU, 2000)</w:t>
      </w:r>
      <w:r>
        <w:fldChar w:fldCharType="end"/>
      </w:r>
      <w:r>
        <w:t xml:space="preserve">, which provides a relatively rich dataset of concentrations in UK tap and surface water </w:t>
      </w:r>
      <w:r>
        <w:fldChar w:fldCharType="begin" w:fldLock="1"/>
      </w:r>
      <w:r>
        <w:instrText>ADDIN CSL_CITATION { "citationItems" : [ { "id" : "ITEM-1", "itemData" : { "abstract" : "Drinking water must be \u2018wholesome\u2019 and this is defined in law by standards for a wide range of substances, organisms and properties of water in regulations. The standards are set to be protective of public health and the definition of wholesome reflects the importance of ensuring that water quality is acceptable to consumers. There is good agreement amongst worldwide on the science behind the setting of health based standards for drinking water and this expert evidence is documented by the World Health Organisation in the Guidelines for Drinking Water Quality. You can look up all the background information to standards of water safety here. The legal standards in the UK are those which are set in Europe in the Drinking Water Directive 1998 together with national standards set to maintain the high quality of water already achieved. The standards are strict and include wide safety margins.", "author" : [ { "dropping-particle" : "", "family" : "Drinking Water Inspectorate", "given" : "", "non-dropping-particle" : "", "parse-names" : false, "suffix" : "" } ], "container-title" : "Http://Dwi.Defra.Gov.Uk/Consumers/Advice-Leaflets/Standards.Pdf", "id" : "ITEM-1", "issued" : { "date-parts" : [ [ "2010" ] ] }, "page" : "5", "title" : "What are the drinking water standards?", "type" : "article-journal" }, "uris" : [ "http://www.mendeley.com/documents/?uuid=dd85de8c-f61a-44dc-bd37-cefef0648d82" ] }, { "id" : "ITEM-2", "itemData" : { "author" : [ { "dropping-particle" : "", "family" : "Water Framework Directive implementation in England and Wales: new and updated standards to protect the water environment", "given" : "", "non-dropping-particle" : "", "parse-names" : false, "suffix" : "" } ], "container-title" : "Https://Baeredygtigtlandbrug.Dk/Media/187611/Wfd-England-and-Wales.Pdf", "id" : "ITEM-2", "issue" : "May", "issued" : { "date-parts" : [ [ "2014" ] ] }, "page" : "Date Accessed 2017-04-06", "title" : "Water Framework Directive implementation in England and Wales: new and updated standards to protect the water environment", "type" : "article-journal" }, "uris" : [ "http://www.mendeley.com/documents/?uuid=7a8f9160-d4b3-4e7e-8051-c8c7c1b02507" ] } ], "mendeley" : { "formattedCitation" : "(Drinking Water Inspectorate, 2010; Water Framework Directive implementation in England and Wales: new and updated standards to protect the water environment, 2014)", "plainTextFormattedCitation" : "(Drinking Water Inspectorate, 2010; Water Framework Directive implementation in England and Wales: new and updated standards to protect the water environment, 2014)", "previouslyFormattedCitation" : "(Drinking Water Inspectorate, 2010; Water Framework Directive implementation in England and Wales: new and updated standards to protect the water environment, 2014)" }, "properties" : { "noteIndex" : 0 }, "schema" : "https://github.com/citation-style-language/schema/raw/master/csl-citation.json" }</w:instrText>
      </w:r>
      <w:r>
        <w:fldChar w:fldCharType="separate"/>
      </w:r>
      <w:r w:rsidRPr="00362F5B">
        <w:rPr>
          <w:noProof/>
        </w:rPr>
        <w:t>(Drinking Water Inspectorate, 2010; Water Framework Directive implementation in England and Wales: new and updated standards to protect the water environment, 2014)</w:t>
      </w:r>
      <w:r>
        <w:fldChar w:fldCharType="end"/>
      </w:r>
      <w:r>
        <w:t xml:space="preserve">, while the </w:t>
      </w:r>
      <w:r w:rsidRPr="00B77B87">
        <w:t>UK soil and herbage pollutant survey</w:t>
      </w:r>
      <w:r>
        <w:t xml:space="preserve"> </w:t>
      </w:r>
      <w:r>
        <w:fldChar w:fldCharType="begin" w:fldLock="1"/>
      </w:r>
      <w:r>
        <w:instrText>ADDIN CSL_CITATION { "citationItems" : [ { "id" : "ITEM-1", "itemData" : { "author" : [ { "dropping-particle" : "", "family" : "Environment Agency", "given" : "", "non-dropping-particle" : "", "parse-names" : false, "suffix" : "" } ], "id" : "ITEM-1", "issued" : { "date-parts" : [ [ "2007" ] ] }, "title" : "UK soil and herbage pollutant survey", "type" : "report" }, "uris" : [ "http://www.mendeley.com/documents/?uuid=4ae8a0f0-2a73-4b97-97eb-076799d003ce" ] } ], "mendeley" : { "formattedCitation" : "(Environment Agency, 2007)", "plainTextFormattedCitation" : "(Environment Agency, 2007)", "previouslyFormattedCitation" : "(Environment Agency, 2007)" }, "properties" : { "noteIndex" : 0 }, "schema" : "https://github.com/citation-style-language/schema/raw/master/csl-citation.json" }</w:instrText>
      </w:r>
      <w:r>
        <w:fldChar w:fldCharType="separate"/>
      </w:r>
      <w:r w:rsidRPr="00362F5B">
        <w:rPr>
          <w:noProof/>
        </w:rPr>
        <w:t>(Environment Agency, 2007)</w:t>
      </w:r>
      <w:r>
        <w:fldChar w:fldCharType="end"/>
      </w:r>
      <w:r w:rsidRPr="00B77B87">
        <w:t xml:space="preserve"> </w:t>
      </w:r>
      <w:r>
        <w:t>provides relatively up-to-date data on soil heavy metal concentrations. Two heavy metals were selected for bacterial exposures, based on environmental impact and prevalence, mode of action, and lab safety:</w:t>
      </w:r>
    </w:p>
    <w:p w14:paraId="34550222" w14:textId="77777777" w:rsidR="00A6021C" w:rsidRDefault="00A6021C" w:rsidP="00A6021C">
      <w:r>
        <w:t>Nickel (</w:t>
      </w:r>
      <w:r w:rsidRPr="006C007D">
        <w:rPr>
          <w:vertAlign w:val="subscript"/>
        </w:rPr>
        <w:t>28</w:t>
      </w:r>
      <w:r w:rsidRPr="006C007D">
        <w:t>Ni</w:t>
      </w:r>
      <w:r>
        <w:t xml:space="preserve">) is a common heavy metal and EU priority pollutant </w:t>
      </w:r>
      <w:r>
        <w:fldChar w:fldCharType="begin" w:fldLock="1"/>
      </w:r>
      <w:r>
        <w:instrText>ADDIN CSL_CITATION { "citationItems" : [ { "id" : "ITEM-1", "itemData" : { "URL" : "http://ec.europa.eu/environment/water/water-framework/priority_substances.htm", "author" : [ { "dropping-particle" : "", "family" : "EC", "given" : "", "non-dropping-particle" : "", "parse-names" : false, "suffix" : "" } ], "id" : "ITEM-1", "issued" : { "date-parts" : [ [ "2008" ] ] }, "title" : "Priority Substances and Certain Other Pollutants according to Annex II of Directive 2008/105/EC", "type" : "webpage" }, "uris" : [ "http://www.mendeley.com/documents/?uuid=39e8c0be-defc-4105-9328-6928f5c4bdc6" ] } ], "mendeley" : { "formattedCitation" : "(EC, 2008)", "plainTextFormattedCitation" : "(EC, 2008)", "previouslyFormattedCitation" : "(EC, 2008)" }, "properties" : { "noteIndex" : 0 }, "schema" : "https://github.com/citation-style-language/schema/raw/master/csl-citation.json" }</w:instrText>
      </w:r>
      <w:r>
        <w:fldChar w:fldCharType="separate"/>
      </w:r>
      <w:r w:rsidRPr="00362F5B">
        <w:rPr>
          <w:noProof/>
        </w:rPr>
        <w:t>(EC, 2008)</w:t>
      </w:r>
      <w:r>
        <w:fldChar w:fldCharType="end"/>
      </w:r>
      <w:r>
        <w:t xml:space="preserve">, carcinogen </w:t>
      </w:r>
      <w:r>
        <w:fldChar w:fldCharType="begin" w:fldLock="1"/>
      </w:r>
      <w:r>
        <w:instrText>ADDIN CSL_CITATION { "citationItems" : [ { "id" : "ITEM-1", "itemData" : { "DOI" : "10.1289/ehp.94102s1275", "ISBN" : "0091-6765 (Print)", "ISSN" : "00916765", "PMID" : "8187719", "abstract" : "Recent progress in risk assessment of nickel carcinogenicity and its correlation with occupational lung cancer in nickel-exposed workers is reviewed. Epidemiological investigations provide reliable data indicating the close relation between nickel exposure and high lung cancer risk, especially in nickel refineries. The nickel species-specific effects and the dose-response relationship between nickel exposure and lung cancer are among the main questions that are explored extensively. It is also suggested that some confounding factors such as cigarette smoking cannot be neglected. The determination of nickel concentration in lung tissue may be conducive to estimating the nickel exposure level, but it is uncertain whether the high nickel content in lung tissue indicates high lung cancer risk in nickel-exposed workers. Immunologic studies suggest that the suppressive effect of nickel on NK cell activity and interferon production may also be involved in the mechanisms of nickel carcinogenesis. As a potential mutagen, nickel can cause chromosome damage both in vitro and in vivo; and on a molecular basis, nickel is found to induce DNA damage (DNA strandbreaks and crosslinks, infidelity of DNA replication, inhibition of DNA repair, and the helical transition of B-DNA to Z-DNA) by binding of nickel ions to DNA and nuclear proteins. The discovery of oncogene promises both a challenge and an opportunity for nickel carcinogenesis research. It can be predicted that, with the rapid development of molecular biology and oncology, new approaches will be established for both understanding and controlling nickel-induced occupational lung cancer.", "author" : [ { "dropping-particle" : "", "family" : "Shen", "given" : "H. M.", "non-dropping-particle" : "", "parse-names" : false, "suffix" : "" }, { "dropping-particle" : "", "family" : "Zhang", "given" : "Qi Feng", "non-dropping-particle" : "", "parse-names" : false, "suffix" : "" } ], "container-title" : "Environmental Health Perspectives", "id" : "ITEM-1", "issue" : "SUPPL. 1", "issued" : { "date-parts" : [ [ "1994" ] ] }, "page" : "275-282", "title" : "Risk assessment of nickel carcinogenicity and occupational lung cancer", "type" : "paper-conference", "volume" : "102" }, "uris" : [ "http://www.mendeley.com/documents/?uuid=aa6c84cf-6a62-4421-bc3b-4bf7903f60de" ] } ], "mendeley" : { "formattedCitation" : "(Shen and Zhang, 1994)", "plainTextFormattedCitation" : "(Shen and Zhang, 1994)", "previouslyFormattedCitation" : "(Shen and Zhang, 1994)" }, "properties" : { "noteIndex" : 0 }, "schema" : "https://github.com/citation-style-language/schema/raw/master/csl-citation.json" }</w:instrText>
      </w:r>
      <w:r>
        <w:fldChar w:fldCharType="separate"/>
      </w:r>
      <w:r w:rsidRPr="00362F5B">
        <w:rPr>
          <w:noProof/>
        </w:rPr>
        <w:t>(Shen and Zhang, 1994)</w:t>
      </w:r>
      <w:r>
        <w:fldChar w:fldCharType="end"/>
      </w:r>
      <w:r>
        <w:t xml:space="preserve"> a common alloy ingredient, and occasional essential nutrient in bacteria and fungi </w:t>
      </w:r>
      <w:r>
        <w:fldChar w:fldCharType="begin" w:fldLock="1"/>
      </w:r>
      <w:r>
        <w:instrText>ADDIN CSL_CITATION { "citationItems" : [ { "id" : "ITEM-1", "itemData" : { "DOI" : "10.1039/c5mt90013a", "ISSN" : "1756591X", "abstract" : "Editorial de la revista", "author" : [ { "dropping-particle" : "", "family" : "Zamble", "given" : "D. B.", "non-dropping-particle" : "", "parse-names" : false, "suffix" : "" } ], "container-title" : "Metallomics", "id" : "ITEM-1", "issue" : "4", "issued" : { "date-parts" : [ [ "2015" ] ] }, "page" : "588-589", "publisher" : "Royal Society of Chemistry", "title" : "Nickel in biology", "type" : "article-journal", "volume" : "7" }, "uris" : [ "http://www.mendeley.com/documents/?uuid=846880bb-407f-4749-be2f-045c9928e355" ] } ], "mendeley" : { "formattedCitation" : "(Zamble, 2015)", "plainTextFormattedCitation" : "(Zamble, 2015)", "previouslyFormattedCitation" : "(Zamble, 2015)" }, "properties" : { "noteIndex" : 0 }, "schema" : "https://github.com/citation-style-language/schema/raw/master/csl-citation.json" }</w:instrText>
      </w:r>
      <w:r>
        <w:fldChar w:fldCharType="separate"/>
      </w:r>
      <w:r w:rsidRPr="00362F5B">
        <w:rPr>
          <w:noProof/>
        </w:rPr>
        <w:t>(Zamble, 2015)</w:t>
      </w:r>
      <w:r>
        <w:fldChar w:fldCharType="end"/>
      </w:r>
      <w:r>
        <w:t xml:space="preserve">. Defence systems against nickel are common in bacteria </w:t>
      </w:r>
      <w:r>
        <w:fldChar w:fldCharType="begin" w:fldLock="1"/>
      </w:r>
      <w:r>
        <w:instrText>ADDIN CSL_CITATION { "citationItems" : [ { "id" : "ITEM-1", "itemData" : { "DOI" : "10.1016/j.gexplo.2008.03.003", "ISBN" : "0375-6742", "ISSN" : "03756742", "PMID" : "23858", "abstract" : "Acid mine waters have the potential to seriously impair the environmental quality of aquatic systems long after mining activities have ceased. This detailed study of dissolved and particulate metal fluxes from adits, drains and streams in the River Tamar catchment, southwest England, showed that seven specific sources, of the 25 adits and streams surveyed, accounted for more than 75% each of the 13 t a- 1Fe, 4.3 t a- 1Mn, 4.2 t a- 1Cu, 3.6 t a- 1Zn and 1.4 t a- 1As that we estimated to be discharged annually from the abandoned metalliferous mining area centred around Calstock and Gunnislake. Upstream of this study area, widespread multi-metallic mineralisation contributed to the flux of Fe, Mn, As, Co, Cu and Zn within the River Tamar. Simple mass balance calculations indicated that a large proportion (\u2265 50% for most dissolved and particulate metals) of the metal flux in the River Tamar was unaccounted for by our survey, and therefore is likely to have an important diffuse component, which is subject to ongoing investigations. Potential impacts of mine contamination on the estuarine environment are discussed. The study provided information necessary to prioritise monitoring and remediation efforts in the context of sustainable catchment management. \u00a9 2008 Elsevier B.V. All rights reserved.", "author" : [ { "dropping-particle" : "", "family" : "Mighanetara", "given" : "Krongkaew", "non-dropping-particle" : "", "parse-names" : false, "suffix" : "" }, { "dropping-particle" : "", "family" : "Braungardt", "given" : "Charlotte B.", "non-dropping-particle" : "", "parse-names" : false, "suffix" : "" }, { "dropping-particle" : "", "family" : "Rieuwerts", "given" : "John S.", "non-dropping-particle" : "", "parse-names" : false, "suffix" : "" }, { "dropping-particle" : "", "family" : "Azizi", "given" : "Fethi", "non-dropping-particle" : "", "parse-names" : false, "suffix" : "" } ], "container-title" : "Journal of Geochemical Exploration", "id" : "ITEM-1", "issue" : "2-3", "issued" : { "date-parts" : [ [ "2009", "2", "1" ] ] }, "page" : "116-124", "publisher" : "Elsevier", "title" : "Contaminant fluxes from point and diffuse sources from abandoned mines in the River Tamar catchment, UK", "type" : "article-journal", "volume" : "100" }, "uris" : [ "http://www.mendeley.com/documents/?uuid=d4ed3aa3-578c-3a6e-803e-7e3502c9ed47" ] } ], "mendeley" : { "formattedCitation" : "(Mighanetara &lt;i&gt;et al.&lt;/i&gt;, 2009)", "plainTextFormattedCitation" : "(Mighanetara et al., 2009)", "previouslyFormattedCitation" : "(Mighanetara &lt;i&gt;et al.&lt;/i&gt;, 2009)" }, "properties" : { "noteIndex" : 0 }, "schema" : "https://github.com/citation-style-language/schema/raw/master/csl-citation.json" }</w:instrText>
      </w:r>
      <w:r>
        <w:fldChar w:fldCharType="separate"/>
      </w:r>
      <w:r w:rsidRPr="00362F5B">
        <w:rPr>
          <w:noProof/>
        </w:rPr>
        <w:t xml:space="preserve">(Mighanetara </w:t>
      </w:r>
      <w:r w:rsidRPr="00362F5B">
        <w:rPr>
          <w:i/>
          <w:noProof/>
        </w:rPr>
        <w:t>et al.</w:t>
      </w:r>
      <w:r w:rsidRPr="00362F5B">
        <w:rPr>
          <w:noProof/>
        </w:rPr>
        <w:t>, 2009)</w:t>
      </w:r>
      <w:r>
        <w:fldChar w:fldCharType="end"/>
      </w:r>
      <w:r>
        <w:t xml:space="preserve">, but bacterial responses to environmental nickel vary from greedy consumption </w:t>
      </w:r>
      <w:r>
        <w:fldChar w:fldCharType="begin" w:fldLock="1"/>
      </w:r>
      <w:r>
        <w:instrText>ADDIN CSL_CITATION { "citationItems" : [ { "id" : "ITEM-1", "itemData" : { "DOI" : "10.1039/c5mt90013a", "ISSN" : "1756591X", "abstract" : "Editorial de la revista", "author" : [ { "dropping-particle" : "", "family" : "Zamble", "given" : "D. B.", "non-dropping-particle" : "", "parse-names" : false, "suffix" : "" } ], "container-title" : "Metallomics", "id" : "ITEM-1", "issue" : "4", "issued" : { "date-parts" : [ [ "2015" ] ] }, "page" : "588-589", "publisher" : "Royal Society of Chemistry", "title" : "Nickel in biology", "type" : "article-journal", "volume" : "7" }, "uris" : [ "http://www.mendeley.com/documents/?uuid=846880bb-407f-4749-be2f-045c9928e355" ] } ], "mendeley" : { "formattedCitation" : "(Zamble, 2015)", "plainTextFormattedCitation" : "(Zamble, 2015)", "previouslyFormattedCitation" : "(Zamble, 2015)" }, "properties" : { "noteIndex" : 0 }, "schema" : "https://github.com/citation-style-language/schema/raw/master/csl-citation.json" }</w:instrText>
      </w:r>
      <w:r>
        <w:fldChar w:fldCharType="separate"/>
      </w:r>
      <w:r w:rsidRPr="00362F5B">
        <w:rPr>
          <w:noProof/>
        </w:rPr>
        <w:t>(Zamble, 2015)</w:t>
      </w:r>
      <w:r>
        <w:fldChar w:fldCharType="end"/>
      </w:r>
      <w:r>
        <w:t xml:space="preserve"> to enzymatic inhibition and disruption of iron and zinc homeostasis </w:t>
      </w:r>
      <w:r>
        <w:fldChar w:fldCharType="begin" w:fldLock="1"/>
      </w:r>
      <w:r>
        <w:instrText>ADDIN CSL_CITATION { "citationItems" : [ { "id" : "ITEM-1", "itemData" : { "DOI" : "10.1128/JB.01062-10", "ISBN" : "1098-5530 (Electronic)\\r0021-9193 (Linking)", "ISSN" : "00219193", "PMID" : "21097627", "abstract" : "Iron acquisition in aerobic habitats is complicated by the low solubility of ferric hydroxides. Siderophores that bind ferric iron with high affinity are used to mobilize iron. The reduction of ferric iron to the ferrous form can be coupled to the release of iron from siderophores. Iron is also stored intracellularly as a ferric mineral in proteins, such as ferritin, and must be reduced during release. In Escherichia coli, the yqjH gene encodes a putative ferric siderophore reductase that is also part of the Fur regulon. Here we show that YqjH has ferric reductase activity and is required for iron homeostasis in E. coli. Divergently transcribed from yqjH is the yqjI gene, which encodes a novel member of the winged-helix family of transcriptional regulators and also contains an N-terminal extension similar to the Ni(2+)-binding C-terminal tail of SlyD. Deletion of yqjI leads to constitutive high-level activity of the yqjH and yqjI promoters. Purified YqjI binds inverted repeat target sequences within the yqjH and yqjI promoters. We also observed that YqjI-dependent transcriptional repression is reduced when cells are exposed to elevated nickel levels, resulting in increased expression of yqjH and yqjI. YqjI binding to nickel or iron reduces YqjI DNA-binding activity in vitro. Furthermore, we found that elevated nickel stress levels disrupt iron homeostasis in E. coli and that deletion of yqjH increases nickel toxicity. Our results suggest that the YqjI protein controls expression of yqjH to help maintain iron homeostasis under conditions (such as elevated cellular nickel levels) that disrupt iron metabolism.", "author" : [ { "dropping-particle" : "", "family" : "Wang", "given" : "Suning", "non-dropping-particle" : "", "parse-names" : false, "suffix" : "" }, { "dropping-particle" : "", "family" : "Wu", "given" : "Yun", "non-dropping-particle" : "", "parse-names" : false, "suffix" : "" }, { "dropping-particle" : "", "family" : "Outten", "given" : "F. Wayne", "non-dropping-particle" : "", "parse-names" : false, "suffix" : "" } ], "container-title" : "Journal of Bacteriology", "id" : "ITEM-1", "issue" : "2", "issued" : { "date-parts" : [ [ "2011" ] ] }, "page" : "563-574", "title" : "Fur and the novel regulator yqji control transcription of the ferric reductase gene yqjh in escherichia coli", "type" : "article-journal", "volume" : "193" }, "uris" : [ "http://www.mendeley.com/documents/?uuid=d3f78dfd-41d4-424a-90c9-92b2dcd3e799" ] }, { "id" : "ITEM-2", "itemData" : { "DOI" : "10.1007/s00253-006-0422-6", "ISBN" : "0175-7598 (Print)\\r0175-7598 (Linking)", "ISSN" : "01757598", "PMID" : "16614860", "abstract" : "Aldolases are a specific group of lyases that catalyze the reversible stereoselective addition of a donor compound (nucleophile) onto an acceptor compound (electrophile). Whereas most aldolases are specific for their donor compound in the aldolization reaction, they often tolerate a wide range of aldehydes as acceptor compounds. C-C bonding by aldolases creates stereocenters in the resulting aldol products. This makes aldolases interesting tools for asymmetric syntheses of rare sugars or sugar-derived compounds as iminocyclitols, statins, epothilones, and sialic acids. Besides the well-known fructose 1,6-bisphosphate aldolase, other aldolases of microbial origin have attracted the interest of synthetic bio-organic chemists in recent years. These are either other dihydroxyacetone phosphate aldolases or aldolases depending on pyruvate/phosphoenolpyruvate, glycine, or acetaldehyde as donor substrate. Recently, an aldolase that accepts dihydroxyacetone or hydroxyacetone as a donor was described. A further enlargement of the arsenal of available chemoenzymatic tools can be achieved through screening for novel aldolase activities and directed evolution of existing aldolases to alter their substrate- or stereospecifities. We give an update of work on aldolases, with an emphasis on microbial aldolases.", "author" : [ { "dropping-particle" : "", "family" : "Samland", "given" : "Anne K.", "non-dropping-particle" : "", "parse-names" : false, "suffix" : "" }, { "dropping-particle" : "", "family" : "Sprenger", "given" : "Georg A.", "non-dropping-particle" : "", "parse-names" : false, "suffix" : "" } ], "container-title" : "Applied Microbiology and Biotechnology", "id" : "ITEM-2", "issue" : "3", "issued" : { "date-parts" : [ [ "2006" ] ] }, "page" : "253-264", "title" : "Microbial aldolases as C-C bonding enzymes - Unknown treasures and new developments", "type" : "article-journal", "volume" : "71" }, "uris" : [ "http://www.mendeley.com/documents/?uuid=55c5b7e6-61df-4591-ab5a-ef5e4b6ca00f" ] } ], "mendeley" : { "formattedCitation" : "(Samland and Sprenger, 2006; Wang, Wu and Outten, 2011)", "plainTextFormattedCitation" : "(Samland and Sprenger, 2006; Wang, Wu and Outten, 2011)", "previouslyFormattedCitation" : "(Samland and Sprenger, 2006; Wang, Wu and Outten, 2011)" }, "properties" : { "noteIndex" : 0 }, "schema" : "https://github.com/citation-style-language/schema/raw/master/csl-citation.json" }</w:instrText>
      </w:r>
      <w:r>
        <w:fldChar w:fldCharType="separate"/>
      </w:r>
      <w:r w:rsidRPr="00362F5B">
        <w:rPr>
          <w:noProof/>
        </w:rPr>
        <w:t>(Samland and Sprenger, 2006; Wang, Wu and Outten, 2011)</w:t>
      </w:r>
      <w:r>
        <w:fldChar w:fldCharType="end"/>
      </w:r>
      <w:r>
        <w:t xml:space="preserve"> necessitating a delicate balance of active efflux </w:t>
      </w:r>
      <w:r>
        <w:fldChar w:fldCharType="begin" w:fldLock="1"/>
      </w:r>
      <w:r>
        <w:instrText>ADDIN CSL_CITATION { "citationItems" : [ { "id" : "ITEM-1", "itemData" : { "DOI" : "10.1002/9781119004813.ch110", "ISBN" : "9781119004813", "abstract" : "\u00a9 2016 John Wiley &amp; Sons, Inc. All rights reserved.Divalent nickel is found in most biologically relevant environments and, like all transition metals, has the potential to damage cells. As such, the mechanisms of nickel toxicity are fundamental to our understanding of the evolution of nickel regulation and defense that mitigates the toxic effects of this metal. While the diversity of bacterial ecology and cellular physiology can make the specific target of nickel toxicity variable, an increasing number of studies are beginning to delineate three themes of nickel toxicity: inhibition of metalloproteins, interaction with enzyme active-site His or Cys residues, and the potential to create or enhance oxidative stress. Due to this inherent toxicity, it is imperative that cells detect and defend themselves from toxic levels of nickel. In this chapter, we highlight the themes of nickel-dependent toxicity, regulation, and defense in bacteria.", "author" : [ { "dropping-particle" : "", "family" : "Macomber", "given" : "Lee", "non-dropping-particle" : "", "parse-names" : false, "suffix" : "" }, { "dropping-particle" : "", "family" : "Hausinger", "given" : "Robert P", "non-dropping-particle" : "", "parse-names" : false, "suffix" : "" } ], "container-title" : "Stress and Environmental Regulation of Gene Expression and Adaptation in Bacteria", "id" : "ITEM-1", "issued" : { "date-parts" : [ [ "2016" ] ] }, "page" : "1131-1144", "title" : "Nickel Toxicity, Regulation, and Resistance in Bacteria", "type" : "chapter", "volume" : "2" }, "uris" : [ "http://www.mendeley.com/documents/?uuid=46f254dd-b095-3f1f-8e12-9b382497f2cd" ] } ], "mendeley" : { "formattedCitation" : "(Macomber and Hausinger, 2016)", "plainTextFormattedCitation" : "(Macomber and Hausinger, 2016)", "previouslyFormattedCitation" : "(Macomber and Hausinger, 2016)" }, "properties" : { "noteIndex" : 0 }, "schema" : "https://github.com/citation-style-language/schema/raw/master/csl-citation.json" }</w:instrText>
      </w:r>
      <w:r>
        <w:fldChar w:fldCharType="separate"/>
      </w:r>
      <w:r w:rsidRPr="00362F5B">
        <w:rPr>
          <w:noProof/>
        </w:rPr>
        <w:t>(Macomber and Hausinger, 2016)</w:t>
      </w:r>
      <w:r>
        <w:fldChar w:fldCharType="end"/>
      </w:r>
      <w:r>
        <w:t xml:space="preserve"> and sequestration </w:t>
      </w:r>
      <w:r>
        <w:fldChar w:fldCharType="begin" w:fldLock="1"/>
      </w:r>
      <w:r>
        <w:instrText>ADDIN CSL_CITATION { "citationItems" : [ { "id" : "ITEM-1", "itemData" : { "author" : [ { "dropping-particle" : "", "family" : "Nishimura", "given" : "Ken", "non-dropping-particle" : "", "parse-names" : false, "suffix" : "" }, { "dropping-particle" : "", "family" : "Igarashi", "given" : "Kazuei", "non-dropping-particle" : "", "parse-names" : false, "suffix" : "" }, { "dropping-particle" : "", "family" : "Kakinuma", "given" : "Yoshimi", "non-dropping-particle" : "", "parse-names" : false, "suffix" : "" } ], "id" : "ITEM-1", "issue" : "7", "issued" : { "date-parts" : [ [ "1998" ] ] }, "page" : "1-4", "title" : "Proton Gradient-Driven Nickel Uptake by Vacuolar Membrane Vesicles of Saccharomyces cerevisiae Proton Gradient-Driven Nickel Uptake by Vacuolar Membrane Vesicles of Saccharomyces cerevisiae", "type" : "article-journal", "volume" : "180" }, "uris" : [ "http://www.mendeley.com/documents/?uuid=defa1f36-a40d-4173-b0e7-2eefb88feeda" ] } ], "mendeley" : { "formattedCitation" : "(Nishimura, Igarashi and Kakinuma, 1998)", "plainTextFormattedCitation" : "(Nishimura, Igarashi and Kakinuma, 1998)", "previouslyFormattedCitation" : "(Nishimura, Igarashi and Kakinuma, 1998)" }, "properties" : { "noteIndex" : 0 }, "schema" : "https://github.com/citation-style-language/schema/raw/master/csl-citation.json" }</w:instrText>
      </w:r>
      <w:r>
        <w:fldChar w:fldCharType="separate"/>
      </w:r>
      <w:r w:rsidRPr="00362F5B">
        <w:rPr>
          <w:noProof/>
        </w:rPr>
        <w:t>(Nishimura, Igarashi and Kakinuma, 1998)</w:t>
      </w:r>
      <w:r>
        <w:fldChar w:fldCharType="end"/>
      </w:r>
      <w:r>
        <w:t xml:space="preserve"> with osmotic influx in order to maintain internal nickel at an optimum concentration. Nickel can also cause DNA damage via the generation of reactive oxygen species (ROS), although it is believed to be a minor source of oxidative stress compared to copper </w:t>
      </w:r>
      <w:r>
        <w:fldChar w:fldCharType="begin" w:fldLock="1"/>
      </w:r>
      <w:r>
        <w:instrText>ADDIN CSL_CITATION { "citationItems" : [ { "id" : "ITEM-1", "itemData" : { "DOI" : "10.1016/S0378-4274(01)00483-0", "ISSN" : "03784274", "PMID" : "12052641", "abstract" : "The metal ions carcinogenic to humans are As, Be, Cd, Cr and Ni, and the candidates also include Co, Cu, Fe and Pt. A range of molecular mechanisms was proposed for these metals, reflecting their diverse chemical properties. The oxidative concept in metal carcinogenesis proposes that some complexes of the above metals (Co, Cr, Cu, Fe, Ni) formed in vivo undergo redox cycling, yielding reactive oxygen species and/or high valence metal ions which oxidize DNA. Some of the products of oxidative DNA damage, including 8-oxoguanine and strand breaks, induce mutations, which may lead to neoplastic transformation. The establishment of metal-binding modes in the cell nucleus and of their reactivity is crucial for the understanding of molecular events in metal carcinogenesis. We have proposed the binding sites for Ni(II) and Cu(II) in core histones (H3, H2A) and sperm protamines (HP2) and, using molecular models, provided evidence for the generation of promutagenic oxidative DNA damage by the bound metals. \u00a9 2002 Elsevier Science Ireland Ltd. All rights reserved.", "author" : [ { "dropping-particle" : "", "family" : "Bal", "given" : "Wojciech", "non-dropping-particle" : "", "parse-names" : false, "suffix" : "" }, { "dropping-particle" : "", "family" : "Kasprzak", "given" : "Kazimierz S.", "non-dropping-particle" : "", "parse-names" : false, "suffix" : "" } ], "container-title" : "Toxicology Letters", "id" : "ITEM-1", "issue" : "1-3", "issued" : { "date-parts" : [ [ "2002" ] ] }, "page" : "55-62", "title" : "Induction of oxidative DNA damage by carcinogenic metals", "type" : "article-journal", "volume" : "127" }, "uris" : [ "http://www.mendeley.com/documents/?uuid=d7780eb8-5a20-4e0d-a58b-173091855026" ] } ], "mendeley" : { "formattedCitation" : "(Bal and Kasprzak, 2002)", "plainTextFormattedCitation" : "(Bal and Kasprzak, 2002)", "previouslyFormattedCitation" : "(Bal and Kasprzak, 2002)" }, "properties" : { "noteIndex" : 0 }, "schema" : "https://github.com/citation-style-language/schema/raw/master/csl-citation.json" }</w:instrText>
      </w:r>
      <w:r>
        <w:fldChar w:fldCharType="separate"/>
      </w:r>
      <w:r w:rsidRPr="00362F5B">
        <w:rPr>
          <w:noProof/>
        </w:rPr>
        <w:t>(Bal and Kasprzak, 2002)</w:t>
      </w:r>
      <w:r>
        <w:fldChar w:fldCharType="end"/>
      </w:r>
      <w:r>
        <w:t>.</w:t>
      </w:r>
    </w:p>
    <w:p w14:paraId="3C3F9976" w14:textId="77777777" w:rsidR="00A6021C" w:rsidRDefault="00A6021C" w:rsidP="00A6021C">
      <w:r>
        <w:t>Copper (</w:t>
      </w:r>
      <w:r w:rsidRPr="00B16E90">
        <w:rPr>
          <w:vertAlign w:val="subscript"/>
        </w:rPr>
        <w:t>29</w:t>
      </w:r>
      <w:r>
        <w:t xml:space="preserve">Cu) is another common heavy metal, used in alloys, electronics, anti-microbial surfaces and a wide range of sundry applications. Copper is an essential nutrient due to its presence in cytochrome-c-oxidase </w:t>
      </w:r>
      <w:r>
        <w:fldChar w:fldCharType="begin" w:fldLock="1"/>
      </w:r>
      <w:r>
        <w:instrText>ADDIN CSL_CITATION { "citationItems" : [ { "id" : "ITEM-1", "itemData" : { "DOI" : "10.1038/356301a0", "ISBN" : "0028-0836 (Print)\\r0028-0836 (Linking)", "ISSN" : "00280836", "PMID" : "1312679", "abstract" : "Many of the membrane-associated oxidases that catalyse respiratory reduction of O2 to water simultaneously couple this exergonic reaction to the translocation of protons across the inner mitochondrial membrane, or the cell membrane in prokaryotes, a process by which metabolic energy is conserved for subsequent synthesis of ATP. The molecular mechanism of O2 reduction and its linkage to H+ translocation are now emerging. The bimetallic haem iron-copper reaction centre in this family of enzymes is the critical structure for catalysis of both these processes.", "author" : [ { "dropping-particle" : "", "family" : "Babcock", "given" : "Gerald T.", "non-dropping-particle" : "", "parse-names" : false, "suffix" : "" }, { "dropping-particle" : "", "family" : "Wikstr\u00f6m", "given" : "M\u00e5rten", "non-dropping-particle" : "", "parse-names" : false, "suffix" : "" } ], "container-title" : "Nature", "id" : "ITEM-1", "issue" : "6367", "issued" : { "date-parts" : [ [ "1992" ] ] }, "page" : "301-309", "title" : "Oxygen activation and the conservation of energy in cell respiration", "type" : "article-journal", "volume" : "356" }, "uris" : [ "http://www.mendeley.com/documents/?uuid=acdcb801-2bac-4199-bfb6-47b5eb0673ee" ] } ], "mendeley" : { "formattedCitation" : "(Babcock and Wikstr\u00f6m, 1992)", "plainTextFormattedCitation" : "(Babcock and Wikstr\u00f6m, 1992)", "previouslyFormattedCitation" : "(Babcock and Wikstr\u00f6m, 1992)" }, "properties" : { "noteIndex" : 0 }, "schema" : "https://github.com/citation-style-language/schema/raw/master/csl-citation.json" }</w:instrText>
      </w:r>
      <w:r>
        <w:fldChar w:fldCharType="separate"/>
      </w:r>
      <w:r w:rsidRPr="00362F5B">
        <w:rPr>
          <w:noProof/>
        </w:rPr>
        <w:t>(Babcock and Wikström, 1992)</w:t>
      </w:r>
      <w:r>
        <w:fldChar w:fldCharType="end"/>
      </w:r>
      <w:r>
        <w:t xml:space="preserve">, a practically omnipresent respiratory enzyme. Bacteria have been shown to be extremely sensitive to copper, due to its disruption of vital biosynthesis enzymes, and effect resistance against it through active efflux, chelation, and rapid repair of damaged enzymes </w:t>
      </w:r>
      <w:r>
        <w:fldChar w:fldCharType="begin" w:fldLock="1"/>
      </w:r>
      <w:r>
        <w:instrText>ADDIN CSL_CITATION { "citationItems" : [ { "id" : "ITEM-1", "itemData" : { "author" : [ { "dropping-particle" : "", "family" : "Macomber", "given" : "Lee", "non-dropping-particle" : "", "parse-names" : false, "suffix" : "" }, { "dropping-particle" : "", "family" : "Imlay", "given" : "James A", "non-dropping-particle" : "", "parse-names" : false, "suffix" : "" } ], "id" : "ITEM-1", "issue" : "20", "issued" : { "date-parts" : [ [ "2009" ] ] }, "page" : "8344-8349", "title" : "The iron-sulfur clusters of dehydratases are primary intracellular targets of copper toxicity", "type" : "article-journal", "volume" : "106" }, "uris" : [ "http://www.mendeley.com/documents/?uuid=b17e7f99-f3b3-4706-a522-d4b817948a79" ] } ], "mendeley" : { "formattedCitation" : "(Macomber and Imlay, 2009)", "plainTextFormattedCitation" : "(Macomber and Imlay, 2009)", "previouslyFormattedCitation" : "(Macomber and Imlay, 2009)" }, "properties" : { "noteIndex" : 0 }, "schema" : "https://github.com/citation-style-language/schema/raw/master/csl-citation.json" }</w:instrText>
      </w:r>
      <w:r>
        <w:fldChar w:fldCharType="separate"/>
      </w:r>
      <w:r w:rsidRPr="00362F5B">
        <w:rPr>
          <w:noProof/>
        </w:rPr>
        <w:t>(Macomber and Imlay, 2009)</w:t>
      </w:r>
      <w:r>
        <w:fldChar w:fldCharType="end"/>
      </w:r>
      <w:r>
        <w:t xml:space="preserve">. Copper is also a prolific producer of harmful ROS </w:t>
      </w:r>
      <w:r>
        <w:fldChar w:fldCharType="begin" w:fldLock="1"/>
      </w:r>
      <w:r>
        <w:instrText>ADDIN CSL_CITATION { "citationItems" : [ { "id" : "ITEM-1", "itemData" : { "DOI" : "10.1016/S0378-4274(01)00483-0", "ISSN" : "03784274", "PMID" : "12052641", "abstract" : "The metal ions carcinogenic to humans are As, Be, Cd, Cr and Ni, and the candidates also include Co, Cu, Fe and Pt. A range of molecular mechanisms was proposed for these metals, reflecting their diverse chemical properties. The oxidative concept in metal carcinogenesis proposes that some complexes of the above metals (Co, Cr, Cu, Fe, Ni) formed in vivo undergo redox cycling, yielding reactive oxygen species and/or high valence metal ions which oxidize DNA. Some of the products of oxidative DNA damage, including 8-oxoguanine and strand breaks, induce mutations, which may lead to neoplastic transformation. The establishment of metal-binding modes in the cell nucleus and of their reactivity is crucial for the understanding of molecular events in metal carcinogenesis. We have proposed the binding sites for Ni(II) and Cu(II) in core histones (H3, H2A) and sperm protamines (HP2) and, using molecular models, provided evidence for the generation of promutagenic oxidative DNA damage by the bound metals. \u00a9 2002 Elsevier Science Ireland Ltd. All rights reserved.", "author" : [ { "dropping-particle" : "", "family" : "Bal", "given" : "Wojciech", "non-dropping-particle" : "", "parse-names" : false, "suffix" : "" }, { "dropping-particle" : "", "family" : "Kasprzak", "given" : "Kazimierz S.", "non-dropping-particle" : "", "parse-names" : false, "suffix" : "" } ], "container-title" : "Toxicology Letters", "id" : "ITEM-1", "issue" : "1-3", "issued" : { "date-parts" : [ [ "2002" ] ] }, "page" : "55-62", "title" : "Induction of oxidative DNA damage by carcinogenic metals", "type" : "article-journal", "volume" : "127" }, "uris" : [ "http://www.mendeley.com/documents/?uuid=d7780eb8-5a20-4e0d-a58b-173091855026" ] } ], "mendeley" : { "formattedCitation" : "(Bal and Kasprzak, 2002)", "plainTextFormattedCitation" : "(Bal and Kasprzak, 2002)", "previouslyFormattedCitation" : "(Bal and Kasprzak, 2002)" }, "properties" : { "noteIndex" : 0 }, "schema" : "https://github.com/citation-style-language/schema/raw/master/csl-citation.json" }</w:instrText>
      </w:r>
      <w:r>
        <w:fldChar w:fldCharType="separate"/>
      </w:r>
      <w:r w:rsidRPr="00362F5B">
        <w:rPr>
          <w:noProof/>
        </w:rPr>
        <w:t>(Bal and Kasprzak, 2002)</w:t>
      </w:r>
      <w:r>
        <w:fldChar w:fldCharType="end"/>
      </w:r>
      <w:r>
        <w:t xml:space="preserve">, although chronic copper toxicity is not typically of concern to humans and copper is not considered a carcinogen </w:t>
      </w:r>
      <w:r>
        <w:fldChar w:fldCharType="begin" w:fldLock="1"/>
      </w:r>
      <w:r>
        <w:instrText>ADDIN CSL_CITATION { "citationItems" : [ { "id" : "ITEM-1", "itemData" : { "URL" : "https://echa.europa.eu/substance-information/-/substanceinfo/100.028.326", "author" : [ { "dropping-particle" : "", "family" : "ECHA", "given" : "", "non-dropping-particle" : "", "parse-names" : false, "suffix" : "" } ], "id" : "ITEM-1", "issued" : { "date-parts" : [ [ "2018" ] ] }, "title" : "REACH Substance Information: Copper", "type" : "webpage" }, "uris" : [ "http://www.mendeley.com/documents/?uuid=738427ff-26fc-413e-9995-728107884c52" ] } ], "mendeley" : { "formattedCitation" : "(ECHA, 2018b)", "plainTextFormattedCitation" : "(ECHA, 2018b)", "previouslyFormattedCitation" : "(ECHA, 2018b)" }, "properties" : { "noteIndex" : 0 }, "schema" : "https://github.com/citation-style-language/schema/raw/master/csl-citation.json" }</w:instrText>
      </w:r>
      <w:r>
        <w:fldChar w:fldCharType="separate"/>
      </w:r>
      <w:r w:rsidRPr="00362F5B">
        <w:rPr>
          <w:noProof/>
        </w:rPr>
        <w:t>(ECHA, 2018b)</w:t>
      </w:r>
      <w:r>
        <w:fldChar w:fldCharType="end"/>
      </w:r>
      <w:r>
        <w:t xml:space="preserve">. While little mechanistic information is available, it appears that copper and nickel affect and are resisted by similar cell elements and pathways </w:t>
      </w:r>
      <w:r>
        <w:fldChar w:fldCharType="begin" w:fldLock="1"/>
      </w:r>
      <w:r>
        <w:instrText>ADDIN CSL_CITATION { "citationItems" : [ { "id" : "ITEM-1", "itemData" : { "DOI" : "10.1016/j.micres.2010.03.004", "ISSN" : "0944-5013", "author" : [ { "dropping-particle" : "", "family" : "Mykytczuk", "given" : "N C S", "non-dropping-particle" : "", "parse-names" : false, "suffix" : "" }, { "dropping-particle" : "", "family" : "Trevors", "given" : "J T", "non-dropping-particle" : "", "parse-names" : false, "suffix" : "" }, { "dropping-particle" : "", "family" : "Ferroni", "given" : "G D", "non-dropping-particle" : "", "parse-names" : false, "suffix" : "" }, { "dropping-particle" : "", "family" : "Leduc", "given" : "L G", "non-dropping-particle" : "", "parse-names" : false, "suffix" : "" } ], "container-title" : "Microbiological Research", "id" : "ITEM-1", "issue" : "3", "issued" : { "date-parts" : [ [ "2011" ] ] }, "page" : "186-206", "publisher" : "Elsevier GmbH.", "title" : "Cytoplasmic membrane response to copper and nickel in Acidithiobacillus ferrooxidans", "type" : "article-journal", "volume" : "166" }, "uris" : [ "http://www.mendeley.com/documents/?uuid=e0940c6f-6c90-4695-bfbd-99ba1b942cf4" ] } ], "mendeley" : { "formattedCitation" : "(Mykytczuk &lt;i&gt;et al.&lt;/i&gt;, 2011)", "plainTextFormattedCitation" : "(Mykytczuk et al., 2011)", "previouslyFormattedCitation" : "(Mykytczuk &lt;i&gt;et al.&lt;/i&gt;, 2011)" }, "properties" : { "noteIndex" : 0 }, "schema" : "https://github.com/citation-style-language/schema/raw/master/csl-citation.json" }</w:instrText>
      </w:r>
      <w:r>
        <w:fldChar w:fldCharType="separate"/>
      </w:r>
      <w:r w:rsidRPr="00362F5B">
        <w:rPr>
          <w:noProof/>
        </w:rPr>
        <w:t xml:space="preserve">(Mykytczuk </w:t>
      </w:r>
      <w:r w:rsidRPr="00362F5B">
        <w:rPr>
          <w:i/>
          <w:noProof/>
        </w:rPr>
        <w:t>et al.</w:t>
      </w:r>
      <w:r w:rsidRPr="00362F5B">
        <w:rPr>
          <w:noProof/>
        </w:rPr>
        <w:t>, 2011)</w:t>
      </w:r>
      <w:r>
        <w:fldChar w:fldCharType="end"/>
      </w:r>
      <w:r>
        <w:t>.</w:t>
      </w:r>
    </w:p>
    <w:p w14:paraId="6EEF05CD" w14:textId="77777777" w:rsidR="00A6021C" w:rsidRDefault="00A6021C" w:rsidP="00A6021C">
      <w:pPr>
        <w:rPr>
          <w:i/>
        </w:rPr>
      </w:pPr>
      <w:r w:rsidRPr="00CB79A1">
        <w:rPr>
          <w:i/>
        </w:rPr>
        <w:t>Antib</w:t>
      </w:r>
      <w:r>
        <w:rPr>
          <w:i/>
        </w:rPr>
        <w:t>acterials</w:t>
      </w:r>
    </w:p>
    <w:p w14:paraId="62BE83AE" w14:textId="77777777" w:rsidR="00A6021C" w:rsidRDefault="00A6021C" w:rsidP="00A6021C">
      <w:r>
        <w:t xml:space="preserve">Antibacterials or antibiotics refers to a range of bactericidal agents that are used for the therapeutic treatment of infections thanks to their relative selectivity. The issue of environmental antibiotic pollution has attracted a great deal of scientific and legislative attention in recent years due to the threat of antimicrobial resistance </w:t>
      </w:r>
      <w:r>
        <w:fldChar w:fldCharType="begin" w:fldLock="1"/>
      </w:r>
      <w:r>
        <w:instrText>ADDIN CSL_CITATION { "citationItems" : [ { "id" : "ITEM-1", "itemData" : { "DOI" : "10.1016/S0140-6736(15)00473-0", "ISBN" : "0140-6736\\r1474-547X", "ISSN" : "1474547X", "PMID" : "26603922", "abstract" : "To combat the threat to human health and biosecurity from antimicrobial resistance, an understanding of its mechanisms and drivers is needed. Emergence of antimicrobial resistance in microorganisms is a natural phenomenon, yet antimicrobial resistance selection has been driven by antimicrobial exposure in health care, agriculture, and the environment. Onward transmission is affected by standards of infection control, sanitation, access to clean water, access to assured quality antimicrobials and diagnostics, travel, and migration. Strategies to reduce antimicrobial resistance by removing antimicrobial selective pressure alone rely upon resistance imparting a fitness cost, an effect not always apparent. Minimising resistance should therefore be considered comprehensively, by resistance mechanism, microorganism, antimicrobial drug, host, and context; parallel to new drug discovery, broad ranging, multidisciplinary research is needed across these five levels, interlinked across the health-care, agriculture, and environment sectors. Intelligent, integrated approaches, mindful of potential unintended results, are needed to ensure sustained, worldwide access to effective antimicrobials.", "author" : [ { "dropping-particle" : "", "family" : "Holmes", "given" : "Alison H.", "non-dropping-particle" : "", "parse-names" : false, "suffix" : "" }, { "dropping-particle" : "", "family" : "Moore", "given" : "Luke S.P.", "non-dropping-particle" : "", "parse-names" : false, "suffix" : "" }, { "dropping-particle" : "", "family" : "Sundsfjord", "given" : "Arnfinn", "non-dropping-particle" : "", "parse-names" : false, "suffix" : "" }, { "dropping-particle" : "", "family" : "Steinbakk", "given" : "Martin", "non-dropping-particle" : "", "parse-names" : false, "suffix" : "" }, { "dropping-particle" : "", "family" : "Regmi", "given" : "Sadie", "non-dropping-particle" : "", "parse-names" : false, "suffix" : "" }, { "dropping-particle" : "", "family" : "Karkey", "given" : "Abhilasha", "non-dropping-particle" : "", "parse-names" : false, "suffix" : "" }, { "dropping-particle" : "", "family" : "Guerin", "given" : "Philippe J.", "non-dropping-particle" : "", "parse-names" : false, "suffix" : "" }, { "dropping-particle" : "", "family" : "Piddock", "given" : "Laura J.V.", "non-dropping-particle" : "", "parse-names" : false, "suffix" : "" } ], "container-title" : "The Lancet", "id" : "ITEM-1", "issue" : "10014", "issued" : { "date-parts" : [ [ "2016" ] ] }, "page" : "176-187", "title" : "Understanding the mechanisms and drivers of antimicrobial resistance", "type" : "article-journal", "volume" : "387" }, "uris" : [ "http://www.mendeley.com/documents/?uuid=aafbda44-deda-479b-832f-28f8f33a9c7d" ] }, { "id" : "ITEM-2", "itemData" : { "author" : [ { "dropping-particle" : "", "family" : "European Commission", "given" : "", "non-dropping-particle" : "", "parse-names" : false, "suffix" : "" } ], "container-title" : "European Commission", "id" : "ITEM-2", "issued" : { "date-parts" : [ [ "2017" ] ] }, "page" : "24", "title" : "A European One Health Action Plan against Antimicrobial Resistance (AMR)", "type" : "article-journal" }, "uris" : [ "http://www.mendeley.com/documents/?uuid=2e1c6c9f-9b2e-47ae-978c-9cfb60ae0782" ] } ], "mendeley" : { "formattedCitation" : "(Holmes &lt;i&gt;et al.&lt;/i&gt;, 2016; European Commission, 2017)", "plainTextFormattedCitation" : "(Holmes et al., 2016; European Commission, 2017)", "previouslyFormattedCitation" : "(Holmes &lt;i&gt;et al.&lt;/i&gt;, 2016; European Commission, 2017)" }, "properties" : { "noteIndex" : 0 }, "schema" : "https://github.com/citation-style-language/schema/raw/master/csl-citation.json" }</w:instrText>
      </w:r>
      <w:r>
        <w:fldChar w:fldCharType="separate"/>
      </w:r>
      <w:r w:rsidRPr="00362F5B">
        <w:rPr>
          <w:noProof/>
        </w:rPr>
        <w:t xml:space="preserve">(Holmes </w:t>
      </w:r>
      <w:r w:rsidRPr="00362F5B">
        <w:rPr>
          <w:i/>
          <w:noProof/>
        </w:rPr>
        <w:t>et al.</w:t>
      </w:r>
      <w:r w:rsidRPr="00362F5B">
        <w:rPr>
          <w:noProof/>
        </w:rPr>
        <w:t>, 2016; European Commission, 2017)</w:t>
      </w:r>
      <w:r>
        <w:fldChar w:fldCharType="end"/>
      </w:r>
      <w:r>
        <w:t xml:space="preserve">, but current understanding of how antibiotics will affect wild communities of bacteria, and the indirect effects on their ecosystems, is far more limited </w:t>
      </w:r>
      <w:r>
        <w:fldChar w:fldCharType="begin" w:fldLock="1"/>
      </w:r>
      <w:r>
        <w:instrText>ADDIN CSL_CITATION { "citationItems" : [ { "id" : "ITEM-1", "itemData" : { "DOI" : "10.1007/s11356-015-4943-3", "ISBN" : "09441344 (ISSN)", "ISSN" : "16147499", "PMID" : "26150293", "abstract" : "Antibiotic use in the early 1900 vastly improved human health but at the same time started an arms race of antibiotic resistance. The widespread use of antibiotics has resulted in ubiquitous trace concentrations of many antibiotics in most environments. Little is known about the impact of these antibiotics on microbial processes or \u201cnon-target\u201d organisms. This mini-review summarizes our knowledge of the effect of synthetically produced antibiotics on microorganisms involved in biogeochemical cycling. We found only 31 articles that dealt with the effects of antibiotics on such processes in soil, sediment, or freshwater. We compare the processes, antibiotics, concentration range, source, environment, and experimental approach of these studies. Examining the effects of antibiotics on biogeochemical processes should involve environmentally relevant concentrations (instead of therapeutic), chronic exposure (versus acute), and monitoring of the administered antibiotics. Furthermore, the lack of standardized tests hinders generalizations regarding the effects of antibiotics on biogeochemical processes. We investigated the effects of antibiotics on biogeochemical N cycling, specifically nitrification, denitrification, and anammox. We found that environmentally relevant concentrations of fluoroquinolones and sulfonamides could partially inhibit denitrification. So far, the only documented effects of antibiotic inhibitions were at therapeutic doses on anammox activities. The most studied and inhibited was nitrification (25\u2013100 %) mainly at therapeutic doses and rarely environmentally relevant. We recommend that firm conclusions regarding inhibition of antibiotics at environmentally relevant concentrations remain difficult due to the lack of studies testing low concentrations at chronic exposure. There is thus a need to test the effects of these environmental concentrations on biogeochemical processes to further establish the possible effects on ecosystem functioning. \u00a9 2015 Springer-Verlag Berlin Heidelberg", "author" : [ { "dropping-particle" : "", "family" : "Roose-Amsaleg", "given" : "C\u00e9line", "non-dropping-particle" : "", "parse-names" : false, "suffix" : "" }, { "dropping-particle" : "", "family" : "Laverman", "given" : "Anniet M.", "non-dropping-particle" : "", "parse-names" : false, "suffix" : "" } ], "container-title" : "Environmental Science and Pollution Research", "id" : "ITEM-1", "issue" : "5", "issued" : { "date-parts" : [ [ "2016" ] ] }, "page" : "4000-4012", "title" : "Do antibiotics have environmental side-effects? Impact of synthetic antibiotics on biogeochemical processes", "type" : "article-journal", "volume" : "23" }, "uris" : [ "http://www.mendeley.com/documents/?uuid=4810d845-1a40-4108-a7c8-d9b243e390e1" ] } ], "mendeley" : { "formattedCitation" : "(Roose-Amsaleg and Laverman, 2016)", "plainTextFormattedCitation" : "(Roose-Amsaleg and Laverman, 2016)", "previouslyFormattedCitation" : "(Roose-Amsaleg and Laverman, 2016)" }, "properties" : { "noteIndex" : 0 }, "schema" : "https://github.com/citation-style-language/schema/raw/master/csl-citation.json" }</w:instrText>
      </w:r>
      <w:r>
        <w:fldChar w:fldCharType="separate"/>
      </w:r>
      <w:r w:rsidRPr="00362F5B">
        <w:rPr>
          <w:noProof/>
        </w:rPr>
        <w:t>(Roose-Amsaleg and Laverman, 2016)</w:t>
      </w:r>
      <w:r>
        <w:fldChar w:fldCharType="end"/>
      </w:r>
      <w:r>
        <w:t>.</w:t>
      </w:r>
    </w:p>
    <w:p w14:paraId="41CE8DF1" w14:textId="77777777" w:rsidR="00A6021C" w:rsidRDefault="00A6021C" w:rsidP="00A6021C">
      <w:r>
        <w:lastRenderedPageBreak/>
        <w:t xml:space="preserve">Despite this increasing focus on antibacterials as an emerging pollutant, their status in EU legislation remains in limbo, with plans to require environmental risk assessments on future pharmaceuticals dropped </w:t>
      </w:r>
      <w:r>
        <w:fldChar w:fldCharType="begin" w:fldLock="1"/>
      </w:r>
      <w:r>
        <w:instrText>ADDIN CSL_CITATION { "citationItems" : [ { "id" : "ITEM-1", "itemData" : { "author" : [ { "dropping-particle" : "", "family" : "Neslen", "given" : "Arthur", "non-dropping-particle" : "", "parse-names" : false, "suffix" : "" } ], "container-title" : "Guardian", "id" : "ITEM-1", "issued" : { "date-parts" : [ [ "2018", "6" ] ] }, "title" : "Antibiotic apocalypse: EU scraps plans to tackle drug pollution, despite fears of rising resistance", "type" : "article-newspaper" }, "uris" : [ "http://www.mendeley.com/documents/?uuid=019f07fa-bc0d-4db5-9e66-0d65a9608573" ] } ], "mendeley" : { "formattedCitation" : "(Neslen, 2018)", "plainTextFormattedCitation" : "(Neslen, 2018)", "previouslyFormattedCitation" : "(Neslen, 2018)" }, "properties" : { "noteIndex" : 0 }, "schema" : "https://github.com/citation-style-language/schema/raw/master/csl-citation.json" }</w:instrText>
      </w:r>
      <w:r>
        <w:fldChar w:fldCharType="separate"/>
      </w:r>
      <w:r w:rsidRPr="00362F5B">
        <w:rPr>
          <w:noProof/>
        </w:rPr>
        <w:t>(Neslen, 2018)</w:t>
      </w:r>
      <w:r>
        <w:fldChar w:fldCharType="end"/>
      </w:r>
      <w:r>
        <w:t>, and no current legal requirement under the WFD to test surface, ground or drinking water for antimicrobial concentrations. Environmental concentrations are generally only available where specific studies have been conducted, and vary considerably with distance from point pollution sources. Antibacterials enter the environment from a variety of sources, including hospital wastewater, human excrement, and agricultural run-off.</w:t>
      </w:r>
    </w:p>
    <w:p w14:paraId="2C282753" w14:textId="77777777" w:rsidR="00A6021C" w:rsidRDefault="00A6021C" w:rsidP="00A6021C">
      <w:r>
        <w:t xml:space="preserve">Two common antibiotics were selected as stressors, the first being chloramphenicol, a broad-spectrum bacteriostatic first isolated from the bacterium </w:t>
      </w:r>
      <w:r w:rsidRPr="000B69AC">
        <w:rPr>
          <w:i/>
        </w:rPr>
        <w:t xml:space="preserve">Streptomyces </w:t>
      </w:r>
      <w:proofErr w:type="spellStart"/>
      <w:r w:rsidRPr="000B69AC">
        <w:rPr>
          <w:i/>
        </w:rPr>
        <w:t>venezuelae</w:t>
      </w:r>
      <w:proofErr w:type="spellEnd"/>
      <w:r>
        <w:rPr>
          <w:i/>
        </w:rPr>
        <w:t xml:space="preserve"> </w:t>
      </w:r>
      <w:r>
        <w:t xml:space="preserve">in 1947 and synthesised in 1949 </w:t>
      </w:r>
      <w:r>
        <w:fldChar w:fldCharType="begin" w:fldLock="1"/>
      </w:r>
      <w:r>
        <w:instrText>ADDIN CSL_CITATION { "citationItems" : [ { "id" : "ITEM-1", "itemData" : { "DOI" : "10.1021/ja01175a065", "ISSN" : "0002-7863", "author" : [ { "dropping-particle" : "", "family" : "Rebstock", "given" : "Mildred C.", "non-dropping-particle" : "", "parse-names" : false, "suffix" : "" }, { "dropping-particle" : "", "family" : "Crooks", "given" : "Harry M.", "non-dropping-particle" : "", "parse-names" : false, "suffix" : "" }, { "dropping-particle" : "", "family" : "Controulis", "given" : "John.", "non-dropping-particle" : "", "parse-names" : false, "suffix" : "" }, { "dropping-particle" : "", "family" : "Bartz", "given" : "Quentin R.", "non-dropping-particle" : "", "parse-names" : false, "suffix" : "" } ], "container-title" : "Journal of the American Chemical Society", "id" : "ITEM-1", "issue" : "7", "issued" : { "date-parts" : [ [ "1949" ] ] }, "page" : "2458-2462", "title" : "Chloramphenicol (Chloromycetin)", "type" : "article-journal", "volume" : "71" }, "uris" : [ "http://www.mendeley.com/documents/?uuid=131069f7-5274-4a0d-9252-4f0b8f5794d1" ] } ], "mendeley" : { "formattedCitation" : "(Rebstock &lt;i&gt;et al.&lt;/i&gt;, 1949)", "manualFormatting" : "(Rebstock et al.)", "plainTextFormattedCitation" : "(Rebstock et al., 1949)", "previouslyFormattedCitation" : "(Rebstock &lt;i&gt;et al.&lt;/i&gt;, 1949)" }, "properties" : { "noteIndex" : 0 }, "schema" : "https://github.com/citation-style-language/schema/raw/master/csl-citation.json" }</w:instrText>
      </w:r>
      <w:r>
        <w:fldChar w:fldCharType="separate"/>
      </w:r>
      <w:r w:rsidRPr="00053050">
        <w:rPr>
          <w:noProof/>
        </w:rPr>
        <w:t xml:space="preserve">(Rebstock </w:t>
      </w:r>
      <w:r w:rsidRPr="00053050">
        <w:rPr>
          <w:i/>
          <w:noProof/>
        </w:rPr>
        <w:t>et al.</w:t>
      </w:r>
      <w:r w:rsidRPr="00053050">
        <w:rPr>
          <w:noProof/>
        </w:rPr>
        <w:t>)</w:t>
      </w:r>
      <w:r>
        <w:fldChar w:fldCharType="end"/>
      </w:r>
      <w:r>
        <w:t xml:space="preserve">. Chloramphenicol has historically proved effective against a broad range of bacteria including </w:t>
      </w:r>
      <w:r w:rsidRPr="006A65F8">
        <w:rPr>
          <w:i/>
        </w:rPr>
        <w:t>Staphylococcus aureus</w:t>
      </w:r>
      <w:r w:rsidRPr="006A65F8">
        <w:t xml:space="preserve">, </w:t>
      </w:r>
      <w:r w:rsidRPr="006A65F8">
        <w:rPr>
          <w:i/>
        </w:rPr>
        <w:t>Streptococcus pneumoniae</w:t>
      </w:r>
      <w:r w:rsidRPr="006A65F8">
        <w:t xml:space="preserve">, and </w:t>
      </w:r>
      <w:r w:rsidRPr="006A65F8">
        <w:rPr>
          <w:i/>
        </w:rPr>
        <w:t>Escherichia coli</w:t>
      </w:r>
      <w:r>
        <w:t xml:space="preserve">, but in addition to its ineffectivity against </w:t>
      </w:r>
      <w:r w:rsidRPr="005B27E4">
        <w:rPr>
          <w:i/>
        </w:rPr>
        <w:t>Pseudomonas aeruginosa</w:t>
      </w:r>
      <w:r>
        <w:rPr>
          <w:i/>
        </w:rPr>
        <w:t xml:space="preserve"> </w:t>
      </w:r>
      <w:r>
        <w:rPr>
          <w:i/>
        </w:rPr>
        <w:fldChar w:fldCharType="begin" w:fldLock="1"/>
      </w:r>
      <w:r>
        <w:rPr>
          <w:i/>
        </w:rPr>
        <w:instrText>ADDIN CSL_CITATION { "citationItems" : [ { "id" : "ITEM-1", "itemData" : { "URL" : "http://antibiotics.toku-e.com/antimicrobial_507.html", "accessed" : { "date-parts" : [ [ "2018", "6", "23" ] ] }, "author" : [ { "dropping-particle" : "", "family" : "Toku-E", "given" : "", "non-dropping-particle" : "", "parse-names" : false, "suffix" : "" } ], "container-title" : "KnowledgeBase", "id" : "ITEM-1", "issued" : { "date-parts" : [ [ "2018" ] ] }, "title" : "Chloramphenicol (Chloromycetin)", "type" : "webpage" }, "uris" : [ "http://www.mendeley.com/documents/?uuid=bc2a8a1a-e17d-4959-bb6e-d57c35bee46f" ] } ], "mendeley" : { "formattedCitation" : "(Toku-E, 2018b)", "plainTextFormattedCitation" : "(Toku-E, 2018b)", "previouslyFormattedCitation" : "(Toku-E, 2018b)" }, "properties" : { "noteIndex" : 0 }, "schema" : "https://github.com/citation-style-language/schema/raw/master/csl-citation.json" }</w:instrText>
      </w:r>
      <w:r>
        <w:rPr>
          <w:i/>
        </w:rPr>
        <w:fldChar w:fldCharType="separate"/>
      </w:r>
      <w:r w:rsidRPr="00362F5B">
        <w:rPr>
          <w:noProof/>
        </w:rPr>
        <w:t>(Toku-E, 2018b)</w:t>
      </w:r>
      <w:r>
        <w:rPr>
          <w:i/>
        </w:rPr>
        <w:fldChar w:fldCharType="end"/>
      </w:r>
      <w:r>
        <w:t xml:space="preserve">, resistance is common both in the wild and in areas exposed to antibacterial pollution </w:t>
      </w:r>
      <w:r>
        <w:fldChar w:fldCharType="begin" w:fldLock="1"/>
      </w:r>
      <w:r>
        <w:instrText>ADDIN CSL_CITATION { "citationItems" : [ { "id" : "ITEM-1", "itemData" : { "DOI" : "10.1038/nrmicro2312", "ISBN" : "1740-1534 (Electronic)\\r1740-1526 (Linking)", "ISSN" : "17401526", "PMID" : "20190823", "abstract" : "Antibiotic-resistant pathogens are profoundly important to human health, but the environmental reservoirs of resistance determinants are poorly understood. The origins of antibiotic resistance in the environment is relevant to human health because of the increasing importance of zoonotic diseases as well as the need for predicting emerging resistant pathogens. This Review explores the presence and spread of antibiotic resistance in non-agricultural, non-clinical environments and demonstrates the need for more intensive investigation on this subject.", "author" : [ { "dropping-particle" : "", "family" : "Allen", "given" : "Heather K.", "non-dropping-particle" : "", "parse-names" : false, "suffix" : "" }, { "dropping-particle" : "", "family" : "Donato", "given" : "Justin", "non-dropping-particle" : "", "parse-names" : false, "suffix" : "" }, { "dropping-particle" : "", "family" : "Wang", "given" : "Helena Huimi", "non-dropping-particle" : "", "parse-names" : false, "suffix" : "" }, { "dropping-particle" : "", "family" : "Cloud-Hansen", "given" : "Karen A.", "non-dropping-particle" : "", "parse-names" : false, "suffix" : "" }, { "dropping-particle" : "", "family" : "Davies", "given" : "Julian", "non-dropping-particle" : "", "parse-names" : false, "suffix" : "" }, { "dropping-particle" : "", "family" : "Handelsman", "given" : "Jo", "non-dropping-particle" : "", "parse-names" : false, "suffix" : "" } ], "container-title" : "Nature Reviews Microbiology", "id" : "ITEM-1", "issue" : "4", "issued" : { "date-parts" : [ [ "2010" ] ] }, "page" : "251-259", "publisher" : "Nature Publishing Group", "title" : "Call of the wild: Antibiotic resistance genes in natural environments", "type" : "article-journal", "volume" : "8" }, "uris" : [ "http://www.mendeley.com/documents/?uuid=2e9c7531-9641-44e5-9be5-51b517e17d62" ] } ], "mendeley" : { "formattedCitation" : "(Allen &lt;i&gt;et al.&lt;/i&gt;, 2010)", "plainTextFormattedCitation" : "(Allen et al., 2010)", "previouslyFormattedCitation" : "(Allen &lt;i&gt;et al.&lt;/i&gt;, 2010)" }, "properties" : { "noteIndex" : 0 }, "schema" : "https://github.com/citation-style-language/schema/raw/master/csl-citation.json" }</w:instrText>
      </w:r>
      <w:r>
        <w:fldChar w:fldCharType="separate"/>
      </w:r>
      <w:r w:rsidRPr="00362F5B">
        <w:rPr>
          <w:noProof/>
        </w:rPr>
        <w:t xml:space="preserve">(Allen </w:t>
      </w:r>
      <w:r w:rsidRPr="00362F5B">
        <w:rPr>
          <w:i/>
          <w:noProof/>
        </w:rPr>
        <w:t>et al.</w:t>
      </w:r>
      <w:r w:rsidRPr="00362F5B">
        <w:rPr>
          <w:noProof/>
        </w:rPr>
        <w:t>, 2010)</w:t>
      </w:r>
      <w:r>
        <w:fldChar w:fldCharType="end"/>
      </w:r>
      <w:r>
        <w:t xml:space="preserve">. Resistance to chloramphenicol takes a variety of forms, including multidrug-resisting reduced membrane permeability </w:t>
      </w:r>
      <w:r>
        <w:fldChar w:fldCharType="begin" w:fldLock="1"/>
      </w:r>
      <w:r>
        <w:instrText>ADDIN CSL_CITATION { "citationItems" : [ { "id" : "ITEM-1", "itemData" : { "DOI" : "10.1128/AAC.33.8.1318", "ISBN" : "0066-4804 (Print)\\r0066-4804 (Linking)", "ISSN" : "00664804", "PMID" : "2679373", "abstract" : "Chromosomal multiple-antibiotic-resistant (Mar) mutants of Escherichia coli, selected on agar containing low concentrations of tetracycline or chloramphenicol, were 6- to 18-fold less susceptible to the fluoroquinolones than were their wild-type E. coli K-12 or E. coli C parental strains. The frequency of emergence of such mutants was at least 1,000-fold higher than that of those selected by the fluoroquinolone norfloxacin directly. When Mar mutants, but not wild-type cells, were plated on norfloxacin, mutants resistant to high levels of norfloxacin (2 micrograms/ml) appeared at a relatively high (approximately 10(-7] frequency. In addition to decreased amounts of OmpF, Mar mutants had other outer membrane protein changes and were four- to eightfold less susceptible to fluoroquinolones than was an ompF::Tn5 mutant lacking only OmpF. Accumulation of [3H]norfloxacin was more than threefold lower in the Mar mutants than in wild-type cells and twofold lower than in the OmpF-deficient derivative. These differences were not attributable to a change in the endogenous active efflux system for norfloxacin in E. coli. Norfloxacin-induced inhibition of DNA synthesis was threefold lower in intact cells of a Mar mutant than in susceptible cells, but this difference was not seen in toluene-permeabilized cells. Insertion of Tn5 into marA (min 34.05 on the chromosome) led to a return of the wild-type patterns of norfloxacin accumulation, fluoroquinolone and other antimicrobial agent susceptibilities, and outer membrane protein profile, including partial restoration of OmpF. These findings together suggest that marA-dependent fluoroquinolone resistance is linked to decreased cell permeability, only part of which can be accounted for by the reduction in OmpF. Once mutated to marA, cells can achieve high levels of quinolone resistance at a relatively high frequency.", "author" : [ { "dropping-particle" : "", "family" : "Cohen", "given" : "S. P.", "non-dropping-particle" : "", "parse-names" : false, "suffix" : "" }, { "dropping-particle" : "", "family" : "McMurry", "given" : "L. M.", "non-dropping-particle" : "", "parse-names" : false, "suffix" : "" }, { "dropping-particle" : "", "family" : "Hooper", "given" : "D. C.", "non-dropping-particle" : "", "parse-names" : false, "suffix" : "" }, { "dropping-particle" : "", "family" : "Wolfson", "given" : "J. S.", "non-dropping-particle" : "", "parse-names" : false, "suffix" : "" }, { "dropping-particle" : "", "family" : "Levy", "given" : "S. B.", "non-dropping-particle" : "", "parse-names" : false, "suffix" : "" } ], "container-title" : "Antimicrobial Agents and Chemotherapy", "id" : "ITEM-1", "issue" : "8", "issued" : { "date-parts" : [ [ "1989" ] ] }, "page" : "1318-1325", "title" : "Cross-resistance to fluoroquinolones in multiple-antibiotic-resistant (Mar) Escherichia coli selected by tetracycline or chloramphenicol: Decreased drug accumulation associated with membrane changes in addition to OmpF reduction", "type" : "article-journal", "volume" : "33" }, "uris" : [ "http://www.mendeley.com/documents/?uuid=8815e25e-dfbe-4526-981e-fd105fc137ac" ] } ], "mendeley" : { "formattedCitation" : "(Cohen &lt;i&gt;et al.&lt;/i&gt;, 1989)", "plainTextFormattedCitation" : "(Cohen et al., 1989)", "previouslyFormattedCitation" : "(Cohen &lt;i&gt;et al.&lt;/i&gt;, 1989)" }, "properties" : { "noteIndex" : 0 }, "schema" : "https://github.com/citation-style-language/schema/raw/master/csl-citation.json" }</w:instrText>
      </w:r>
      <w:r>
        <w:fldChar w:fldCharType="separate"/>
      </w:r>
      <w:r w:rsidRPr="00362F5B">
        <w:rPr>
          <w:noProof/>
        </w:rPr>
        <w:t xml:space="preserve">(Cohen </w:t>
      </w:r>
      <w:r w:rsidRPr="00362F5B">
        <w:rPr>
          <w:i/>
          <w:noProof/>
        </w:rPr>
        <w:t>et al.</w:t>
      </w:r>
      <w:r w:rsidRPr="00362F5B">
        <w:rPr>
          <w:noProof/>
        </w:rPr>
        <w:t>, 1989)</w:t>
      </w:r>
      <w:r>
        <w:fldChar w:fldCharType="end"/>
      </w:r>
      <w:r>
        <w:t xml:space="preserve">, mutant ribosomes </w:t>
      </w:r>
      <w:r>
        <w:fldChar w:fldCharType="begin" w:fldLock="1"/>
      </w:r>
      <w:r>
        <w:instrText>ADDIN CSL_CITATION { "citationItems" : [ { "id" : "ITEM-1", "itemData" : { "DOI" : "10.1128/AAC.39.3.577", "ISBN" : "0066-4804", "ISSN" : "00664804", "PMID" : "7793855", "abstract" : "A review with 140 refs. on the erythromycin resistance by ribosome modification. It emphasizes the target site alternation, i.e. the 50S subunit of the ribosome. [on SciFinder (R)]", "author" : [ { "dropping-particle" : "", "family" : "Weisblum", "given" : "B.", "non-dropping-particle" : "", "parse-names" : false, "suffix" : "" } ], "container-title" : "Antimicrobial Agents and Chemotherapy", "id" : "ITEM-1", "issue" : "3", "issued" : { "date-parts" : [ [ "1995" ] ] }, "page" : "577-585", "title" : "Erythromycin resistance by ribosome modification", "type" : "article-journal", "volume" : "39" }, "uris" : [ "http://www.mendeley.com/documents/?uuid=29bcbd41-5d17-4d7f-b87a-8c23a56db20e" ] } ], "mendeley" : { "formattedCitation" : "(Weisblum, 1995)", "plainTextFormattedCitation" : "(Weisblum, 1995)", "previouslyFormattedCitation" : "(Weisblum, 1995)" }, "properties" : { "noteIndex" : 0 }, "schema" : "https://github.com/citation-style-language/schema/raw/master/csl-citation.json" }</w:instrText>
      </w:r>
      <w:r>
        <w:fldChar w:fldCharType="separate"/>
      </w:r>
      <w:r w:rsidRPr="00362F5B">
        <w:rPr>
          <w:noProof/>
        </w:rPr>
        <w:t>(Weisblum, 1995)</w:t>
      </w:r>
      <w:r>
        <w:fldChar w:fldCharType="end"/>
      </w:r>
      <w:r>
        <w:t xml:space="preserve"> or chloramphenicol-degrading enzymes </w:t>
      </w:r>
      <w:r>
        <w:fldChar w:fldCharType="begin" w:fldLock="1"/>
      </w:r>
      <w:r>
        <w:instrText>ADDIN CSL_CITATION { "citationItems" : [ { "id" : "ITEM-1", "itemData" : { "DOI" : "10.1038/282870a0", "ISBN" : "0028-0836 (Print)\\r0028-0836 (Linking)", "ISSN" : "00280836", "PMID" : "390404", "abstract" : "Naturally occurring isolates of chloramphenicol-resistant bacteria commonly synthesise chloramphenicol acetyltransferase (EC 2.3.28; CAT) in amounts which are sufficient to account for the resistance phenotype and often harbour plasmids which carry the structural gene for CAT. The findings of CAT in such diverse prokaryotes as Proteus mirabilis, Agrobacterium tumefaciens, Streptomyces sp., and a soil Flavobacterium has led to speculation concerning the origin and evolution of the more commonly observed CAT variants specified by plasmids in clinically important bacteria. To provide a more solid basis for studying the evolution and spread of CAT within prokaryotes we chose to determine the complete amino acid sequence of a type I variant of CAT, the variant known to be associated with most F-like plasmids conferring chloramphenicol resistance. The sequence has been determined by combining the results obtained from manual and automated sequential degradation with those obtained by mass spectrometry of peptides generated by enzymatic digestion. The directly determined primary structure is identical with that predicted by the DNA sequence analysis of the chloramphenicol resistance transponson Tn9 known to specify a type I variant of chloramphenicol acetyltransferase.", "author" : [ { "dropping-particle" : "V.", "family" : "Shaw", "given" : "W.", "non-dropping-particle" : "", "parse-names" : false, "suffix" : "" }, { "dropping-particle" : "", "family" : "Packman", "given" : "L. C.", "non-dropping-particle" : "", "parse-names" : false, "suffix" : "" }, { "dropping-particle" : "", "family" : "Burleigh", "given" : "B. D.", "non-dropping-particle" : "", "parse-names" : false, "suffix" : "" }, { "dropping-particle" : "", "family" : "Dell", "given" : "A.", "non-dropping-particle" : "", "parse-names" : false, "suffix" : "" }, { "dropping-particle" : "", "family" : "Morris", "given" : "H. R.", "non-dropping-particle" : "", "parse-names" : false, "suffix" : "" }, { "dropping-particle" : "", "family" : "Hartley", "given" : "B. S.", "non-dropping-particle" : "", "parse-names" : false, "suffix" : "" } ], "container-title" : "Nature", "id" : "ITEM-1", "issue" : "5741", "issued" : { "date-parts" : [ [ "1979" ] ] }, "page" : "870-872", "title" : "Primary structure of a chloramphenicol acetyltransferase specified by R plasmids [31]", "type" : "article", "volume" : "282" }, "uris" : [ "http://www.mendeley.com/documents/?uuid=c76f66f0-ccae-467a-96fa-785355890ff5" ] } ], "mendeley" : { "formattedCitation" : "(Shaw &lt;i&gt;et al.&lt;/i&gt;, 1979)", "plainTextFormattedCitation" : "(Shaw et al., 1979)", "previouslyFormattedCitation" : "(Shaw &lt;i&gt;et al.&lt;/i&gt;, 1979)" }, "properties" : { "noteIndex" : 0 }, "schema" : "https://github.com/citation-style-language/schema/raw/master/csl-citation.json" }</w:instrText>
      </w:r>
      <w:r>
        <w:fldChar w:fldCharType="separate"/>
      </w:r>
      <w:r w:rsidRPr="00362F5B">
        <w:rPr>
          <w:noProof/>
        </w:rPr>
        <w:t xml:space="preserve">(Shaw </w:t>
      </w:r>
      <w:r w:rsidRPr="00362F5B">
        <w:rPr>
          <w:i/>
          <w:noProof/>
        </w:rPr>
        <w:t>et al.</w:t>
      </w:r>
      <w:r w:rsidRPr="00362F5B">
        <w:rPr>
          <w:noProof/>
        </w:rPr>
        <w:t>, 1979)</w:t>
      </w:r>
      <w:r>
        <w:fldChar w:fldCharType="end"/>
      </w:r>
      <w:r>
        <w:t xml:space="preserve">. It has been suggested that many of the genes that provide resistance to common antibiotics including chloramphenicol also provide tolerance to environmental stress in non-pathogenic species </w:t>
      </w:r>
      <w:r>
        <w:fldChar w:fldCharType="begin" w:fldLock="1"/>
      </w:r>
      <w:r>
        <w:instrText>ADDIN CSL_CITATION { "citationItems" : [ { "id" : "ITEM-1", "itemData" : { "DOI" : "10.1128/AEM.01086-06", "ISBN" : "0099-2240 (Print)\\r0099-2240 (Linking)", "ISSN" : "00992240", "PMID" : "17114320", "abstract" : "Environmental bacteria persist in various habitats, yet little is known about the genes that contribute to growth and survival in their respective ecological niches. Signature-tagged mutagenesis (STM) of Shewanella oneidensis MR-1 coupled with a screen involving incubations of mutant strains in anoxic aquifer sediments allowed us to identify 47 genes that enhance fitness in sediments. Gene functions inferred from annotations provide us with insight into physiological and ecological processes that environmental bacteria use while growing in sediment ecosystems. Identification of the mexF gene and other potential membrane efflux components by STM demonstrated that homologues of multidrug resistance genes present in pathogens are required for sediment fitness of nonpathogenic bacteria. Further studies with a mexF deletion mutant demonstrated that the multidrug resistance pump encoded by mexF is required for resistance to antibiotics, including chloramphenicol and tetracycline. Chloramphenicol-adapted cultures exhibited mutations in the gene encoding a TetR family regulatory protein, indicating a role for this protein in regulating expression of the mexEF operon. The relative importance of mexF for sediment fitness suggests that antibiotic efflux may be a required process for bacteria living in sediment systems.", "author" : [ { "dropping-particle" : "", "family" : "Groh", "given" : "Jennifer L.", "non-dropping-particle" : "", "parse-names" : false, "suffix" : "" }, { "dropping-particle" : "", "family" : "Luo", "given" : "Qingwei", "non-dropping-particle" : "", "parse-names" : false, "suffix" : "" }, { "dropping-particle" : "", "family" : "Ballard", "given" : "Jimmy D.", "non-dropping-particle" : "", "parse-names" : false, "suffix" : "" }, { "dropping-particle" : "", "family" : "Krumholz", "given" : "Lee R.", "non-dropping-particle" : "", "parse-names" : false, "suffix" : "" } ], "container-title" : "Applied and Environmental Microbiology", "id" : "ITEM-1", "issue" : "2", "issued" : { "date-parts" : [ [ "2007" ] ] }, "page" : "492-498", "title" : "Genes that enhance the ecological fitness of Shewanella oneidensis MR-1 in sediments reveal the value of antibiotic resistance", "type" : "article-journal", "volume" : "73" }, "uris" : [ "http://www.mendeley.com/documents/?uuid=b53ac5d1-f006-41ce-a2a9-9e880f2389c6" ] } ], "mendeley" : { "formattedCitation" : "(Groh &lt;i&gt;et al.&lt;/i&gt;, 2007)", "plainTextFormattedCitation" : "(Groh et al., 2007)", "previouslyFormattedCitation" : "(Groh &lt;i&gt;et al.&lt;/i&gt;, 2007)" }, "properties" : { "noteIndex" : 0 }, "schema" : "https://github.com/citation-style-language/schema/raw/master/csl-citation.json" }</w:instrText>
      </w:r>
      <w:r>
        <w:fldChar w:fldCharType="separate"/>
      </w:r>
      <w:r w:rsidRPr="00362F5B">
        <w:rPr>
          <w:noProof/>
        </w:rPr>
        <w:t xml:space="preserve">(Groh </w:t>
      </w:r>
      <w:r w:rsidRPr="00362F5B">
        <w:rPr>
          <w:i/>
          <w:noProof/>
        </w:rPr>
        <w:t>et al.</w:t>
      </w:r>
      <w:r w:rsidRPr="00362F5B">
        <w:rPr>
          <w:noProof/>
        </w:rPr>
        <w:t>, 2007)</w:t>
      </w:r>
      <w:r>
        <w:fldChar w:fldCharType="end"/>
      </w:r>
      <w:r>
        <w:t xml:space="preserve">. Research has also found that exposure to ROS from heavy metals, including copper, can co-select for chloramphenicol resistance </w:t>
      </w:r>
      <w:r>
        <w:fldChar w:fldCharType="begin" w:fldLock="1"/>
      </w:r>
      <w:r>
        <w:instrText>ADDIN CSL_CITATION { "citationItems" : [ { "id" : "ITEM-1", "itemData" : { "DOI" : "10.1111/j.1462-2920.2009.01973.x", "ISBN" : "1462-2912", "ISSN" : "14622912", "PMID" : "19555372", "abstract" : "Microbiological metal toxicity involves redox reactions between metal species and cellular molecules, and therefore, we hypothesized that antioxidant systems might be chromosomal determinants affecting the susceptibility of bacteria to metal toxicity. Here, survival was quantified in metal ion-exposed planktonic cultures of several Escherichia coli strains, each bearing a mutation in a gene important for redox homeostasis. This characterized approximately 250 gene-metal combinations and identified that sodA, sodB, gor, trxA, gshA, grxA and marR have distinct roles in safeguarding or sensitizing cells to different toxic metal ions (Cr(2)O(7)(2-), Co(2+), Cu(2+), Ag(+), Zn(2+), AsO(2)(-), SeO(3)(2-) or TeO(3)(2-)). To shed light on these observations, fluorescent sensors for reactive oxygen species (ROS) and reduced thiol (RSH) quantification were used to ascertain that different metal ions exert oxidative toxicity through disparate modes-of-action. These oxidative mechanisms of metal toxicity were categorized as involving ROS and thiol-disulfide chemistry together (AsO(2)(-), SeO(3)(2-)), ROS predominantly (Cu(2+), Cr(2)O(7)(2-)) or thiol-disulfide chemistry predominantly (Ag(+), Co(2+), Zn(2+), TeO(3)(2-)). Corresponding to this, promoter-luxCDABE fusions showed that toxic doses of different metal ions up- or downregulate the transcription of gene sets marking distinct pathways of cellular oxidative stress. Altogether, our findings suggest that different metal ions are lethal to cells through discrete pathways of oxidative biochemistry, and moreover, indicate that chromosomally encoded antioxidant systems may have metal ion-specific physiological roles as determinants of bacterial metal tolerance.", "author" : [ { "dropping-particle" : "", "family" : "Harrison", "given" : "Joe J", "non-dropping-particle" : "", "parse-names" : false, "suffix" : "" }, { "dropping-particle" : "", "family" : "Tremaroli", "given" : "Valentina", "non-dropping-particle" : "", "parse-names" : false, "suffix" : "" }, { "dropping-particle" : "", "family" : "Stan", "given" : "Michelle A", "non-dropping-particle" : "", "parse-names" : false, "suffix" : "" }, { "dropping-particle" : "", "family" : "Chan", "given" : "Catherine S", "non-dropping-particle" : "", "parse-names" : false, "suffix" : "" }, { "dropping-particle" : "", "family" : "Vacchi-Suzzi", "given" : "Caterina", "non-dropping-particle" : "", "parse-names" : false, "suffix" : "" }, { "dropping-particle" : "", "family" : "Heyne", "given" : "Belinda J", "non-dropping-particle" : "", "parse-names" : false, "suffix" : "" }, { "dropping-particle" : "", "family" : "Parsek", "given" : "Matthew R", "non-dropping-particle" : "", "parse-names" : false, "suffix" : "" }, { "dropping-particle" : "", "family" : "Ceri", "given" : "Howard", "non-dropping-particle" : "", "parse-names" : false, "suffix" : "" }, { "dropping-particle" : "", "family" : "Turner", "given" : "Raymond J", "non-dropping-particle" : "", "parse-names" : false, "suffix" : "" } ], "container-title" : "Environmental Microbiology", "id" : "ITEM-1", "issue" : "10", "issued" : { "date-parts" : [ [ "2009" ] ] }, "page" : "2491-2509", "title" : "Chromosomal antioxidant genes have metal ion-specific roles as determinants of bacterial metal tolerance", "type" : "article-journal", "volume" : "11" }, "uris" : [ "http://www.mendeley.com/documents/?uuid=cc28d7a2-b8e6-4146-bf18-b6d796e3a0f4" ] } ], "mendeley" : { "formattedCitation" : "(Harrison &lt;i&gt;et al.&lt;/i&gt;, 2009)", "plainTextFormattedCitation" : "(Harrison et al., 2009)", "previouslyFormattedCitation" : "(Harrison &lt;i&gt;et al.&lt;/i&gt;, 2009)" }, "properties" : { "noteIndex" : 0 }, "schema" : "https://github.com/citation-style-language/schema/raw/master/csl-citation.json" }</w:instrText>
      </w:r>
      <w:r>
        <w:fldChar w:fldCharType="separate"/>
      </w:r>
      <w:r w:rsidRPr="00362F5B">
        <w:rPr>
          <w:noProof/>
        </w:rPr>
        <w:t xml:space="preserve">(Harrison </w:t>
      </w:r>
      <w:r w:rsidRPr="00362F5B">
        <w:rPr>
          <w:i/>
          <w:noProof/>
        </w:rPr>
        <w:t>et al.</w:t>
      </w:r>
      <w:r w:rsidRPr="00362F5B">
        <w:rPr>
          <w:noProof/>
        </w:rPr>
        <w:t>, 2009)</w:t>
      </w:r>
      <w:r>
        <w:fldChar w:fldCharType="end"/>
      </w:r>
      <w:r>
        <w:t>.</w:t>
      </w:r>
    </w:p>
    <w:p w14:paraId="1B796DA7" w14:textId="77777777" w:rsidR="00A6021C" w:rsidRDefault="00A6021C" w:rsidP="00A6021C">
      <w:pPr>
        <w:spacing w:line="240" w:lineRule="auto"/>
      </w:pPr>
      <w:r>
        <w:t xml:space="preserve">The second antibiotic of choice is amoxicillin or amoxycillin, a broad-spectrum antibacterial from the penicillin family that acts by interrupting bacterial wall synthesis, resulting in cell lysis </w:t>
      </w:r>
      <w:r>
        <w:fldChar w:fldCharType="begin" w:fldLock="1"/>
      </w:r>
      <w:r>
        <w:instrText>ADDIN CSL_CITATION { "citationItems" : [ { "id" : "ITEM-1", "itemData" : { "URL" : "https://pubchem.ncbi.nlm.nih.gov/compound/amoxicillin#section=Top", "author" : [ { "dropping-particle" : "", "family" : "Pubchem", "given" : "", "non-dropping-particle" : "", "parse-names" : false, "suffix" : "" } ], "id" : "ITEM-1", "issued" : { "date-parts" : [ [ "2018" ] ] }, "title" : "Amoxicillin", "type" : "webpage" }, "uris" : [ "http://www.mendeley.com/documents/?uuid=8cb9a49e-a5b6-4595-8292-03710b1003a5" ] } ], "mendeley" : { "formattedCitation" : "(Pubchem, 2018)", "plainTextFormattedCitation" : "(Pubchem, 2018)", "previouslyFormattedCitation" : "(Pubchem, 2018)" }, "properties" : { "noteIndex" : 0 }, "schema" : "https://github.com/citation-style-language/schema/raw/master/csl-citation.json" }</w:instrText>
      </w:r>
      <w:r>
        <w:fldChar w:fldCharType="separate"/>
      </w:r>
      <w:r w:rsidRPr="00362F5B">
        <w:rPr>
          <w:noProof/>
        </w:rPr>
        <w:t>(Pubchem, 2018)</w:t>
      </w:r>
      <w:r>
        <w:fldChar w:fldCharType="end"/>
      </w:r>
      <w:r>
        <w:t xml:space="preserve">. Amoxicillin is a broad-spectrum antibiotic that is effective against </w:t>
      </w:r>
      <w:r w:rsidRPr="00303892">
        <w:rPr>
          <w:i/>
        </w:rPr>
        <w:t>Streptococcus</w:t>
      </w:r>
      <w:r w:rsidRPr="00303892">
        <w:t>,</w:t>
      </w:r>
      <w:r>
        <w:t xml:space="preserve"> some</w:t>
      </w:r>
      <w:r w:rsidRPr="00303892">
        <w:t xml:space="preserve"> </w:t>
      </w:r>
      <w:r w:rsidRPr="00303892">
        <w:rPr>
          <w:i/>
        </w:rPr>
        <w:t>Bacillus</w:t>
      </w:r>
      <w:r w:rsidRPr="00303892">
        <w:t xml:space="preserve">, </w:t>
      </w:r>
      <w:r w:rsidRPr="00303892">
        <w:rPr>
          <w:i/>
        </w:rPr>
        <w:t>Enterococcus</w:t>
      </w:r>
      <w:r w:rsidRPr="00303892">
        <w:t xml:space="preserve">, </w:t>
      </w:r>
      <w:r w:rsidRPr="00303892">
        <w:rPr>
          <w:i/>
        </w:rPr>
        <w:t>Haemophilus</w:t>
      </w:r>
      <w:r w:rsidRPr="00303892">
        <w:t xml:space="preserve">, </w:t>
      </w:r>
      <w:r w:rsidRPr="00303892">
        <w:rPr>
          <w:i/>
        </w:rPr>
        <w:t>Helicobacter</w:t>
      </w:r>
      <w:r w:rsidRPr="00303892">
        <w:t xml:space="preserve">, </w:t>
      </w:r>
      <w:r>
        <w:t>but is resisted by</w:t>
      </w:r>
      <w:r w:rsidRPr="00303892">
        <w:t xml:space="preserve"> </w:t>
      </w:r>
      <w:r w:rsidRPr="00303892">
        <w:rPr>
          <w:i/>
        </w:rPr>
        <w:t>Citrobacter</w:t>
      </w:r>
      <w:r w:rsidRPr="00303892">
        <w:t xml:space="preserve">, </w:t>
      </w:r>
      <w:r w:rsidRPr="00303892">
        <w:rPr>
          <w:i/>
        </w:rPr>
        <w:t>Klebsiella</w:t>
      </w:r>
      <w:r w:rsidRPr="00303892">
        <w:t xml:space="preserve"> and </w:t>
      </w:r>
      <w:r w:rsidRPr="00303892">
        <w:rPr>
          <w:i/>
        </w:rPr>
        <w:t>P</w:t>
      </w:r>
      <w:r>
        <w:rPr>
          <w:i/>
        </w:rPr>
        <w:t>.</w:t>
      </w:r>
      <w:r w:rsidRPr="00303892">
        <w:t xml:space="preserve"> </w:t>
      </w:r>
      <w:r w:rsidRPr="00303892">
        <w:rPr>
          <w:i/>
        </w:rPr>
        <w:t>aeruginosa</w:t>
      </w:r>
      <w:r>
        <w:rPr>
          <w:i/>
        </w:rPr>
        <w:t xml:space="preserve"> </w:t>
      </w:r>
      <w:r>
        <w:rPr>
          <w:i/>
        </w:rPr>
        <w:fldChar w:fldCharType="begin" w:fldLock="1"/>
      </w:r>
      <w:r>
        <w:rPr>
          <w:i/>
        </w:rPr>
        <w:instrText>ADDIN CSL_CITATION { "citationItems" : [ { "id" : "ITEM-1", "itemData" : { "URL" : "http://antibiotics.toku-e.com/antimicrobial_326.html", "accessed" : { "date-parts" : [ [ "2018", "6", "23" ] ] }, "author" : [ { "dropping-particle" : "", "family" : "Toku-E", "given" : "", "non-dropping-particle" : "", "parse-names" : false, "suffix" : "" } ], "container-title" : "KnowledgeBase", "id" : "ITEM-1", "issued" : { "date-parts" : [ [ "2018" ] ] }, "title" : "Amoxicillin (Novamox, Amoxil)", "type" : "webpage" }, "uris" : [ "http://www.mendeley.com/documents/?uuid=e1d93926-b24e-48bd-9846-fb5b9e424dda" ] } ], "mendeley" : { "formattedCitation" : "(Toku-E, 2018a)", "plainTextFormattedCitation" : "(Toku-E, 2018a)", "previouslyFormattedCitation" : "(Toku-E, 2018a)" }, "properties" : { "noteIndex" : 0 }, "schema" : "https://github.com/citation-style-language/schema/raw/master/csl-citation.json" }</w:instrText>
      </w:r>
      <w:r>
        <w:rPr>
          <w:i/>
        </w:rPr>
        <w:fldChar w:fldCharType="separate"/>
      </w:r>
      <w:r w:rsidRPr="00362F5B">
        <w:rPr>
          <w:noProof/>
        </w:rPr>
        <w:t>(Toku-E, 2018a)</w:t>
      </w:r>
      <w:r>
        <w:rPr>
          <w:i/>
        </w:rPr>
        <w:fldChar w:fldCharType="end"/>
      </w:r>
      <w:r>
        <w:t xml:space="preserve">. Resistance to amoxicillin is widespread in both pathogens and the environment due to amoxicillin’s long life of use – since 1972 – in medical and veterinary applications </w:t>
      </w:r>
      <w:r>
        <w:fldChar w:fldCharType="begin" w:fldLock="1"/>
      </w:r>
      <w:r>
        <w:instrText>ADDIN CSL_CITATION { "citationItems" : [ { "id" : "ITEM-1", "itemData" : { "DOI" : "10.1016/j.scitotenv.2008.01.011", "author" : [ { "dropping-particle" : "", "family" : "Palmer", "given" : "Patrick M", "non-dropping-particle" : "", "parse-names" : false, "suffix" : "" }, { "dropping-particle" : "", "family" : "Wilson", "given" : "Lloyd R", "non-dropping-particle" : "", "parse-names" : false, "suffix" : "" }, { "dropping-particle" : "", "family" : "Keefe", "given" : "Patrick O", "non-dropping-particle" : "", "parse-names" : false, "suffix" : "" }, { "dropping-particle" : "", "family" : "Sheridan", "given" : "Robert", "non-dropping-particle" : "", "parse-names" : false, "suffix" : "" }, { "dropping-particle" : "", "family" : "King", "given" : "Thomas", "non-dropping-particle" : "", "parse-names" : false, "suffix" : "" }, { "dropping-particle" : "", "family" : "Chen", "given" : "Chia-yang", "non-dropping-particle" : "", "parse-names" : false, "suffix" : "" } ], "id" : "ITEM-1", "issued" : { "date-parts" : [ [ "2008" ] ] }, "title" : "Sources of pharmaceutical pollution in the New York City Watershed", "type" : "article-journal", "volume" : "4" }, "uris" : [ "http://www.mendeley.com/documents/?uuid=f80b3c4c-37a6-406a-90b8-6dcd7322fe7c" ] }, { "id" : "ITEM-2", "itemData" : { "DOI" : "10.1016/S0378-4274(03)00067-5", "ISBN" : "0378-4274", "ISSN" : "03784274", "PMID" : "12691714", "abstract" : "A wide range of veterinary medicines is used to treat animals in the UK. Whilst the environmental impact of selected substances (particulary the sheep dip chemicals, anthelmintics and fish farm chemicals) has been well studied, limited information is available in the public domain on the other groups of substances (e.g. antifungals, coccidiostats, antiprotozoals, hormones and growth promoters). There is therefore a need to identify other substances that may impact the environment in order to design national monitoring programmes, target experimental work and develop pollution prevention methodologies. In this study, a simple two-stage prioritisation scheme was developed and applied to veterinary medicines in use in the UK. In the first stage, those substances that have high potential to enter the environment in significant amounts were identified on the basis of amounts used in the UK, treatment type and metabolism. In stage 2, the hazard of the identified substances to terrestrial and aquatic organisms was assessed. Using the approach, a total of 56 substances or groups were assigned to a 'high priority' category. For eleven of these substances, sufficient data were available to characterise their risk, these were: oxytetracycline, chlortetracycline, tetracycline, sulphadiazine, amoxicillin, diazinon, tylosin, dihydrostreptomycin, apramycin, cypermethrin and sarafloxicin. For the remaining 45 substances, full datasets were not available and it is recommended that in the first instance, attempts are made to fill these data gaps. \u00a9 2003 Elsevier Science Ireland Ltd. All rights reserved.", "author" : [ { "dropping-particle" : "", "family" : "Boxall", "given" : "Alistair B.A.", "non-dropping-particle" : "", "parse-names" : false, "suffix" : "" }, { "dropping-particle" : "", "family" : "Fogg", "given" : "Lindsay A", "non-dropping-particle" : "", "parse-names" : false, "suffix" : "" }, { "dropping-particle" : "", "family" : "Kay", "given" : "Paul", "non-dropping-particle" : "", "parse-names" : false, "suffix" : "" }, { "dropping-particle" : "", "family" : "Blackwell", "given" : "Paul A.", "non-dropping-particle" : "", "parse-names" : false, "suffix" : "" }, { "dropping-particle" : "", "family" : "Pemberton", "given" : "Emma J", "non-dropping-particle" : "", "parse-names" : false, "suffix" : "" }, { "dropping-particle" : "", "family" : "Croxford", "given" : "Andy", "non-dropping-particle" : "", "parse-names" : false, "suffix" : "" } ], "container-title" : "Toxicology Letters", "id" : "ITEM-2", "issue" : "3", "issued" : { "date-parts" : [ [ "2003" ] ] }, "page" : "207-218", "title" : "Prioritisation of veterinary medicines in the UK environment", "type" : "article-journal", "volume" : "142" }, "uris" : [ "http://www.mendeley.com/documents/?uuid=fc276f6d-2c0e-4b4e-980a-e2b90865f171" ] } ], "mendeley" : { "formattedCitation" : "(Boxall &lt;i&gt;et al.&lt;/i&gt;, 2003; Palmer &lt;i&gt;et al.&lt;/i&gt;, 2008)", "plainTextFormattedCitation" : "(Boxall et al., 2003; Palmer et al., 2008)", "previouslyFormattedCitation" : "(Boxall &lt;i&gt;et al.&lt;/i&gt;, 2003; Palmer &lt;i&gt;et al.&lt;/i&gt;, 2008)" }, "properties" : { "noteIndex" : 0 }, "schema" : "https://github.com/citation-style-language/schema/raw/master/csl-citation.json" }</w:instrText>
      </w:r>
      <w:r>
        <w:fldChar w:fldCharType="separate"/>
      </w:r>
      <w:r w:rsidRPr="00362F5B">
        <w:rPr>
          <w:noProof/>
        </w:rPr>
        <w:t xml:space="preserve">(Boxall </w:t>
      </w:r>
      <w:r w:rsidRPr="00362F5B">
        <w:rPr>
          <w:i/>
          <w:noProof/>
        </w:rPr>
        <w:t>et al.</w:t>
      </w:r>
      <w:r w:rsidRPr="00362F5B">
        <w:rPr>
          <w:noProof/>
        </w:rPr>
        <w:t xml:space="preserve">, 2003; Palmer </w:t>
      </w:r>
      <w:r w:rsidRPr="00362F5B">
        <w:rPr>
          <w:i/>
          <w:noProof/>
        </w:rPr>
        <w:t>et al.</w:t>
      </w:r>
      <w:r w:rsidRPr="00362F5B">
        <w:rPr>
          <w:noProof/>
        </w:rPr>
        <w:t>, 2008)</w:t>
      </w:r>
      <w:r>
        <w:fldChar w:fldCharType="end"/>
      </w:r>
      <w:r>
        <w:t xml:space="preserve">. This resistance is most commonly </w:t>
      </w:r>
      <w:proofErr w:type="gramStart"/>
      <w:r>
        <w:t>effected</w:t>
      </w:r>
      <w:proofErr w:type="gramEnd"/>
      <w:r>
        <w:t xml:space="preserve"> through the synthesis of beta-lactamase, an enzyme that breaks down penicillin-family antibiotics, but can in other cases arise from active efflux. Initial </w:t>
      </w:r>
      <w:r w:rsidRPr="003A7F2C">
        <w:rPr>
          <w:i/>
        </w:rPr>
        <w:t>in-vitro</w:t>
      </w:r>
      <w:r>
        <w:t xml:space="preserve"> evidence suggests that in the human body amoxicillin and chloramphenicol may interfere, reducing their effectiveness </w:t>
      </w:r>
      <w:r>
        <w:fldChar w:fldCharType="begin" w:fldLock="1"/>
      </w:r>
      <w:r>
        <w:instrText>ADDIN CSL_CITATION { "citationItems" : [ { "id" : "ITEM-1", "itemData" : { "DOI" : "10.1016/j.jtusci.2015.11.005", "ISSN" : "1658-3655", "author" : [ { "dropping-particle" : "", "family" : "Nasir", "given" : "Mohammad", "non-dropping-particle" : "", "parse-names" : false, "suffix" : "" }, { "dropping-particle" : "", "family" : "Das", "given" : "Suman", "non-dropping-particle" : "", "parse-names" : false, "suffix" : "" }, { "dropping-particle" : "", "family" : "Hasan", "given" : "Shakhawat", "non-dropping-particle" : "", "parse-names" : false, "suffix" : "" } ], "container-title" : "Integrative Medicine Research", "id" : "ITEM-1", "issue" : "5", "issued" : { "date-parts" : [ [ "2016" ] ] }, "page" : "755-765", "publisher" : "Taibah University", "title" : "Simultaneous determination of amoxicillin and chloramphenicol and their drug interaction study by the validated UPLC method", "type" : "article-journal", "volume" : "10" }, "uris" : [ "http://www.mendeley.com/documents/?uuid=1be436ee-d549-4a25-bcb2-c831bc11b01d" ] } ], "mendeley" : { "formattedCitation" : "(Nasir, Das and Hasan, 2016)", "plainTextFormattedCitation" : "(Nasir, Das and Hasan, 2016)", "previouslyFormattedCitation" : "(Nasir, Das and Hasan, 2016)" }, "properties" : { "noteIndex" : 0 }, "schema" : "https://github.com/citation-style-language/schema/raw/master/csl-citation.json" }</w:instrText>
      </w:r>
      <w:r>
        <w:fldChar w:fldCharType="separate"/>
      </w:r>
      <w:r w:rsidRPr="00362F5B">
        <w:rPr>
          <w:noProof/>
        </w:rPr>
        <w:t>(Nasir, Das and Hasan, 2016)</w:t>
      </w:r>
      <w:r>
        <w:fldChar w:fldCharType="end"/>
      </w:r>
      <w:r>
        <w:t xml:space="preserve">, although </w:t>
      </w:r>
      <w:r>
        <w:fldChar w:fldCharType="begin" w:fldLock="1"/>
      </w:r>
      <w:r>
        <w:instrText>ADDIN CSL_CITATION { "citationItems" : [ { "id" : "ITEM-1", "itemData" : { "DOI" : "10.18388/abp.2016_1495", "ISSN" : "1734154X", "PMID" : "29202138", "abstract" : "With the emergence of multidrug-resistant organisms in an era when drug development faces challenges causing pharmaceutical companies to curtail or abandon research on anti-infective agents, the use of combined existing antimicrobial agents may be an alternative. This study evaluated the effects of combining amoxicillin and chloramphenicol, to which many bacteria have become resistant, in vitro against Gram positive and Gram negative bacteria by agar diffusion, checkerboard and time-kill assays. The test isolates were susceptible to amoxicillin with minimum inhibitory concentrations (MICs) ranging between 0.448 and 500 microg/ml and between 1.953 and 31.25 microg/ml for chloramphenicol. Upon combining these agents, there was a drastic reduction in their MICs indicating an increased antibacterial activity that showed synergistic interaction against all the bacteria. At the highest concentrations, the inhibition zones ranges were 20.33-38.33+/-0.58 microg/ml for amoxicillin, 27.67-37.67+/-0.58 microg/ml for chloramphenicol and 31.67-39.33+/-0.58 microg/ml for the combined agents. The fractional inhibitory concentration indices (FICIs) showed synergy ranging from 0.129 to 0.312 while FICIs for additive interaction were between 0.688 and 1.0. There was no antagonistic interaction. At the (1)/2MICs of the combined antibiotics, all the tested bacteria, except for Klebsiella pneumoniae ATCC 4352, Proteus vulgaris CSIR 0030 and Enterococcus cloacae ATCC 13047 were eliminated before 24 h. At the MICs, all the tested bacteria were eliminated except Enterococcus cloacae ATCC 13047 which was almost totally eliminated. Post-antibiotic assessment after 48 h showed that all the cultures were sterile except for that of Enterococcus cloacae ATCC 13047. The lack of antagonism between these antibacterial agents in checkerboard and time-kill assays suggested that combining amoxicillin with chloramphenicol can provide an improved therapy in comparison to the use of each antibiotic individually. The study indicates the potential beneficial value of combining amoxicillin and chloramphenicol in the treatment of microbial infections in clinical settings.", "author" : [ { "dropping-particle" : "", "family" : "Olajuyigbe", "given" : "Olufunmiso O", "non-dropping-particle" : "", "parse-names" : false, "suffix" : "" }, { "dropping-particle" : "", "family" : "Coopoosamy", "given" : "Roger M", "non-dropping-particle" : "", "parse-names" : false, "suffix" : "" }, { "dropping-particle" : "", "family" : "Afolayan", "given" : "Anthony J", "non-dropping-particle" : "", "parse-names" : false, "suffix" : "" } ], "container-title" : "Acta Biochimica Polonica", "id" : "ITEM-1", "issue" : "4", "issued" : { "date-parts" : [ [ "2017" ] ] }, "page" : "609-613", "title" : "Effects and time-kill assessment of amoxicillin used in combination with chloramphenicol against bacteria of clinical importance", "type" : "article-journal", "volume" : "64" }, "uris" : [ "http://www.mendeley.com/documents/?uuid=3400d012-d4f7-4f8a-a2a9-cb99f4396251" ] } ], "mendeley" : { "formattedCitation" : "(Olajuyigbe, Coopoosamy and Afolayan, 2017)", "manualFormatting" : "Olajuyigbe, Coopoosamy and Afolayan (2007) ", "plainTextFormattedCitation" : "(Olajuyigbe, Coopoosamy and Afolayan, 2017)", "previouslyFormattedCitation" : "(Olajuyigbe, Coopoosamy and Afolayan, 2017)" }, "properties" : { "noteIndex" : 0 }, "schema" : "https://github.com/citation-style-language/schema/raw/master/csl-citation.json" }</w:instrText>
      </w:r>
      <w:r>
        <w:fldChar w:fldCharType="separate"/>
      </w:r>
      <w:r w:rsidRPr="00777EA7">
        <w:rPr>
          <w:noProof/>
        </w:rPr>
        <w:t>Olajuyigbe, Coopoosamy and Afolayan</w:t>
      </w:r>
      <w:r>
        <w:rPr>
          <w:noProof/>
        </w:rPr>
        <w:t xml:space="preserve"> (2007) </w:t>
      </w:r>
      <w:r>
        <w:fldChar w:fldCharType="end"/>
      </w:r>
      <w:r>
        <w:t>showed some additive but largely synergistic effects between the two across a diverse panel of bacteria.</w:t>
      </w:r>
    </w:p>
    <w:p w14:paraId="1C70529F" w14:textId="77777777" w:rsidR="00A6021C" w:rsidRDefault="00A6021C" w:rsidP="00A6021C">
      <w:pPr>
        <w:spacing w:line="240" w:lineRule="auto"/>
        <w:rPr>
          <w:i/>
        </w:rPr>
      </w:pPr>
      <w:r>
        <w:rPr>
          <w:i/>
        </w:rPr>
        <w:t>Chemical Pesticides</w:t>
      </w:r>
    </w:p>
    <w:p w14:paraId="1C1E6505" w14:textId="77777777" w:rsidR="00A6021C" w:rsidRDefault="00A6021C" w:rsidP="00A6021C">
      <w:pPr>
        <w:spacing w:line="240" w:lineRule="auto"/>
      </w:pPr>
      <w:r>
        <w:t xml:space="preserve">Covering a broad range of biocidal agents designed or selected to target undesired pest species, pesticides have retained significant non-target effects despite advances in selectivity. While many more indiscriminate pesticides have been banned </w:t>
      </w:r>
      <w:r>
        <w:fldChar w:fldCharType="begin" w:fldLock="1"/>
      </w:r>
      <w:r>
        <w:instrText>ADDIN CSL_CITATION { "citationItems" : [ { "id" : "ITEM-1", "itemData" : { "URL" : "https://www.epa.gov/ingredients-used-pesticide-products/ddt-brief-history-and-status", "accessed" : { "date-parts" : [ [ "2018", "6", "24" ] ] }, "author" : [ { "dropping-particle" : "", "family" : "EPA", "given" : "", "non-dropping-particle" : "", "parse-names" : false, "suffix" : "" } ], "id" : "ITEM-1", "issued" : { "date-parts" : [ [ "2017" ] ] }, "title" : "DDT - A Brief History and Status", "type" : "webpage" }, "uris" : [ "http://www.mendeley.com/documents/?uuid=6f5da392-6a69-41b0-8eb5-e905f0d3244e" ] } ], "mendeley" : { "formattedCitation" : "(EPA, 2017)", "plainTextFormattedCitation" : "(EPA, 2017)", "previouslyFormattedCitation" : "(EPA, 2017)" }, "properties" : { "noteIndex" : 0 }, "schema" : "https://github.com/citation-style-language/schema/raw/master/csl-citation.json" }</w:instrText>
      </w:r>
      <w:r>
        <w:fldChar w:fldCharType="separate"/>
      </w:r>
      <w:r w:rsidRPr="00362F5B">
        <w:rPr>
          <w:noProof/>
        </w:rPr>
        <w:t>(EPA, 2017)</w:t>
      </w:r>
      <w:r>
        <w:fldChar w:fldCharType="end"/>
      </w:r>
      <w:r>
        <w:t xml:space="preserve">, many pesticides still in use today have been shown to have non-target effects on aquatic </w:t>
      </w:r>
      <w:r>
        <w:fldChar w:fldCharType="begin" w:fldLock="1"/>
      </w:r>
      <w:r>
        <w:instrText>ADDIN CSL_CITATION { "citationItems" : [ { "id" : "ITEM-1", "itemData" : { "DOI" : "10.1111/j.1462-2920.2009.01973.x", "ISBN" : "1462-2912", "ISSN" : "14622912", "PMID" : "19555372", "abstract" : "Microbiological metal toxicity involves redox reactions between metal species and cellular molecules, and therefore, we hypothesized that antioxidant systems might be chromosomal determinants affecting the susceptibility of bacteria to metal toxicity. Here, survival was quantified in metal ion-exposed planktonic cultures of several Escherichia coli strains, each bearing a mutation in a gene important for redox homeostasis. This characterized approximately 250 gene-metal combinations and identified that sodA, sodB, gor, trxA, gshA, grxA and marR have distinct roles in safeguarding or sensitizing cells to different toxic metal ions (Cr(2)O(7)(2-), Co(2+), Cu(2+), Ag(+), Zn(2+), AsO(2)(-), SeO(3)(2-) or TeO(3)(2-)). To shed light on these observations, fluorescent sensors for reactive oxygen species (ROS) and reduced thiol (RSH) quantification were used to ascertain that different metal ions exert oxidative toxicity through disparate modes-of-action. These oxidative mechanisms of metal toxicity were categorized as involving ROS and thiol-disulfide chemistry together (AsO(2)(-), SeO(3)(2-)), ROS predominantly (Cu(2+), Cr(2)O(7)(2-)) or thiol-disulfide chemistry predominantly (Ag(+), Co(2+), Zn(2+), TeO(3)(2-)). Corresponding to this, promoter-luxCDABE fusions showed that toxic doses of different metal ions up- or downregulate the transcription of gene sets marking distinct pathways of cellular oxidative stress. Altogether, our findings suggest that different metal ions are lethal to cells through discrete pathways of oxidative biochemistry, and moreover, indicate that chromosomally encoded antioxidant systems may have metal ion-specific physiological roles as determinants of bacterial metal tolerance.", "author" : [ { "dropping-particle" : "", "family" : "Harrison", "given" : "Joe J", "non-dropping-particle" : "", "parse-names" : false, "suffix" : "" }, { "dropping-particle" : "", "family" : "Tremaroli", "given" : "Valentina", "non-dropping-particle" : "", "parse-names" : false, "suffix" : "" }, { "dropping-particle" : "", "family" : "Stan", "given" : "Michelle A", "non-dropping-particle" : "", "parse-names" : false, "suffix" : "" }, { "dropping-particle" : "", "family" : "Chan", "given" : "Catherine S", "non-dropping-particle" : "", "parse-names" : false, "suffix" : "" }, { "dropping-particle" : "", "family" : "Vacchi-Suzzi", "given" : "Caterina", "non-dropping-particle" : "", "parse-names" : false, "suffix" : "" }, { "dropping-particle" : "", "family" : "Heyne", "given" : "Belinda J", "non-dropping-particle" : "", "parse-names" : false, "suffix" : "" }, { "dropping-particle" : "", "family" : "Parsek", "given" : "Matthew R", "non-dropping-particle" : "", "parse-names" : false, "suffix" : "" }, { "dropping-particle" : "", "family" : "Ceri", "given" : "Howard", "non-dropping-particle" : "", "parse-names" : false, "suffix" : "" }, { "dropping-particle" : "", "family" : "Turner", "given" : "Raymond J", "non-dropping-particle" : "", "parse-names" : false, "suffix" : "" } ], "container-title" : "Environmental Microbiology", "id" : "ITEM-1", "issue" : "10", "issued" : { "date-parts" : [ [ "2009" ] ] }, "page" : "2491-2509", "title" : "Chromosomal antioxidant genes have metal ion-specific roles as determinants of bacterial metal tolerance", "type" : "article-journal", "volume" : "11" }, "uris" : [ "http://www.mendeley.com/documents/?uuid=cc28d7a2-b8e6-4146-bf18-b6d796e3a0f4" ] } ], "mendeley" : { "formattedCitation" : "(Harrison &lt;i&gt;et al.&lt;/i&gt;, 2009)", "plainTextFormattedCitation" : "(Harrison et al., 2009)", "previouslyFormattedCitation" : "(Harrison &lt;i&gt;et al.&lt;/i&gt;, 2009)" }, "properties" : { "noteIndex" : 0 }, "schema" : "https://github.com/citation-style-language/schema/raw/master/csl-citation.json" }</w:instrText>
      </w:r>
      <w:r>
        <w:fldChar w:fldCharType="separate"/>
      </w:r>
      <w:r w:rsidRPr="00362F5B">
        <w:rPr>
          <w:noProof/>
        </w:rPr>
        <w:t xml:space="preserve">(Harrison </w:t>
      </w:r>
      <w:r w:rsidRPr="00362F5B">
        <w:rPr>
          <w:i/>
          <w:noProof/>
        </w:rPr>
        <w:t>et al.</w:t>
      </w:r>
      <w:r w:rsidRPr="00362F5B">
        <w:rPr>
          <w:noProof/>
        </w:rPr>
        <w:t>, 2009)</w:t>
      </w:r>
      <w:r>
        <w:fldChar w:fldCharType="end"/>
      </w:r>
      <w:r>
        <w:t xml:space="preserve"> and soil bacteria </w:t>
      </w:r>
      <w:r>
        <w:fldChar w:fldCharType="begin" w:fldLock="1"/>
      </w:r>
      <w:r>
        <w:instrText>ADDIN CSL_CITATION { "citationItems" : [ { "id" : "ITEM-1", "itemData" : { "DOI" : "10.1016/j.ejsobi.2011.11.010", "ISBN" : "1164-5563", "ISSN" : "11645563", "abstract" : "Extensive application of industrially-produced pesticides in agriculture has resulted in contamination of soil ecosystems. A variety of both cultivation-dependent and cultivation-independent methods can be applied to measure and interpret the effects of pesticide exposure. We review here the expanding panel of these methods in the specific context of responses of the soil bacterial microflora to pesticide exposure, and of ongoing advances in microbial molecular ecology, including metagenomics and new approaches for DNA sequencing. Several issues still need to be addressed in order to routinely evaluate the effect of pesticides on bacterial communities in soil in the future, and to make way for a widely accepted framework for risk assessment in agro-ecosystems that include bacterial indicators. \u00a9 2011 Elsevier Masson SAS.", "author" : [ { "dropping-particle" : "", "family" : "Imfeld", "given" : "Gwena\u00ebl", "non-dropping-particle" : "", "parse-names" : false, "suffix" : "" }, { "dropping-particle" : "", "family" : "Vuilleumier", "given" : "St\u00e9phane", "non-dropping-particle" : "", "parse-names" : false, "suffix" : "" } ], "container-title" : "European Journal of Soil Biology", "id" : "ITEM-1", "issued" : { "date-parts" : [ [ "2012" ] ] }, "page" : "22-30", "publisher" : "Elsevier Masson SAS", "title" : "Measuring the effects of pesticides on bacterial communities in soil: A critical review", "type" : "article-journal", "volume" : "49" }, "uris" : [ "http://www.mendeley.com/documents/?uuid=f6493a69-5b92-41ac-a3f3-8faba9f68218" ] } ], "mendeley" : { "formattedCitation" : "(Imfeld and Vuilleumier, 2012)", "plainTextFormattedCitation" : "(Imfeld and Vuilleumier, 2012)", "previouslyFormattedCitation" : "(Imfeld and Vuilleumier, 2012)" }, "properties" : { "noteIndex" : 0 }, "schema" : "https://github.com/citation-style-language/schema/raw/master/csl-citation.json" }</w:instrText>
      </w:r>
      <w:r>
        <w:fldChar w:fldCharType="separate"/>
      </w:r>
      <w:r w:rsidRPr="00362F5B">
        <w:rPr>
          <w:noProof/>
        </w:rPr>
        <w:t>(Imfeld and Vuilleumier, 2012)</w:t>
      </w:r>
      <w:r>
        <w:fldChar w:fldCharType="end"/>
      </w:r>
      <w:r>
        <w:t>.</w:t>
      </w:r>
    </w:p>
    <w:p w14:paraId="551640B0" w14:textId="77777777" w:rsidR="00A6021C" w:rsidRDefault="00A6021C" w:rsidP="00A6021C">
      <w:pPr>
        <w:spacing w:line="240" w:lineRule="auto"/>
      </w:pPr>
      <w:r>
        <w:t xml:space="preserve">Two of the most environmentally prevalent and well-studied pesticides were selected: Atrazine, a triazine herbicide, has been banned in the EU since 2004 </w:t>
      </w:r>
      <w:r>
        <w:fldChar w:fldCharType="begin" w:fldLock="1"/>
      </w:r>
      <w:r>
        <w:instrText>ADDIN CSL_CITATION { "citationItems" : [ { "id" : "ITEM-1", "itemData" : { "abstract" : "2004/248/EC: Commission Decision of 10 March 2004 concerning the non-inclusion of atrazine in Annex I to Council Directive 91/414/EEC and the withdrawal of authorisations for plant protection products containing this active substance (Text with EEA relevance) (notified under document number C(2004) 731)", "author" : [ { "dropping-particle" : "", "family" : "EU", "given" : "", "non-dropping-particle" : "", "parse-names" : false, "suffix" : "" } ], "container-title" : "Official Journal of the European Union", "id" : "ITEM-1", "issue" : "L78", "issued" : { "date-parts" : [ [ "2004" ] ] }, "page" : "53-55", "title" : "Commission Decision of 10 March 2004 concerning the non-inclusion of atrazine in Annex I to Council Directive 91/414/EEC and the withdrawal of authorisations for plant protection products containing this active substance", "type" : "legal_case", "volume" : "47" }, "uris" : [ "http://www.mendeley.com/documents/?uuid=b010f4ef-6ac9-4e33-81d5-b1da88b8d48e" ] } ], "mendeley" : { "formattedCitation" : "(EU, 2004)", "plainTextFormattedCitation" : "(EU, 2004)", "previouslyFormattedCitation" : "(EU, 2004)" }, "properties" : { "noteIndex" : 0 }, "schema" : "https://github.com/citation-style-language/schema/raw/master/csl-citation.json" }</w:instrText>
      </w:r>
      <w:r>
        <w:fldChar w:fldCharType="separate"/>
      </w:r>
      <w:r w:rsidRPr="00362F5B">
        <w:rPr>
          <w:noProof/>
        </w:rPr>
        <w:t>(EU, 2004)</w:t>
      </w:r>
      <w:r>
        <w:fldChar w:fldCharType="end"/>
      </w:r>
      <w:r>
        <w:t xml:space="preserve">, but has remained the most commonly used herbicide in the US, where over 42 million kg were used in 2016 </w:t>
      </w:r>
      <w:r>
        <w:fldChar w:fldCharType="begin" w:fldLock="1"/>
      </w:r>
      <w:r>
        <w:instrText>ADDIN CSL_CITATION { "citationItems" : [ { "id" : "ITEM-1", "itemData" : { "URL" : "https://water.usgs.gov/nawqa/pnsp/usage/maps/county-level/PreliminaryEstimateNOCa/2016PreliminaryEstimatesNoCA.zip", "author" : [ { "dropping-particle" : "", "family" : "USGS", "given" : "", "non-dropping-particle" : "", "parse-names" : false, "suffix" : "" } ], "container-title" : "Estimated Annual Agricultural Pesticide Use", "id" : "ITEM-1", "issued" : { "date-parts" : [ [ "2017" ] ] }, "title" : "Preliminary pesticide use estimates without California data", "type" : "webpage" }, "uris" : [ "http://www.mendeley.com/documents/?uuid=e0c963e4-b03e-4be2-a7a7-00b080f22659" ] } ], "mendeley" : { "formattedCitation" : "(USGS, 2017)", "plainTextFormattedCitation" : "(USGS, 2017)", "previouslyFormattedCitation" : "(USGS, 2017)" }, "properties" : { "noteIndex" : 0 }, "schema" : "https://github.com/citation-style-language/schema/raw/master/csl-citation.json" }</w:instrText>
      </w:r>
      <w:r>
        <w:fldChar w:fldCharType="separate"/>
      </w:r>
      <w:r w:rsidRPr="006B3FC7">
        <w:rPr>
          <w:noProof/>
        </w:rPr>
        <w:t>(USGS, 2017)</w:t>
      </w:r>
      <w:r>
        <w:fldChar w:fldCharType="end"/>
      </w:r>
      <w:r>
        <w:t xml:space="preserve">. Atrazine, which acts on plants by disrupting photosynthesis </w:t>
      </w:r>
      <w:r>
        <w:fldChar w:fldCharType="begin" w:fldLock="1"/>
      </w:r>
      <w:r>
        <w:instrText>ADDIN CSL_CITATION { "citationItems" : [ { "id" : "ITEM-1", "itemData" : { "DOI" : "10.1021/jf60162a044", "ISSN" : "15205118", "abstract" : "The primary atrazine-sensitive site seems to be located within the chloroplast for resistant as well as susceptible plants. Atrazine inhibits the Hill reaction and its associated noncyclic photophos-phorylation, while being ineffective against cyclic photophosphorylation. N-Dealkylation causes a decrease in the inhibitory activity of atrazine, but the same reactions mentioned above were inhib-ited despite the change in molecular structure. Atrazine readily penetrates the chloroplasts of resistant as well as susceptible plants and seems to accumulate there until an equilibrium concen-tration is attained between the chloroplasts and the cytoplasm. In resistant plants such as sorghum, metabolism of atrazine very likely occurs outside the chloroplasts to form water-soluble compounds and insoluble residue, reduces the concentration of the photosynthetic inhibitor in the chloroplasts, and results in a recovery of photosynthesis. Changes in solubility of the parent atrazine, caused by its metabolism, may be of great sig-nificance in the tolerance of plants to the herbicide. he chemical and biological properties of substituted s-triazines have been discussed by Gysin and Kniisli (1960). Two substituted s-chlorotriazines widely used as selective herbicides in fields of corn and sorghum, 2-chloro-4-ethylamino-6-isopropylamino-s-tri-azine (atrazine) and 2-chloro-4,6-bis(ethylamino) -s-triazine (simazine), seem to affect higher plants in a similar manner. Their high biological activity against a wide spectrum of plants has made atrazine and simazine useful as selective herbicides. Selectivity seems to depend on the extent to which a herbicide remains in its toxic form in the plant. Therefore. the persistence and effectiveness of kill may be directly influenced by the metabolism and detoxica-tion of the herbicide in an intact plant. Metabolism and detoxication of atrazine occur in two possible ways in higher plants (Shimabukuro, 1967a). Dechlorination of atrazine and simazine in corn by the conversion of the s-chlorotriazines to their 2-hydroxy derivatives (hydroxyatrazine and hydroxysimazine) is an important detoxication mechanism (Castelfranco et al., 1961 ; Gysin and Knusli, 1960; Hamilton and Moreland, 1962; Roth, 1957). This reaction seems to be catalyzed non-enzymatically by a cyclic hydroxamate,", "author" : [ { "dropping-particle" : "", "family" : "Shimabukuro", "given" : "Richard H.", "non-dropping-particle" : "", "parse-names" : false, "suffix" : "" }, { "dropping-particle" : "", "family" : "Swanson", "given" : "Harley R.", "non-dropping-particle" : "", "parse-names" : false, "suffix" : "" } ], "container-title" : "Journal of Agricultural and Food Chemistry", "id" : "ITEM-1", "issue" : "2", "issued" : { "date-parts" : [ [ "1969" ] ] }, "page" : "199-205", "title" : "Atrazine metabolism, selectivity, and mode of action", "type" : "article-journal", "volume" : "17" }, "uris" : [ "http://www.mendeley.com/documents/?uuid=28a947f4-c88e-45eb-866d-db0cccef5584" ] } ], "mendeley" : { "formattedCitation" : "(Shimabukuro and Swanson, 1969)", "plainTextFormattedCitation" : "(Shimabukuro and Swanson, 1969)", "previouslyFormattedCitation" : "(Shimabukuro and Swanson, 1969)" }, "properties" : { "noteIndex" : 0 }, "schema" : "https://github.com/citation-style-language/schema/raw/master/csl-citation.json" }</w:instrText>
      </w:r>
      <w:r>
        <w:fldChar w:fldCharType="separate"/>
      </w:r>
      <w:r w:rsidRPr="009A6057">
        <w:rPr>
          <w:noProof/>
        </w:rPr>
        <w:t>(Shimabukuro and Swanson, 1969)</w:t>
      </w:r>
      <w:r>
        <w:fldChar w:fldCharType="end"/>
      </w:r>
      <w:r>
        <w:t xml:space="preserve"> has been shown to be both a food source </w:t>
      </w:r>
      <w:r>
        <w:fldChar w:fldCharType="begin" w:fldLock="1"/>
      </w:r>
      <w:r>
        <w:instrText>ADDIN CSL_CITATION { "citationItems" : [ { "id" : "ITEM-1", "itemData" : { "DOI" : "10.1007/s00253-001-0862-y", "ISBN" : "0175-7598", "ISSN" : "01757598", "PMID" : "11831474", "abstract" : "s-Triazine ring compounds are common industrial chemicals: pesticides, resin intermediates, dyes, and explosives. The fate of these compounds in the environment is directly correlated with the ability of microbes to metabolize them. Microbes metabolize melamine and the triazine herbicides such as atrazine via enzyme-catalyzed hydrolysis reactions. Hydrolytic removal of substituents on the s-triazine ring is catalyzed by enzymes from the amidohydrolase superfamily and yields cyanuric acid as an intermediate. Cyanuric acid is hydrolytically processed to yield 3 mol each of ammonia and carbon dioxide. In those cases studied, the genes underlying the hydrolytic reactions are localized to large catabolic plasmids. One such plasmid, pADP-1 from Pseudomonas sp. ADP, has been completely sequenced and contains the genes for atrazine catabolism. Insertion sequence elements play a role in constructing different atrazine catabolic plasmids in different bacteria. Atrazine chlorohydrolase has been purified to homogeneity from two sources. Recombinant Escherichia coli strains expressing atrazine chlorohydrolase have been constructed and chemically cross-linked to generate catalytic particles used for atrazine remediation in soil. The method was used for cleaning up a spill of 1,000 pounds of atrazine to attain a level of herbicide acceptable to regulatory agencies.", "author" : [ { "dropping-particle" : "", "family" : "Wackett", "given" : "L.", "non-dropping-particle" : "", "parse-names" : false, "suffix" : "" }, { "dropping-particle" : "", "family" : "Sadowsky", "given" : "M.", "non-dropping-particle" : "", "parse-names" : false, "suffix" : "" }, { "dropping-particle" : "", "family" : "Martinez", "given" : "B.", "non-dropping-particle" : "", "parse-names" : false, "suffix" : "" }, { "dropping-particle" : "", "family" : "Shapir", "given" : "N.", "non-dropping-particle" : "", "parse-names" : false, "suffix" : "" } ], "container-title" : "Applied Microbiology and Biotechnology", "id" : "ITEM-1", "issue" : "1", "issued" : { "date-parts" : [ [ "2002" ] ] }, "page" : "39-45", "title" : "Biodegradation of atrazine and related s-triazine compounds: From enzymes to field studies", "type" : "article-journal", "volume" : "58" }, "uris" : [ "http://www.mendeley.com/documents/?uuid=2dded1a8-ac92-4ee1-886c-88051e30bb44" ] } ], "mendeley" : { "formattedCitation" : "(Wackett &lt;i&gt;et al.&lt;/i&gt;, 2002)", "plainTextFormattedCitation" : "(Wackett et al., 2002)", "previouslyFormattedCitation" : "(Wackett &lt;i&gt;et al.&lt;/i&gt;, 2002)" }, "properties" : { "noteIndex" : 0 }, "schema" : "https://github.com/citation-style-language/schema/raw/master/csl-citation.json" }</w:instrText>
      </w:r>
      <w:r>
        <w:fldChar w:fldCharType="separate"/>
      </w:r>
      <w:r w:rsidRPr="001E61B9">
        <w:rPr>
          <w:noProof/>
        </w:rPr>
        <w:t xml:space="preserve">(Wackett </w:t>
      </w:r>
      <w:r w:rsidRPr="001E61B9">
        <w:rPr>
          <w:i/>
          <w:noProof/>
        </w:rPr>
        <w:t>et al.</w:t>
      </w:r>
      <w:r w:rsidRPr="001E61B9">
        <w:rPr>
          <w:noProof/>
        </w:rPr>
        <w:t>, 2002)</w:t>
      </w:r>
      <w:r>
        <w:fldChar w:fldCharType="end"/>
      </w:r>
      <w:r>
        <w:t xml:space="preserve"> and ROS stressor </w:t>
      </w:r>
      <w:r>
        <w:fldChar w:fldCharType="begin" w:fldLock="1"/>
      </w:r>
      <w:r>
        <w:instrText>ADDIN CSL_CITATION { "citationItems" : [ { "id" : "ITEM-1", "itemData" : { "DOI" : "10.1111/j.1574-6968.2012.02625.x", "ISBN" : "1873-3336 (Electronic)\\r0304-3894 (Linking)", "ISSN" : "03781097", "PMID" : "22724442", "abstract" : "Bacteria are present extensively in the environment. Investigation of their antioxidant properties will be useful for further study on atrazine stress tolerance of bacteria and the defense mechanism of antioxidant enzymes against atrazine or other triazine herbicides. Superoxide dismutase (SOD), catalase (CAT), glutathione S-transferase (GST) and total antioxidant capacity (T-AOC) from one Gram-negative representative strain Escherichia coli K12 and one Gram-positive representative strain Bacillus subtilis B19, respectively, were tested for response to atrazine stress. The results indicated that SOD, CAT, GST and T-AOC were induced upon exposure to atrazine. The growth of two bacteria was better in the absence than in the presence of atrazine, indicating that atrazine can decrease bacterial growth. The changes of enzyme activities indicate the presence of oxidative stress. Oxidative stress induced by atrazine may be due to imbalance of redox potential in bacterial cells, which leads to bacterial metabolic disorder.", "author" : [ { "dropping-particle" : "", "family" : "Zhang", "given" : "Ying", "non-dropping-particle" : "", "parse-names" : false, "suffix" : "" }, { "dropping-particle" : "", "family" : "Meng", "given" : "Dongfang", "non-dropping-particle" : "", "parse-names" : false, "suffix" : "" }, { "dropping-particle" : "", "family" : "Wang", "given" : "Zhigang", "non-dropping-particle" : "", "parse-names" : false, "suffix" : "" }, { "dropping-particle" : "", "family" : "Guo", "given" : "Huosheng", "non-dropping-particle" : "", "parse-names" : false, "suffix" : "" }, { "dropping-particle" : "", "family" : "Wang", "given" : "Yang", "non-dropping-particle" : "", "parse-names" : false, "suffix" : "" } ], "container-title" : "FEMS Microbiology Letters", "id" : "ITEM-1", "issue" : "2", "issued" : { "date-parts" : [ [ "2012" ] ] }, "page" : "95-101", "title" : "Oxidative stress response in two representative bacteria exposed to atrazine", "type" : "article-journal", "volume" : "334" }, "uris" : [ "http://www.mendeley.com/documents/?uuid=28485797-d102-4e5a-9afb-726c7a421ac0" ] } ], "mendeley" : { "formattedCitation" : "(Zhang &lt;i&gt;et al.&lt;/i&gt;, 2012)", "plainTextFormattedCitation" : "(Zhang et al., 2012)", "previouslyFormattedCitation" : "(Zhang &lt;i&gt;et al.&lt;/i&gt;, 2012)" }, "properties" : { "noteIndex" : 0 }, "schema" : "https://github.com/citation-style-language/schema/raw/master/csl-citation.json" }</w:instrText>
      </w:r>
      <w:r>
        <w:fldChar w:fldCharType="separate"/>
      </w:r>
      <w:r w:rsidRPr="001E61B9">
        <w:rPr>
          <w:noProof/>
        </w:rPr>
        <w:t xml:space="preserve">(Zhang </w:t>
      </w:r>
      <w:r w:rsidRPr="001E61B9">
        <w:rPr>
          <w:i/>
          <w:noProof/>
        </w:rPr>
        <w:t>et al.</w:t>
      </w:r>
      <w:r w:rsidRPr="001E61B9">
        <w:rPr>
          <w:noProof/>
        </w:rPr>
        <w:t>, 2012)</w:t>
      </w:r>
      <w:r>
        <w:fldChar w:fldCharType="end"/>
      </w:r>
      <w:r>
        <w:t xml:space="preserve"> to various species of bacteria.</w:t>
      </w:r>
    </w:p>
    <w:p w14:paraId="51BC91E7" w14:textId="77777777" w:rsidR="00A6021C" w:rsidRPr="00740D07" w:rsidRDefault="00A6021C" w:rsidP="00A6021C">
      <w:pPr>
        <w:spacing w:line="240" w:lineRule="auto"/>
      </w:pPr>
      <w:r>
        <w:t xml:space="preserve">Metaldehyde, both the UK’s and the world’s most heavily used molluscicide is a highly mobile agent that frequently affects untreated terrain and waterways due to its propensity to run-off in surface water </w:t>
      </w:r>
      <w:r>
        <w:fldChar w:fldCharType="begin" w:fldLock="1"/>
      </w:r>
      <w:r>
        <w:instrText>ADDIN CSL_CITATION { "citationItems" : [ { "id" : "ITEM-1", "itemData" : { "DOI" : "10.1039/c7ew00039a", "ISSN" : "20531419", "abstract" : "Metaldehyde is the active ingredient in most slug pellets used to protect crops. This molluscicide is considered an emerging pollutant and is frequently detected in surface water bodies above the EU statutory drinking water limit of 0.1 \u03bcg L\u22121 for a pesticide. This presents a challenge for providers of drinking water. Understanding the sources, transport and environmental fate of this compound is therefore important. This critical review discusses these aspects including monitoring and analytical techniques used for the detection of metaldehyde in environmental matrices. Novel techniques used for the removal of metaldehyde from drinking water are presented together with potential catchment management strategies and initiatives useful for the mitigation of this molluscicide in the environment.", "author" : [ { "dropping-particle" : "", "family" : "Castle", "given" : "G. D.", "non-dropping-particle" : "", "parse-names" : false, "suffix" : "" }, { "dropping-particle" : "", "family" : "Mills", "given" : "G. A.", "non-dropping-particle" : "", "parse-names" : false, "suffix" : "" }, { "dropping-particle" : "", "family" : "Gravell", "given" : "A.", "non-dropping-particle" : "", "parse-names" : false, "suffix" : "" }, { "dropping-particle" : "", "family" : "Jones", "given" : "L.", "non-dropping-particle" : "", "parse-names" : false, "suffix" : "" }, { "dropping-particle" : "", "family" : "Townsend", "given" : "I.", "non-dropping-particle" : "", "parse-names" : false, "suffix" : "" }, { "dropping-particle" : "", "family" : "Cameron", "given" : "D. G.", "non-dropping-particle" : "", "parse-names" : false, "suffix" : "" }, { "dropping-particle" : "", "family" : "Fones", "given" : "G. R.", "non-dropping-particle" : "", "parse-names" : false, "suffix" : "" } ], "container-title" : "Environmental Science: Water Research and Technology", "id" : "ITEM-1", "issue" : "3", "issued" : { "date-parts" : [ [ "2017", "5", "5" ] ] }, "page" : "415-428", "publisher" : "Royal Society of Chemistry", "title" : "Review of the molluscicide metaldehyde in the environment", "type" : "bill", "volume" : "3" }, "uris" : [ "http://www.mendeley.com/documents/?uuid=f4da6bb5-04c7-4d48-be13-0e7aca841cad" ] } ], "mendeley" : { "formattedCitation" : "(Castle &lt;i&gt;et al.&lt;/i&gt;, 2017)", "plainTextFormattedCitation" : "(Castle et al., 2017)", "previouslyFormattedCitation" : "(Castle &lt;i&gt;et al.&lt;/i&gt;, 2017)" }, "properties" : { "noteIndex" : 0 }, "schema" : "https://github.com/citation-style-language/schema/raw/master/csl-citation.json" }</w:instrText>
      </w:r>
      <w:r>
        <w:fldChar w:fldCharType="separate"/>
      </w:r>
      <w:r w:rsidRPr="00C75D16">
        <w:rPr>
          <w:noProof/>
        </w:rPr>
        <w:t xml:space="preserve">(Castle </w:t>
      </w:r>
      <w:r w:rsidRPr="00C75D16">
        <w:rPr>
          <w:i/>
          <w:noProof/>
        </w:rPr>
        <w:t>et al.</w:t>
      </w:r>
      <w:r w:rsidRPr="00C75D16">
        <w:rPr>
          <w:noProof/>
        </w:rPr>
        <w:t>, 2017)</w:t>
      </w:r>
      <w:r>
        <w:fldChar w:fldCharType="end"/>
      </w:r>
      <w:r>
        <w:t xml:space="preserve">. Metaldehyde is rapidly converted within the body of molluscs to aldehyde, </w:t>
      </w:r>
      <w:r>
        <w:lastRenderedPageBreak/>
        <w:t xml:space="preserve">which damages mucus producing cells, causing excessive mucus production, dehydration, and eventual death </w:t>
      </w:r>
      <w:r>
        <w:fldChar w:fldCharType="begin" w:fldLock="1"/>
      </w:r>
      <w:r>
        <w:instrText>ADDIN CSL_CITATION { "citationItems" : [ { "id" : "ITEM-1", "itemData" : { "DOI" : "10.1093/mollus/64.4.467", "ISSN" : "0260-1230, 1464-3766", "abstract" : "Using light and electron microscopy in combination with histochemical and immunocytochemical tech- niques, the impact of orally and dermally applied metaldehyde on mucus cells in the digestive tract, the skin, and the salivary gland of the slug Deroceras reticulatum (Mtiller) was investigated. The studies showed that metaldehyde induces severe alterations and damages in mucocytes even under low temp- erature and humid conditions when sufficiently high doses were applied. After metaldehyde application, not only the quantity of mucus produced by slugs but also its quality is modified. Structural, enzyme- histochemical and immunocytochemical investigations revealed metaldehyde-induced effects in mucocytes to be related to influences of the mol- luscicide on serotonin and on energy metabolism.", "author" : [ { "dropping-particle" : "", "family" : "Triebskorn", "given" : "Rita", "non-dropping-particle" : "", "parse-names" : false, "suffix" : "" }, { "dropping-particle" : "", "family" : "Christensen", "given" : "Kresten", "non-dropping-particle" : "", "parse-names" : false, "suffix" : "" }, { "dropping-particle" : "", "family" : "Heim", "given" : "Ignaz", "non-dropping-particle" : "", "parse-names" : false, "suffix" : "" } ], "container-title" : "Journal of Molluscan Studies", "id" : "ITEM-1", "issue" : "June", "issued" : { "date-parts" : [ [ "1998" ] ] }, "page" : "467-487", "title" : "Effetcs of orally and dermally applied methaldehyde on mucus of slugs (&lt;i&gt;Deroceras reticulatum&lt;/i&gt;) depending on temperature and duration of exposure", "type" : "article-journal", "volume" : "64" }, "uris" : [ "http://www.mendeley.com/documents/?uuid=65e4df17-0d5d-41da-802b-cd090b90f246" ] } ], "mendeley" : { "formattedCitation" : "(Triebskorn, Christensen and Heim, 1998)", "plainTextFormattedCitation" : "(Triebskorn, Christensen and Heim, 1998)", "previouslyFormattedCitation" : "(Triebskorn, Christensen and Heim, 1998)" }, "properties" : { "noteIndex" : 0 }, "schema" : "https://github.com/citation-style-language/schema/raw/master/csl-citation.json" }</w:instrText>
      </w:r>
      <w:r>
        <w:fldChar w:fldCharType="separate"/>
      </w:r>
      <w:r w:rsidRPr="00277C41">
        <w:rPr>
          <w:noProof/>
        </w:rPr>
        <w:t>(Triebskorn, Christensen and Heim, 1998)</w:t>
      </w:r>
      <w:r>
        <w:fldChar w:fldCharType="end"/>
      </w:r>
      <w:r>
        <w:t xml:space="preserve">. Metaldehyde has occasionally caused deaths in humans at high concentrations </w:t>
      </w:r>
      <w:r>
        <w:fldChar w:fldCharType="begin" w:fldLock="1"/>
      </w:r>
      <w:r>
        <w:instrText>ADDIN CSL_CITATION { "citationItems" : [ { "id" : "ITEM-1", "itemData" : { "author" : [ { "dropping-particle" : "", "family" : "Thompson", "given" : "J P", "non-dropping-particle" : "", "parse-names" : false, "suffix" : "" }, { "dropping-particle" : "", "family" : "Casey", "given" : "P B", "non-dropping-particle" : "", "parse-names" : false, "suffix" : "" }, { "dropping-particle" : "", "family" : "Vale", "given" : "J A", "non-dropping-particle" : "", "parse-names" : false, "suffix" : "" } ], "id" : "ITEM-1", "issue" : "January", "issued" : { "date-parts" : [ [ "1995" ] ] }, "title" : "Pesticide Incidents Reported to the Health and Safety Executive 1989 / 90- 1991 / 92", "type" : "article-journal" }, "uris" : [ "http://www.mendeley.com/documents/?uuid=df5f8c68-d2c9-42a0-a429-38780f0eccee" ] } ], "mendeley" : { "formattedCitation" : "(Thompson, Casey and Vale, 1995)", "plainTextFormattedCitation" : "(Thompson, Casey and Vale, 1995)", "previouslyFormattedCitation" : "(Thompson, Casey and Vale, 1995)" }, "properties" : { "noteIndex" : 0 }, "schema" : "https://github.com/citation-style-language/schema/raw/master/csl-citation.json" }</w:instrText>
      </w:r>
      <w:r>
        <w:fldChar w:fldCharType="separate"/>
      </w:r>
      <w:r w:rsidRPr="00C75D16">
        <w:rPr>
          <w:noProof/>
        </w:rPr>
        <w:t>(Thompson, Casey and Vale, 1995)</w:t>
      </w:r>
      <w:r>
        <w:fldChar w:fldCharType="end"/>
      </w:r>
      <w:r>
        <w:t xml:space="preserve">, but information on its effects on bacteria is scant: to date, one study has examined interactions between bacteria and metaldehyde </w:t>
      </w:r>
      <w:r>
        <w:fldChar w:fldCharType="begin" w:fldLock="1"/>
      </w:r>
      <w:r>
        <w:instrText>ADDIN CSL_CITATION { "citationItems" : [ { "id" : "ITEM-1", "itemData" : { "DOI" : "10.1111/1751-7915.12719", "ISSN" : "17517915", "PMID" : "28894442", "abstract" : "Metaldehyde is a common molluscicide, used to control slugs in agriculture and horticulture. It is resistant to breakdown by current water treatment processes, and its accumulation in drinking water sources leads to regular regulatory failures in drinking water quality. To address this problem, we isolated metaldehyde-degrading microbes from domestic soils. Two distinct bacterial isolates were cultured, that were able to grow prototrophically using metaldehyde as sole carbon and energy source. One isolate belonged to the genus Acinetobacter (strain designation E1) and the other isolate belonged to the genus Variovorax (strain designation E3). Acinetobacter E1 was able to degrade metaldehyde to a residual concentration &lt; 1 nM, whereas closely related Acinetobacter strains were completely unable to degrade metaldehyde. Variovorax E3 grew and degraded metaldehyde more slowly than Acinetobacter E1, and residual metaldehyde remained at the end of growth of the Variovorax E3 strain. Biological degradation of metaldehyde using these bacterial strains or approaches that allow in situ amplification of metaldehyde-degrading bacteria may represent a way forward for dealing with metaldehyde contamination in soils and water.", "author" : [ { "dropping-particle" : "", "family" : "Thomas", "given" : "John C.", "non-dropping-particle" : "", "parse-names" : false, "suffix" : "" }, { "dropping-particle" : "", "family" : "Helgason", "given" : "Thorunn", "non-dropping-particle" : "", "parse-names" : false, "suffix" : "" }, { "dropping-particle" : "", "family" : "Sinclair", "given" : "Chris J.", "non-dropping-particle" : "", "parse-names" : false, "suffix" : "" }, { "dropping-particle" : "", "family" : "Moir", "given" : "James W.B.", "non-dropping-particle" : "", "parse-names" : false, "suffix" : "" } ], "container-title" : "Microbial Biotechnology", "id" : "ITEM-1", "issue" : "6", "issued" : { "date-parts" : [ [ "2017", "11", "1" ] ] }, "page" : "1824-1829", "publisher" : "Wiley/Blackwell (10.1111)", "title" : "Isolation and characterization of metaldehyde-degrading bacteria from domestic soils", "type" : "article-journal", "volume" : "10" }, "uris" : [ "http://www.mendeley.com/documents/?uuid=8ccaf50e-ab82-31ee-89c0-930d0f13030e" ] } ], "mendeley" : { "formattedCitation" : "(Thomas &lt;i&gt;et al.&lt;/i&gt;, 2017)", "plainTextFormattedCitation" : "(Thomas et al., 2017)", "previouslyFormattedCitation" : "(Thomas &lt;i&gt;et al.&lt;/i&gt;, 2017)" }, "properties" : { "noteIndex" : 0 }, "schema" : "https://github.com/citation-style-language/schema/raw/master/csl-citation.json" }</w:instrText>
      </w:r>
      <w:r>
        <w:fldChar w:fldCharType="separate"/>
      </w:r>
      <w:r w:rsidRPr="00740D07">
        <w:rPr>
          <w:noProof/>
        </w:rPr>
        <w:t xml:space="preserve">(Thomas </w:t>
      </w:r>
      <w:r w:rsidRPr="00740D07">
        <w:rPr>
          <w:i/>
          <w:noProof/>
        </w:rPr>
        <w:t>et al.</w:t>
      </w:r>
      <w:r w:rsidRPr="00740D07">
        <w:rPr>
          <w:noProof/>
        </w:rPr>
        <w:t>, 2017)</w:t>
      </w:r>
      <w:r>
        <w:fldChar w:fldCharType="end"/>
      </w:r>
      <w:r>
        <w:t xml:space="preserve">, showing only that </w:t>
      </w:r>
      <w:proofErr w:type="spellStart"/>
      <w:r w:rsidRPr="00740D07">
        <w:rPr>
          <w:i/>
        </w:rPr>
        <w:t>Variovorax</w:t>
      </w:r>
      <w:proofErr w:type="spellEnd"/>
      <w:r>
        <w:t xml:space="preserve"> and </w:t>
      </w:r>
      <w:proofErr w:type="spellStart"/>
      <w:r w:rsidRPr="00740D07">
        <w:rPr>
          <w:i/>
        </w:rPr>
        <w:t>Aceinetobacter</w:t>
      </w:r>
      <w:proofErr w:type="spellEnd"/>
      <w:r>
        <w:t xml:space="preserve"> strains can be isolated from metaldehyde-treated soil and can degrade the molluscicide.</w:t>
      </w:r>
    </w:p>
    <w:p w14:paraId="4A362F52" w14:textId="77777777" w:rsidR="00A6021C" w:rsidRPr="003A726B" w:rsidRDefault="00A6021C" w:rsidP="00A6021C">
      <w:pPr>
        <w:spacing w:line="240" w:lineRule="auto"/>
        <w:rPr>
          <w:i/>
        </w:rPr>
      </w:pPr>
      <w:r>
        <w:rPr>
          <w:i/>
        </w:rPr>
        <w:t>Aromatic Hydrocarbons</w:t>
      </w:r>
    </w:p>
    <w:p w14:paraId="1BC245EA" w14:textId="77777777" w:rsidR="00A6021C" w:rsidRDefault="00A6021C" w:rsidP="00A6021C">
      <w:pPr>
        <w:spacing w:line="240" w:lineRule="auto"/>
      </w:pPr>
      <w:r>
        <w:t xml:space="preserve">Aromatic hydrocarbons, characterised by the presence of one or more (polycyclic) aromatic rings, cover a range of carcinogenic agents </w:t>
      </w:r>
      <w:r>
        <w:fldChar w:fldCharType="begin" w:fldLock="1"/>
      </w:r>
      <w:r>
        <w:instrText>ADDIN CSL_CITATION { "citationItems" : [ { "id" : "ITEM-1", "itemData" : { "DOI" : "10.1177/074823379901500802", "ISBN" : "1800222122", "ISSN" : "0748-2337", "abstract" : "This public health statement tells you about benzene and the effects of exposure to it.", "author" : [ { "dropping-particle" : "", "family" : "ATSDR", "given" : "", "non-dropping-particle" : "", "parse-names" : false, "suffix" : "" } ], "container-title" : "CDC Division of Toxicology and Environmrntal mediciine", "id" : "ITEM-1", "issued" : { "date-parts" : [ [ "2007" ] ] }, "page" : "1-7", "title" : "Public Health Statement for Benzene", "type" : "article-journal", "volume" : "CAS# 71-43" }, "uris" : [ "http://www.mendeley.com/documents/?uuid=e2b7fe3d-e954-47df-bc58-ceb63134d0c2" ] } ], "mendeley" : { "formattedCitation" : "(ATSDR, 2007)", "plainTextFormattedCitation" : "(ATSDR, 2007)", "previouslyFormattedCitation" : "(ATSDR, 2007)" }, "properties" : { "noteIndex" : 0 }, "schema" : "https://github.com/citation-style-language/schema/raw/master/csl-citation.json" }</w:instrText>
      </w:r>
      <w:r>
        <w:fldChar w:fldCharType="separate"/>
      </w:r>
      <w:r w:rsidRPr="00524E6A">
        <w:rPr>
          <w:noProof/>
        </w:rPr>
        <w:t>(ATSDR, 2007)</w:t>
      </w:r>
      <w:r>
        <w:fldChar w:fldCharType="end"/>
      </w:r>
      <w:r>
        <w:t xml:space="preserve"> generally found in crude oil products or produced as a result of incomplete combustion.</w:t>
      </w:r>
    </w:p>
    <w:p w14:paraId="0700F5C8" w14:textId="77777777" w:rsidR="00A6021C" w:rsidRDefault="00A6021C" w:rsidP="00A6021C">
      <w:pPr>
        <w:spacing w:line="240" w:lineRule="auto"/>
      </w:pPr>
      <w:r>
        <w:t xml:space="preserve">Benzene, consisting of a single 6-carbon aromatic ring is frequently used as a chemical feedstock, solvent and formerly as fuel additive. Benzene is relatively unstable in the environment </w:t>
      </w:r>
      <w:r>
        <w:fldChar w:fldCharType="begin" w:fldLock="1"/>
      </w:r>
      <w:r>
        <w:instrText>ADDIN CSL_CITATION { "citationItems" : [ { "id" : "ITEM-1", "itemData" : { "DOI" : "10.1289/ehp.7510269", "ISBN" : "0091-6765 (Print)", "ISSN" : "00916765", "PMID" : "1157796", "abstract" : "A model aquatic ecosystem is devised for studying relatively volatile organic compounds and simulating direct discharge of chemical wastes into aquatic ecosystems. Six simple benzene derivatives (aniline, anisole, benzoic acid, chlorobenzene, nitrobenzene, and phthalic anhydride) and other important specialty chemicals: hexachlorobenzene, pentachlorophenol, 2,6-diethylaniline, and 3,5,6-trichloro-2-pyridinol were also chosen for study of environmental behavior and fate in the model aquatic ecosystem. Quantitative relationships of the intrinsic molecular properties of the environmental micropollutants with biological responses are established, e.g., water solubility, partition coefficient, pi constant, sigma constant, ecological magnification, biodegradability index, and comparative detoxication mechanisms, respectively. Water solubility, pi constant, and sigma constant are the most significant factors and control the biological responses of the food chain members. Water solubility and pi constant control the degree of bioaccumulation, and sigma constant limits the metabolism of the xenobiotics via microsomal detoxication enzymes. These highly significant correlations should be useful for predicting environmental fate of organic chemicals.", "author" : [ { "dropping-particle" : "", "family" : "Po Yung Lu", "given" : "", "non-dropping-particle" : "", "parse-names" : false, "suffix" : "" }, { "dropping-particle" : "", "family" : "Metcalf", "given" : "R. L.", "non-dropping-particle" : "", "parse-names" : false, "suffix" : "" } ], "container-title" : "Environmental Health Perspectives", "id" : "ITEM-1", "issue" : "April", "issued" : { "date-parts" : [ [ "1975" ] ] }, "page" : "269-284", "title" : "Environmental fate and biodegradability of benzene derivatives as studied in a model aquatic ecosystem", "type" : "article-journal", "volume" : "Vol.10" }, "uris" : [ "http://www.mendeley.com/documents/?uuid=a30fc391-5bfd-4500-a47f-63ef2ab29d5e" ] } ], "mendeley" : { "formattedCitation" : "(Po Yung Lu and Metcalf, 1975)", "plainTextFormattedCitation" : "(Po Yung Lu and Metcalf, 1975)", "previouslyFormattedCitation" : "(Po Yung Lu and Metcalf, 1975)" }, "properties" : { "noteIndex" : 0 }, "schema" : "https://github.com/citation-style-language/schema/raw/master/csl-citation.json" }</w:instrText>
      </w:r>
      <w:r>
        <w:fldChar w:fldCharType="separate"/>
      </w:r>
      <w:r w:rsidRPr="003F515F">
        <w:rPr>
          <w:noProof/>
        </w:rPr>
        <w:t>(Po Yung Lu and Metcalf, 1975)</w:t>
      </w:r>
      <w:r>
        <w:fldChar w:fldCharType="end"/>
      </w:r>
      <w:r>
        <w:t xml:space="preserve">, with a reported half-life of 17 days in water </w:t>
      </w:r>
      <w:r>
        <w:fldChar w:fldCharType="begin" w:fldLock="1"/>
      </w:r>
      <w:r>
        <w:instrText>ADDIN CSL_CITATION { "citationItems" : [ { "id" : "ITEM-1", "itemData" : { "author" : [ { "dropping-particle" : "", "family" : "Hustert", "given" : "K", "non-dropping-particle" : "", "parse-names" : false, "suffix" : "" }, { "dropping-particle" : "", "family" : "Mansour", "given" : "M", "non-dropping-particle" : "", "parse-names" : false, "suffix" : "" }, { "dropping-particle" : "", "family" : "Parlar", "given" : "H", "non-dropping-particle" : "", "parse-names" : false, "suffix" : "" }, { "dropping-particle" : "", "family" : "Korte", "given" : "F", "non-dropping-particle" : "", "parse-names" : false, "suffix" : "" } ], "container-title" : "Chemosphere", "id" : "ITEM-1", "issue" : "9", "issued" : { "date-parts" : [ [ "1981" ] ] }, "page" : "995-998", "title" : "Der EPA-Test - eine Methode zur Bestimmung des photochemischen Abbaus von organischen Verbindungen in aquatischen Systemen", "type" : "article-journal" }, "uris" : [ "http://www.mendeley.com/documents/?uuid=3ab0c987-16a9-4336-9939-2b21efe8c4ee" ] } ], "mendeley" : { "formattedCitation" : "(Hustert &lt;i&gt;et al.&lt;/i&gt;, 1981)", "plainTextFormattedCitation" : "(Hustert et al., 1981)", "previouslyFormattedCitation" : "(Hustert &lt;i&gt;et al.&lt;/i&gt;, 1981)" }, "properties" : { "noteIndex" : 0 }, "schema" : "https://github.com/citation-style-language/schema/raw/master/csl-citation.json" }</w:instrText>
      </w:r>
      <w:r>
        <w:fldChar w:fldCharType="separate"/>
      </w:r>
      <w:r w:rsidRPr="008F3B97">
        <w:rPr>
          <w:noProof/>
        </w:rPr>
        <w:t xml:space="preserve">(Hustert </w:t>
      </w:r>
      <w:r w:rsidRPr="008F3B97">
        <w:rPr>
          <w:i/>
          <w:noProof/>
        </w:rPr>
        <w:t>et al.</w:t>
      </w:r>
      <w:r w:rsidRPr="008F3B97">
        <w:rPr>
          <w:noProof/>
        </w:rPr>
        <w:t>, 1981)</w:t>
      </w:r>
      <w:r>
        <w:fldChar w:fldCharType="end"/>
      </w:r>
      <w:r>
        <w:t xml:space="preserve">, although it is more frequently biodegraded. Benzene is a potential food source to some bacteria but a stressor to all, causing solvent stress to cell membranes, and has been shown to cause shifts in community abundance to gram-positive bacteria in a lab setting </w:t>
      </w:r>
      <w:r>
        <w:fldChar w:fldCharType="begin" w:fldLock="1"/>
      </w:r>
      <w:r>
        <w:instrText>ADDIN CSL_CITATION { "citationItems" : [ { "id" : "ITEM-1", "itemData" : { "DOI" : "10.1111/j.1574-6941.2008.00518.x", "ISBN" : "1574-6941", "ISSN" : "01686496", "PMID" : "18540887", "abstract" : "Exposure to pollution exerts strong selective pressure on microbial communities, which may affect their potential to adapt to current or future environmental challenges. In this microcosm study, we used DNA fingerprinting based on 16S rRNA genes to document the impact of high concentrations of benzene on two bacterial communities from a benzene-contaminated aquifer situated below a petrochemical plant (SIReN, UK). The two groundwaters harboured distinct aerobic benzene-degrading communities able to metabolize benzene to below detection levels (1 microg L(-1)). A benzene concentration of 100 mg L(-1) caused a major shift from Betaproteobacteria to Actinobacteria, in particular Arthrobacter spp. A similar shift from Betaproteobacteria to Arthrobacter spp. and Rhodococcus erythropolis was observed in minimal medium (MM) inoculated with a third groundwater. These Gram-positive-dominated communities were able to grow on benzene at concentrations up to 600 mg L(-1) in groundwater and up to 1000 mg L(-1) in MM, concentrations that cause significant solvent stress to cellular systems. Therefore, Gram-positive bacteria were better competitors than Gram-negative organisms under experimental conditions of high benzene loads, which suggests that solvent-tolerant Gram-positive bacteria can play a role in the natural attenuation of benzene or the remediation of contaminated sites.", "author" : [ { "dropping-particle" : "", "family" : "Fahy", "given" : "Anne", "non-dropping-particle" : "", "parse-names" : false, "suffix" : "" }, { "dropping-particle" : "", "family" : "Ball", "given" : "Andrew S.", "non-dropping-particle" : "", "parse-names" : false, "suffix" : "" }, { "dropping-particle" : "", "family" : "Lethbridge", "given" : "Gordon", "non-dropping-particle" : "", "parse-names" : false, "suffix" : "" }, { "dropping-particle" : "", "family" : "McGenity", "given" : "Terry J.", "non-dropping-particle" : "", "parse-names" : false, "suffix" : "" }, { "dropping-particle" : "", "family" : "Timmis", "given" : "Kenneth N.", "non-dropping-particle" : "", "parse-names" : false, "suffix" : "" } ], "container-title" : "FEMS Microbiology Ecology", "id" : "ITEM-1", "issue" : "3", "issued" : { "date-parts" : [ [ "2008" ] ] }, "page" : "526-533", "title" : "High benzene concentrations can favour Gram-positive bacteria in groundwaters from a contaminated aquifer", "type" : "article-journal", "volume" : "65" }, "uris" : [ "http://www.mendeley.com/documents/?uuid=5fdc9637-ad7d-4e44-a214-e9258fa02bed" ] } ], "mendeley" : { "formattedCitation" : "(Fahy &lt;i&gt;et al.&lt;/i&gt;, 2008)", "plainTextFormattedCitation" : "(Fahy et al., 2008)", "previouslyFormattedCitation" : "(Fahy &lt;i&gt;et al.&lt;/i&gt;, 2008)" }, "properties" : { "noteIndex" : 0 }, "schema" : "https://github.com/citation-style-language/schema/raw/master/csl-citation.json" }</w:instrText>
      </w:r>
      <w:r>
        <w:fldChar w:fldCharType="separate"/>
      </w:r>
      <w:r w:rsidRPr="009F2D3F">
        <w:rPr>
          <w:noProof/>
        </w:rPr>
        <w:t xml:space="preserve">(Fahy </w:t>
      </w:r>
      <w:r w:rsidRPr="009F2D3F">
        <w:rPr>
          <w:i/>
          <w:noProof/>
        </w:rPr>
        <w:t>et al.</w:t>
      </w:r>
      <w:r w:rsidRPr="009F2D3F">
        <w:rPr>
          <w:noProof/>
        </w:rPr>
        <w:t>, 2008)</w:t>
      </w:r>
      <w:r>
        <w:fldChar w:fldCharType="end"/>
      </w:r>
      <w:r>
        <w:t>.</w:t>
      </w:r>
    </w:p>
    <w:p w14:paraId="4AE1AFFB" w14:textId="77777777" w:rsidR="00A6021C" w:rsidRDefault="00A6021C" w:rsidP="00A6021C">
      <w:pPr>
        <w:spacing w:line="240" w:lineRule="auto"/>
      </w:pPr>
      <w:r>
        <w:t xml:space="preserve">Benzo[a]pyrene is a high molecular weight polycyclic hydrocarbon consisting of six conjoined aromatic rings, principally produced by incomplete combustion of vehicle fuel or wood. Benzo[a]pyrene is highly toxic and carcinogenic to humans </w:t>
      </w:r>
      <w:r>
        <w:fldChar w:fldCharType="begin" w:fldLock="1"/>
      </w:r>
      <w:r>
        <w:instrText>ADDIN CSL_CITATION { "citationItems" : [ { "id" : "ITEM-1", "itemData" : { "DOI" : "10.1016/j.jhazmat.2009.03.137", "abstract" : "a b s t r a c t PAHs are aromatic hydrocarbons with two or more fused benzene rings with natural as well as anthropogenic sources. They are widely distributed environmental contaminants that have detrimen-tal biological effects, toxicity, mutagenecity and carcinogenicity. Due to their ubiquitous occurrence, recalcitrance, bioaccumulation potential and carcinogenic activity, the PAHs have gathered significant environmental concern. Although PAH may undergo adsorption, volatilization, photolysis, and chemical degradation, microbial degradation is the major degradation process. PAH degradation depends on the environmental conditions, number and type of the microorganisms, nature and chemical structure of the chemical compound being degraded. They are biodegraded/biotransformed into less complex metabo-lites, and through mineralization into inorganic minerals, H 2 O, CO 2 (aerobic) or CH 4 (anaerobic) and rate of biodegradation depends on pH, temperature, oxygen, microbial population, degree of acclima-tion, accessibility of nutrients, chemical structure of the compound, cellular transport properties, and chemical partitioning in growth medium. A number of bacterial species are known to degrade PAHs and most of them are isolated from contaminated soil or sediments. Pseudomonas aeruginosa, Pseudomons fluoresens, Mycobacterium spp., Haemophilus spp., Rhodococcus spp., Paenibacillus spp. are some of the commonly studied PAH-degrading bacteria. Lignolytic fungi too have the property of PAH degradation. Phanerochaete chrysosporium, Bjerkandera adusta, and Pleurotus ostreatus are the common PAH-degrading fungi. Enzymes involved in the degradation of PAHs are oxygenase, dehydrogenase and lignolytic enzymes. Fungal lignolytic enzymes are lignin peroxidase, laccase, and manganese peroxidase. They are extracel-lular and catalyze radical formation by oxidation to destabilize bonds in a molecule. The biodegradation of PAHs has been observed under both aerobic and anaerobic conditions and the rate can be enhanced by physical/chemical pretreatment of contaminated soil. Addition of biosurfactant-producing bacteria and light oils can increase the bioavailability of PAHs and metabolic potential of the bacterial community. The supplementation of contaminated soils with compost materials can also enhance biodegradation without long-term accumulation of extractable polar and more available intermediates. Wetlands, too, have found an application in PAH removal from wastewater. \u2026", "author" : [ { "dropping-particle" : "", "family" : "Haritash", "given" : "A K", "non-dropping-particle" : "", "parse-names" : false, "suffix" : "" }, { "dropping-particle" : "", "family" : "Kaushik", "given" : "C P", "non-dropping-particle" : "", "parse-names" : false, "suffix" : "" } ], "container-title" : "Journal of Hazardous Materials", "id" : "ITEM-1", "issued" : { "date-parts" : [ [ "2009" ] ] }, "page" : "1-15", "title" : "Biodegradation aspects of Polycyclic Aromatic Hydrocarbons (PAHs): A review", "type" : "article-journal", "volume" : "169" }, "uris" : [ "http://www.mendeley.com/documents/?uuid=cb453e81-8f83-3a26-b533-014de2217afb" ] } ], "mendeley" : { "formattedCitation" : "(Haritash and Kaushik, 2009)", "plainTextFormattedCitation" : "(Haritash and Kaushik, 2009)", "previouslyFormattedCitation" : "(Haritash and Kaushik, 2009)" }, "properties" : { "noteIndex" : 0 }, "schema" : "https://github.com/citation-style-language/schema/raw/master/csl-citation.json" }</w:instrText>
      </w:r>
      <w:r>
        <w:fldChar w:fldCharType="separate"/>
      </w:r>
      <w:r w:rsidRPr="004661DD">
        <w:rPr>
          <w:noProof/>
        </w:rPr>
        <w:t>(Haritash and Kaushik, 2009)</w:t>
      </w:r>
      <w:r>
        <w:fldChar w:fldCharType="end"/>
      </w:r>
      <w:r>
        <w:t xml:space="preserve">, but may be less toxic to bacteria </w:t>
      </w:r>
      <w:r>
        <w:fldChar w:fldCharType="begin" w:fldLock="1"/>
      </w:r>
      <w:r>
        <w:instrText>ADDIN CSL_CITATION { "citationItems" : [ { "id" : "ITEM-1", "itemData" : { "DOI" : "10.1016/j.ecoenv.2006.01.007", "author" : [ { "dropping-particle" : "", "family" : "Sverdrup", "given" : "Line E", "non-dropping-particle" : "", "parse-names" : false, "suffix" : "" }, { "dropping-particle" : "", "family" : "Hagen", "given" : "Snorre B", "non-dropping-particle" : "", "parse-names" : false, "suffix" : "" }, { "dropping-particle" : "", "family" : "Henning", "given" : "Paul", "non-dropping-particle" : "", "parse-names" : false, "suffix" : "" }, { "dropping-particle" : "Van", "family" : "Gestel", "given" : "Cornelis A M", "non-dropping-particle" : "", "parse-names" : false, "suffix" : "" } ], "id" : "ITEM-1", "issued" : { "date-parts" : [ [ "2007" ] ] }, "page" : "362-368", "title" : "Benzo (a) pyrene shows low toxicity to three species of terrestrial plants , two soil invertebrates , and soil-nitrifying bacteria", "type" : "article-journal", "volume" : "66" }, "uris" : [ "http://www.mendeley.com/documents/?uuid=7a59c8c7-4a47-47c6-b351-0de9508f1f74" ] } ], "mendeley" : { "formattedCitation" : "(Sverdrup &lt;i&gt;et al.&lt;/i&gt;, 2007)", "plainTextFormattedCitation" : "(Sverdrup et al., 2007)", "previouslyFormattedCitation" : "(Sverdrup &lt;i&gt;et al.&lt;/i&gt;, 2007)" }, "properties" : { "noteIndex" : 0 }, "schema" : "https://github.com/citation-style-language/schema/raw/master/csl-citation.json" }</w:instrText>
      </w:r>
      <w:r>
        <w:fldChar w:fldCharType="separate"/>
      </w:r>
      <w:r w:rsidRPr="005E5C82">
        <w:rPr>
          <w:noProof/>
        </w:rPr>
        <w:t xml:space="preserve">(Sverdrup </w:t>
      </w:r>
      <w:r w:rsidRPr="005E5C82">
        <w:rPr>
          <w:i/>
          <w:noProof/>
        </w:rPr>
        <w:t>et al.</w:t>
      </w:r>
      <w:r w:rsidRPr="005E5C82">
        <w:rPr>
          <w:noProof/>
        </w:rPr>
        <w:t>, 2007)</w:t>
      </w:r>
      <w:r>
        <w:fldChar w:fldCharType="end"/>
      </w:r>
      <w:r>
        <w:t xml:space="preserve">, many of which are capable of breaking it down for use as a food source </w:t>
      </w:r>
      <w:r>
        <w:fldChar w:fldCharType="begin" w:fldLock="1"/>
      </w:r>
      <w:r>
        <w:instrText>ADDIN CSL_CITATION { "citationItems" : [ { "id" : "ITEM-1", "itemData" : { "author" : [ { "dropping-particle" : "", "family" : "Meulenberg", "given" : "Rogier", "non-dropping-particle" : "", "parse-names" : false, "suffix" : "" }, { "dropping-particle" : "", "family" : "Rijnaarts", "given" : "Huub H M", "non-dropping-particle" : "", "parse-names" : false, "suffix" : "" }, { "dropping-particle" : "", "family" : "Doddema", "given" : "Hans J", "non-dropping-particle" : "", "parse-names" : false, "suffix" : "" }, { "dropping-particle" : "", "family" : "Field", "given" : "Jim A", "non-dropping-particle" : "", "parse-names" : false, "suffix" : "" } ], "id" : "ITEM-1", "issued" : { "date-parts" : [ [ "1997" ] ] }, "page" : "45-49", "title" : "Partially oxidized polycyclic aromatic hydrocarbons show an increased bioavailability and biodegradability", "type" : "article-journal", "volume" : "152" }, "uris" : [ "http://www.mendeley.com/documents/?uuid=0c304aaa-52bc-4a31-a5f3-ab3ec1fad80f" ] } ], "mendeley" : { "formattedCitation" : "(Meulenberg &lt;i&gt;et al.&lt;/i&gt;, 1997)", "plainTextFormattedCitation" : "(Meulenberg et al., 1997)", "previouslyFormattedCitation" : "(Meulenberg &lt;i&gt;et al.&lt;/i&gt;, 1997)" }, "properties" : { "noteIndex" : 0 }, "schema" : "https://github.com/citation-style-language/schema/raw/master/csl-citation.json" }</w:instrText>
      </w:r>
      <w:r>
        <w:fldChar w:fldCharType="separate"/>
      </w:r>
      <w:r w:rsidRPr="005E5C82">
        <w:rPr>
          <w:noProof/>
        </w:rPr>
        <w:t xml:space="preserve">(Meulenberg </w:t>
      </w:r>
      <w:r w:rsidRPr="005E5C82">
        <w:rPr>
          <w:i/>
          <w:noProof/>
        </w:rPr>
        <w:t>et al.</w:t>
      </w:r>
      <w:r w:rsidRPr="005E5C82">
        <w:rPr>
          <w:noProof/>
        </w:rPr>
        <w:t>, 1997)</w:t>
      </w:r>
      <w:r>
        <w:fldChar w:fldCharType="end"/>
      </w:r>
      <w:r>
        <w:t xml:space="preserve">. </w:t>
      </w:r>
    </w:p>
    <w:p w14:paraId="27420B56" w14:textId="77777777" w:rsidR="001916E1" w:rsidRDefault="001916E1">
      <w:bookmarkStart w:id="0" w:name="_GoBack"/>
      <w:bookmarkEnd w:id="0"/>
    </w:p>
    <w:sectPr w:rsidR="00191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71B26"/>
    <w:multiLevelType w:val="hybridMultilevel"/>
    <w:tmpl w:val="919A3FE8"/>
    <w:lvl w:ilvl="0" w:tplc="10F619AE">
      <w:start w:val="1"/>
      <w:numFmt w:val="decimal"/>
      <w:pStyle w:val="Heading1"/>
      <w:lvlText w:val="%1."/>
      <w:lvlJc w:val="left"/>
      <w:pPr>
        <w:ind w:left="720" w:hanging="360"/>
      </w:pPr>
    </w:lvl>
    <w:lvl w:ilvl="1" w:tplc="07A46A26">
      <w:start w:val="1"/>
      <w:numFmt w:val="lowerLetter"/>
      <w:pStyle w:val="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21C"/>
    <w:rsid w:val="0000308B"/>
    <w:rsid w:val="00011BB1"/>
    <w:rsid w:val="0001644A"/>
    <w:rsid w:val="0004463E"/>
    <w:rsid w:val="000552E5"/>
    <w:rsid w:val="00081477"/>
    <w:rsid w:val="000820B9"/>
    <w:rsid w:val="000B75C7"/>
    <w:rsid w:val="000C4873"/>
    <w:rsid w:val="000D0172"/>
    <w:rsid w:val="0010465C"/>
    <w:rsid w:val="00104F33"/>
    <w:rsid w:val="0012215C"/>
    <w:rsid w:val="0012501D"/>
    <w:rsid w:val="001360BB"/>
    <w:rsid w:val="001408F6"/>
    <w:rsid w:val="001409C2"/>
    <w:rsid w:val="0015272F"/>
    <w:rsid w:val="0017381B"/>
    <w:rsid w:val="001801D9"/>
    <w:rsid w:val="001916E1"/>
    <w:rsid w:val="001B0675"/>
    <w:rsid w:val="001C7035"/>
    <w:rsid w:val="001E7E68"/>
    <w:rsid w:val="00204DD5"/>
    <w:rsid w:val="00234990"/>
    <w:rsid w:val="00251337"/>
    <w:rsid w:val="0025734E"/>
    <w:rsid w:val="00262A75"/>
    <w:rsid w:val="00265641"/>
    <w:rsid w:val="002777FC"/>
    <w:rsid w:val="00281713"/>
    <w:rsid w:val="002C6AB5"/>
    <w:rsid w:val="0032265D"/>
    <w:rsid w:val="00331AE2"/>
    <w:rsid w:val="003662EC"/>
    <w:rsid w:val="0037585A"/>
    <w:rsid w:val="003A7E82"/>
    <w:rsid w:val="003B07A1"/>
    <w:rsid w:val="003B3C0F"/>
    <w:rsid w:val="003C7FC1"/>
    <w:rsid w:val="003E6C62"/>
    <w:rsid w:val="00483606"/>
    <w:rsid w:val="00484255"/>
    <w:rsid w:val="004D632C"/>
    <w:rsid w:val="004E3735"/>
    <w:rsid w:val="004E74DB"/>
    <w:rsid w:val="005A4B07"/>
    <w:rsid w:val="005F1E11"/>
    <w:rsid w:val="00607063"/>
    <w:rsid w:val="00612F99"/>
    <w:rsid w:val="00656171"/>
    <w:rsid w:val="006567C0"/>
    <w:rsid w:val="00656955"/>
    <w:rsid w:val="006640BF"/>
    <w:rsid w:val="0066692B"/>
    <w:rsid w:val="006B2C3A"/>
    <w:rsid w:val="006F3175"/>
    <w:rsid w:val="0070143E"/>
    <w:rsid w:val="007365FF"/>
    <w:rsid w:val="00740454"/>
    <w:rsid w:val="00744FC4"/>
    <w:rsid w:val="007524ED"/>
    <w:rsid w:val="007859C7"/>
    <w:rsid w:val="007861EA"/>
    <w:rsid w:val="00792ED3"/>
    <w:rsid w:val="00796C61"/>
    <w:rsid w:val="007A41C0"/>
    <w:rsid w:val="007D2F58"/>
    <w:rsid w:val="007E0D87"/>
    <w:rsid w:val="007E27E5"/>
    <w:rsid w:val="00820A61"/>
    <w:rsid w:val="00830426"/>
    <w:rsid w:val="008308C9"/>
    <w:rsid w:val="008368AF"/>
    <w:rsid w:val="00863A0C"/>
    <w:rsid w:val="0088404E"/>
    <w:rsid w:val="00884159"/>
    <w:rsid w:val="0089737B"/>
    <w:rsid w:val="008B7B37"/>
    <w:rsid w:val="008C32F2"/>
    <w:rsid w:val="008C692C"/>
    <w:rsid w:val="008C6F96"/>
    <w:rsid w:val="008D0EAA"/>
    <w:rsid w:val="008E657E"/>
    <w:rsid w:val="008F4E3F"/>
    <w:rsid w:val="00902572"/>
    <w:rsid w:val="00912A59"/>
    <w:rsid w:val="00913873"/>
    <w:rsid w:val="00923281"/>
    <w:rsid w:val="00960623"/>
    <w:rsid w:val="0098153F"/>
    <w:rsid w:val="0098566A"/>
    <w:rsid w:val="00993B87"/>
    <w:rsid w:val="009F574E"/>
    <w:rsid w:val="00A02A26"/>
    <w:rsid w:val="00A16FB1"/>
    <w:rsid w:val="00A3251D"/>
    <w:rsid w:val="00A6021C"/>
    <w:rsid w:val="00A617D9"/>
    <w:rsid w:val="00A97DC4"/>
    <w:rsid w:val="00AF2DCE"/>
    <w:rsid w:val="00AF5864"/>
    <w:rsid w:val="00B56868"/>
    <w:rsid w:val="00BA6E83"/>
    <w:rsid w:val="00BC1A0E"/>
    <w:rsid w:val="00BC3020"/>
    <w:rsid w:val="00BC639A"/>
    <w:rsid w:val="00C03BA1"/>
    <w:rsid w:val="00C72D33"/>
    <w:rsid w:val="00C76767"/>
    <w:rsid w:val="00C84067"/>
    <w:rsid w:val="00C95CA7"/>
    <w:rsid w:val="00C97AD1"/>
    <w:rsid w:val="00CA151E"/>
    <w:rsid w:val="00CA3310"/>
    <w:rsid w:val="00CC0DF5"/>
    <w:rsid w:val="00CE6208"/>
    <w:rsid w:val="00CF33FF"/>
    <w:rsid w:val="00D26269"/>
    <w:rsid w:val="00D33180"/>
    <w:rsid w:val="00D343E1"/>
    <w:rsid w:val="00D745B7"/>
    <w:rsid w:val="00DA6762"/>
    <w:rsid w:val="00DB1B6C"/>
    <w:rsid w:val="00DB481A"/>
    <w:rsid w:val="00E14415"/>
    <w:rsid w:val="00E15ECF"/>
    <w:rsid w:val="00E46194"/>
    <w:rsid w:val="00E64588"/>
    <w:rsid w:val="00E97F60"/>
    <w:rsid w:val="00EA2D3E"/>
    <w:rsid w:val="00EF0F60"/>
    <w:rsid w:val="00EF4548"/>
    <w:rsid w:val="00F073C9"/>
    <w:rsid w:val="00F27800"/>
    <w:rsid w:val="00F3066B"/>
    <w:rsid w:val="00F3068C"/>
    <w:rsid w:val="00F675C4"/>
    <w:rsid w:val="00FC51C2"/>
    <w:rsid w:val="00FE042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72033"/>
  <w15:chartTrackingRefBased/>
  <w15:docId w15:val="{307A5407-E578-419B-B2CE-0A31F9795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021C"/>
    <w:pPr>
      <w:jc w:val="both"/>
    </w:pPr>
  </w:style>
  <w:style w:type="paragraph" w:styleId="Heading1">
    <w:name w:val="heading 1"/>
    <w:basedOn w:val="ListParagraph"/>
    <w:next w:val="Normal"/>
    <w:link w:val="Heading1Char"/>
    <w:uiPriority w:val="9"/>
    <w:qFormat/>
    <w:rsid w:val="00A6021C"/>
    <w:pPr>
      <w:numPr>
        <w:numId w:val="1"/>
      </w:numPr>
      <w:ind w:left="284" w:hanging="284"/>
      <w:outlineLvl w:val="0"/>
    </w:pPr>
    <w:rPr>
      <w:b/>
    </w:rPr>
  </w:style>
  <w:style w:type="paragraph" w:styleId="Heading2">
    <w:name w:val="heading 2"/>
    <w:basedOn w:val="Heading1"/>
    <w:next w:val="Normal"/>
    <w:link w:val="Heading2Char"/>
    <w:uiPriority w:val="9"/>
    <w:unhideWhenUsed/>
    <w:qFormat/>
    <w:rsid w:val="00A6021C"/>
    <w:pPr>
      <w:numPr>
        <w:ilvl w:val="1"/>
      </w:numPr>
      <w:ind w:left="284" w:hanging="284"/>
      <w:outlineLvl w:val="1"/>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21C"/>
    <w:rPr>
      <w:b/>
    </w:rPr>
  </w:style>
  <w:style w:type="character" w:customStyle="1" w:styleId="Heading2Char">
    <w:name w:val="Heading 2 Char"/>
    <w:basedOn w:val="DefaultParagraphFont"/>
    <w:link w:val="Heading2"/>
    <w:uiPriority w:val="9"/>
    <w:rsid w:val="00A6021C"/>
    <w:rPr>
      <w:i/>
    </w:rPr>
  </w:style>
  <w:style w:type="paragraph" w:styleId="ListParagraph">
    <w:name w:val="List Paragraph"/>
    <w:basedOn w:val="Normal"/>
    <w:uiPriority w:val="34"/>
    <w:qFormat/>
    <w:rsid w:val="00A60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18623</Words>
  <Characters>106152</Characters>
  <Application>Microsoft Office Word</Application>
  <DocSecurity>0</DocSecurity>
  <Lines>884</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Welch</dc:creator>
  <cp:keywords/>
  <dc:description/>
  <cp:lastModifiedBy>Sam Welch</cp:lastModifiedBy>
  <cp:revision>1</cp:revision>
  <dcterms:created xsi:type="dcterms:W3CDTF">2018-07-24T11:13:00Z</dcterms:created>
  <dcterms:modified xsi:type="dcterms:W3CDTF">2018-07-24T11:14:00Z</dcterms:modified>
</cp:coreProperties>
</file>