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73FE" w14:textId="4CDEC628" w:rsidR="003E1F89" w:rsidRPr="0053381C" w:rsidRDefault="003E1F89" w:rsidP="00676E2E">
      <w:pPr>
        <w:pStyle w:val="Heading1"/>
      </w:pPr>
      <w:r w:rsidRPr="0053381C">
        <w:t>Introduction</w:t>
      </w:r>
      <w:r w:rsidR="00A45F7C" w:rsidRPr="0053381C">
        <w:t xml:space="preserve"> to Microbial </w:t>
      </w:r>
      <w:r w:rsidR="003E3E38" w:rsidRPr="0053381C">
        <w:t>Ecotoxicology</w:t>
      </w:r>
    </w:p>
    <w:p w14:paraId="233C7962" w14:textId="7DCD6635" w:rsidR="003E1F89" w:rsidRPr="00676E2E" w:rsidRDefault="00FF332C" w:rsidP="00676E2E">
      <w:r w:rsidRPr="00676E2E">
        <w:t xml:space="preserve">The combined effects of mixtures of toxins and multiple stressors has long been a source of fascination for the field of academic ecotoxicology </w:t>
      </w:r>
      <w:r w:rsidRPr="00676E2E">
        <w:fldChar w:fldCharType="begin" w:fldLock="1"/>
      </w:r>
      <w:r w:rsidR="006B3FC7">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"http://www.mendeley.com/documents/?uuid=83108ff4-a120-4ca6-87bc-37c8850498a4" ] } ], "mendeley" : { "formattedCitation" : "(Bliss, 1939)", "plainTextFormattedCitation" : "(Bliss, 1939)", "previouslyFormattedCitation" : "(Bliss, 1939)" }, "properties" : { "noteIndex" : 0 }, "schema" : "https://github.com/citation-style-language/schema/raw/master/csl-citation.json" }</w:instrText>
      </w:r>
      <w:r w:rsidRPr="00676E2E">
        <w:fldChar w:fldCharType="separate"/>
      </w:r>
      <w:r w:rsidR="00362F5B" w:rsidRPr="00362F5B">
        <w:rPr>
          <w:noProof/>
        </w:rPr>
        <w:t>(Bliss, 1939)</w:t>
      </w:r>
      <w:r w:rsidRPr="00676E2E">
        <w:fldChar w:fldCharType="end"/>
      </w:r>
      <w:r w:rsidR="003E1F89" w:rsidRPr="00676E2E">
        <w:t>. The environment today is awash with</w:t>
      </w:r>
      <w:r w:rsidR="00203C5B" w:rsidRPr="00676E2E">
        <w:t xml:space="preserve"> anthropogenic stressors, including potentially harmful chemicals (over 20,000 registered at last count </w:t>
      </w:r>
      <w:r w:rsidR="00203C5B" w:rsidRPr="00676E2E">
        <w:fldChar w:fldCharType="begin" w:fldLock="1"/>
      </w:r>
      <w:r w:rsidR="006B3FC7">
        <w:instrText>ADDIN CSL_CITATION { "citationItems" : [ { "id" : "ITEM-1", "itemData" : { "URL" : "https://echa.europa.eu/information-on-chemicals/registered-substances", "author" : [ { "dropping-particle" : "", "family" : "ECHA", "given" : "", "non-dropping-particle" : "", "parse-names" : false, "suffix" : "" } ], "id" : "ITEM-1", "issued" : { "date-parts" : [ [ "2018" ] ] }, "title" : "REACH Registered Substances", "type" : "webpage" }, "uris" : [ "http://www.mendeley.com/documents/?uuid=c73cf11d-dd65-48e8-bb85-5580bb3b685e" ] } ], "mendeley" : { "formattedCitation" : "(ECHA, 2018a)", "plainTextFormattedCitation" : "(ECHA, 2018a)", "previouslyFormattedCitation" : "(ECHA, 2018a)" }, "properties" : { "noteIndex" : 0 }, "schema" : "https://github.com/citation-style-language/schema/raw/master/csl-citation.json" }</w:instrText>
      </w:r>
      <w:r w:rsidR="00203C5B" w:rsidRPr="00676E2E">
        <w:fldChar w:fldCharType="separate"/>
      </w:r>
      <w:r w:rsidR="00362F5B" w:rsidRPr="00362F5B">
        <w:rPr>
          <w:noProof/>
        </w:rPr>
        <w:t>(ECHA, 2018a)</w:t>
      </w:r>
      <w:r w:rsidR="00203C5B" w:rsidRPr="00676E2E">
        <w:fldChar w:fldCharType="end"/>
      </w:r>
      <w:r w:rsidR="00203C5B" w:rsidRPr="00676E2E">
        <w:t xml:space="preserve">), </w:t>
      </w:r>
      <w:r w:rsidR="00456F12" w:rsidRPr="00676E2E">
        <w:t>habitat loss, climate change, and competition with invasive species.</w:t>
      </w:r>
      <w:r w:rsidR="00203C5B" w:rsidRPr="00676E2E">
        <w:t xml:space="preserve"> </w:t>
      </w:r>
    </w:p>
    <w:p w14:paraId="6338FEC6" w14:textId="4DC7846A" w:rsidR="001916E1" w:rsidRDefault="00FF332C" w:rsidP="00676E2E">
      <w:r>
        <w:t>Despite this level of interest</w:t>
      </w:r>
      <w:r w:rsidR="007B2F4C">
        <w:t xml:space="preserve">, advances in knowledge have not translated to corresponding legislative changes, with existing mixture toxicity regulations </w:t>
      </w:r>
      <w:r w:rsidR="00D62D4A">
        <w:t>limited</w:t>
      </w:r>
      <w:r w:rsidR="007B2F4C">
        <w:t xml:space="preserve"> and distinctly human-focused </w:t>
      </w:r>
      <w:r w:rsidR="007B2F4C">
        <w:fldChar w:fldCharType="begin" w:fldLock="1"/>
      </w:r>
      <w:r w:rsidR="006B3FC7">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2012)" }, "properties" : { "noteIndex" : 0 }, "schema" : "https://github.com/citation-style-language/schema/raw/master/csl-citation.json" }</w:instrText>
      </w:r>
      <w:r w:rsidR="007B2F4C">
        <w:fldChar w:fldCharType="separate"/>
      </w:r>
      <w:r w:rsidR="00362F5B" w:rsidRPr="00362F5B">
        <w:rPr>
          <w:noProof/>
        </w:rPr>
        <w:t>(European Commission, 2012)</w:t>
      </w:r>
      <w:r w:rsidR="007B2F4C">
        <w:fldChar w:fldCharType="end"/>
      </w:r>
      <w:r w:rsidR="00D62D4A">
        <w:t>.</w:t>
      </w:r>
      <w:r w:rsidR="00456F12">
        <w:t xml:space="preserve"> Consensus on experimental and statistical design has also been lacking, with studies applying a variety of potentially inappropriate models</w:t>
      </w:r>
      <w:r w:rsidR="0055178A">
        <w:t xml:space="preserve"> </w:t>
      </w:r>
      <w:r w:rsidR="0055178A">
        <w:fldChar w:fldCharType="begin" w:fldLock="1"/>
      </w:r>
      <w:r w:rsidR="006B3FC7">
        <w:instrText>ADDIN CSL_CITATION { "citationItems" : [ { "id" : "ITEM-1", "itemData" : { "DOI" : "10.1111/gcb.14073", "ISSN" : "13541013", "author" : [ { "dropping-particle" : "", "family" : "Sch\u00e4fer", "given" : "Ralf B.", "non-dropping-particle" : "", "parse-names" : false, "suffix" : "" }, { "dropping-particle" : "", "family" : "Piggott", "given" : "Jeremy J.", "non-dropping-particle" : "", "parse-names" : false, "suffix" : "" } ], "container-title" : "Global Change Biology", "id" : "ITEM-1", "issue" : "5", "issued" : { "date-parts" : [ [ "2018", "5", "1" ] ] }, "page" : "1817-1826", "publisher" : "Wiley/Blackwell (10.1111)", "title" : "Advancing understanding and prediction in multiple stressor research through a mechanistic basis for null models", "type" : "article-journal", "volume" : "24" }, "uris" : [ "http://www.mendeley.com/documents/?uuid=cad114fb-5981-3e26-9dd2-dffacde4942b" ] }, { "id" : "ITEM-2",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"ITEM-2",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Sch\u00e4fer and Piggott, 2018)", "plainTextFormattedCitation" : "(Piggott, Townsend and Matthaei, 2015; Sch\u00e4fer and Piggott, 2018)", "previouslyFormattedCitation" : "(Piggott, Townsend and Matthaei, 2015; Sch\u00e4fer and Piggott, 2018)" }, "properties" : { "noteIndex" : 0 }, "schema" : "https://github.com/citation-style-language/schema/raw/master/csl-citation.json" }</w:instrText>
      </w:r>
      <w:r w:rsidR="0055178A">
        <w:fldChar w:fldCharType="separate"/>
      </w:r>
      <w:r w:rsidR="00362F5B" w:rsidRPr="00362F5B">
        <w:rPr>
          <w:noProof/>
        </w:rPr>
        <w:t>(Piggott, Townsend and Matthaei, 2015; Schäfer and Piggott, 2018)</w:t>
      </w:r>
      <w:r w:rsidR="0055178A">
        <w:fldChar w:fldCharType="end"/>
      </w:r>
      <w:r w:rsidR="00AF1A54">
        <w:t xml:space="preserve">, and a longstanding criticism from within the field of the difficulty </w:t>
      </w:r>
      <w:r w:rsidR="001E5BF0">
        <w:t xml:space="preserve">of integrating ecotoxicological results into larger-scale understanding of how ecosystems respond to stress </w:t>
      </w:r>
      <w:r w:rsidR="001E5BF0">
        <w:fldChar w:fldCharType="begin" w:fldLock="1"/>
      </w:r>
      <w:r w:rsidR="006B3FC7">
        <w:instrText>ADDIN CSL_CITATION { "citationItems" : [ { "id" : "ITEM-1", "itemData" : { "DOI" : "10.1111/fwb.12852", "ISSN" : "13652427", "abstract" : "* Ecology and ecotoxicology have different historical roots, despite their similar names, but are slowly converging to meet the challenge of addressing the massive global proliferation and release of chemicals in the environment. The conceptual, methodological, review and standard research papers in this special issue reflect this emerging trend of blending ecological and ecotoxicological perspectives to assess impacts in freshwater ecosystems. * Assessing community and ecosystem impacts of chemical contaminants is complex, however, and will require approaches that explicitly consider biological and chemical diversity as well as the natural variability of environmental factors at multiple spatial and temporal scales. * Central themes of the papers in this issue are (i) the importance of indirect effects of chemical contaminants on species interactions and food webs; (ii) effects of multiple stressors, especially interactions between contaminants and environmental factors; (iii) consequences of chemical exposure on ecosystem processes such as primary production and litter decomposition; (iv) the need to account for context dependency and (v) potentially harmful community and ecosystem effects of emerging contaminants, among which nanoparticles are prominently represented. * Collectively, these papers show that integrating ecological principles into the design and implementation of ecotoxicological research is essential for assessing and predicting contaminant impacts on biological communities and ecosystems. Conversely, applied ecology and bioassessment would benefit from concepts and approaches developed in ecotoxicology and from fully embracing chemical contaminants as key drivers of community structure and ecosystem processes.", "author" : [ { "dropping-particle" : "", "family" : "Gessner", "given" : "Mark O.", "non-dropping-particle" : "", "parse-names" : false, "suffix" : "" }, { "dropping-particle" : "", "family" : "Tlili", "given" : "Ahmed", "non-dropping-particle" : "", "parse-names" : false, "suffix" : "" } ], "container-title" : "Freshwater Biology", "id" : "ITEM-1", "issue" : "12", "issued" : { "date-parts" : [ [ "2016", "12" ] ] }, "page" : "1991-2001", "publisher" : "Wiley/Blackwell (10.1111)", "title" : "Fostering integration of freshwater ecology with ecotoxicology", "type" : "paper-conference", "volume" : "61" }, "uris" : [ "http://www.mendeley.com/documents/?uuid=27e3277c-32c3-381f-851b-4235a19ac0f9" ] }, { "id" : "ITEM-2", "itemData" : { "DOI" : "10.1016/S0025-326X(01)00253-3", "ISBN" : "1604986433", "ISSN" : "0025326X", "PMID" : "11883685", "abstract" : "Environmental toxicology has been and continues to be an important discipline (e.g., single-species testing for screening purposes). However, ecological toxicology (ecotoxicology - more realism in tests, test species and exposures) is required for predicting real world effects and for site-specific assessments. Ecotoxicology and ecology have shown similar developmental patterns over time; closer cooperation between ecologists and toxicologists would benefit both disciplines. Ecology can be incorporated into toxicology either extrinsically (separately, e.g., providing information on pre-selected test species) or intrinsically (e.g., as part of test species selection) - the latter is preferable. General guidelines for acute and chronic testing and criteria for species selection differ for ecotoxicology and environmental toxicology, and are outlined. An overall framework is proposed based on ecological risk assessment (ERA), for combining ecology and toxicology (environmental and ecological) for decision-making. Increased emphasis on ecotoxicology represents a shift from reductionist to holistic approaches. Copyright \u00a9 2002 .", "author" : [ { "dropping-particle" : "", "family" : "Chapman", "given" : "Peter M.", "non-dropping-particle" : "", "parse-names" : false, "suffix" : "" } ], "container-title" : "Marine Pollution Bulletin", "id" : "ITEM-2", "issue" : "1", "issued" : { "date-parts" : [ [ "2002" ] ] }, "page" : "7-15", "title" : "Integrating toxicology and ecology: Putting the 'eco' into ecotoxicology", "type" : "article-journal", "volume" : "44" }, "uris" : [ "http://www.mendeley.com/documents/?uuid=7193a3d5-432e-4788-aeee-84d2238abef5" ] } ], "mendeley" : { "formattedCitation" : "(Chapman, 2002; Gessner and Tlili, 2016)", "plainTextFormattedCitation" : "(Chapman, 2002; Gessner and Tlili, 2016)", "previouslyFormattedCitation" : "(Chapman, 2002; Gessner and Tlili, 2016)" }, "properties" : { "noteIndex" : 0 }, "schema" : "https://github.com/citation-style-language/schema/raw/master/csl-citation.json" }</w:instrText>
      </w:r>
      <w:r w:rsidR="001E5BF0">
        <w:fldChar w:fldCharType="separate"/>
      </w:r>
      <w:r w:rsidR="00362F5B" w:rsidRPr="00362F5B">
        <w:rPr>
          <w:noProof/>
        </w:rPr>
        <w:t>(Chapman, 2002; Gessner and Tlili, 2016)</w:t>
      </w:r>
      <w:r w:rsidR="001E5BF0">
        <w:fldChar w:fldCharType="end"/>
      </w:r>
      <w:r w:rsidR="00230634">
        <w:t>.</w:t>
      </w:r>
    </w:p>
    <w:p w14:paraId="4ECC4239" w14:textId="0BF10423" w:rsidR="0022534A" w:rsidRDefault="00266F7A" w:rsidP="0022534A">
      <w:r>
        <w:t xml:space="preserve">A particular complication </w:t>
      </w:r>
      <w:r w:rsidR="0008756C">
        <w:t xml:space="preserve">to more advanced ecosystem-level understanding of stressors is found at the highly consequential microbial layer. A great deal of research has been conducted into the bioremediation potential of individual bacterial isolates </w:t>
      </w:r>
      <w:r w:rsidR="0008756C">
        <w:fldChar w:fldCharType="begin" w:fldLock="1"/>
      </w:r>
      <w:r w:rsidR="006B3FC7">
        <w:instrText>ADDIN CSL_CITATION { "citationItems" : [ { "id" : "ITEM-1", "itemData" : { "DOI" : "10.1351/pac200173071163", "ISBN" : "0033-4545", "ISSN" : "09702083", "PMID" : "21152366", "abstract" : "A brief outline of the development of bioremediation technologies is presented. The major features and limitations are discussed, and an overview of the current state of the art in field applications is sketched.", "author" : [ { "dropping-particle" : "", "family" : "Mary Kensa", "given" : "V.", "non-dropping-particle" : "", "parse-names" : false, "suffix" : "" } ], "container-title" : "Journal of Industrial Pollution Control", "id" : "ITEM-1", "issue" : "2", "issued" : { "date-parts" : [ [ "2011" ] ] }, "page" : "161-168", "title" : "Bioremediation - An overview", "type" : "article-journal", "volume" : "27" }, "uris" : [ "http://www.mendeley.com/documents/?uuid=54798633-635c-4881-b3ae-64a93950cc21" ] } ], "mendeley" : { "formattedCitation" : "(Mary Kensa, 2011)", "plainTextFormattedCitation" : "(Mary Kensa, 2011)", "previouslyFormattedCitation" : "(Mary Kensa, 2011)" }, "properties" : { "noteIndex" : 0 }, "schema" : "https://github.com/citation-style-language/schema/raw/master/csl-citation.json" }</w:instrText>
      </w:r>
      <w:r w:rsidR="0008756C">
        <w:fldChar w:fldCharType="separate"/>
      </w:r>
      <w:r w:rsidR="00362F5B" w:rsidRPr="00362F5B">
        <w:rPr>
          <w:noProof/>
        </w:rPr>
        <w:t>(Mary Kensa, 2011)</w:t>
      </w:r>
      <w:r w:rsidR="0008756C">
        <w:fldChar w:fldCharType="end"/>
      </w:r>
      <w:r w:rsidR="0008756C">
        <w:t xml:space="preserve">, the size, diversity and </w:t>
      </w:r>
      <w:r w:rsidR="006F6DE1">
        <w:t xml:space="preserve">abundance of microbial life has limited both the commissioning and consistency of research on microbial ecotoxicology </w:t>
      </w:r>
      <w:r w:rsidR="00E61465">
        <w:fldChar w:fldCharType="begin" w:fldLock="1"/>
      </w:r>
      <w:r w:rsidR="006B3FC7">
        <w:instrText>ADDIN CSL_CITATION { "citationItems" : [ { "id" : "ITEM-1", "itemData" : { "DOI" : "10.1007/s11356-015-5763-1", "ISBN" : "0944-1344", "ISSN" : "16147499", "PMID" : "26578376", "author" : [ { "dropping-particle" : "", "family" : "Ghiglione", "given" : "Jean Fran\u00e7ois", "non-dropping-particle" : "", "parse-names" : false, "suffix" : "" }, { "dropping-particle" : "", "family" : "Martin-Laurent", "given" : "Fabrice", "non-dropping-particle" : "", "parse-names" : false, "suffix" : "" }, { "dropping-particle" : "", "family" : "Pesce", "given" : "St\u00e9phane", "non-dropping-particle" : "", "parse-names" : false, "suffix" : "" } ], "container-title" : "Environmental Science and Pollution Research", "id" : "ITEM-1", "issue" : "5", "issued" : { "date-parts" : [ [ "2016" ] ] }, "page" : "3981-3983", "title" : "Microbial ecotoxicology: an emerging discipline facing contemporary environmental threats", "type" : "article-journal", "volume" : "23" }, "uris" : [ "http://www.mendeley.com/documents/?uuid=2539efda-28b7-4f7e-9cd8-1f70a3da37fc" ] } ], "mendeley" : { "formattedCitation" : "(Ghiglione, Martin-Laurent and Pesce, 2016)", "plainTextFormattedCitation" : "(Ghiglione, Martin-Laurent and Pesce, 2016)", "previouslyFormattedCitation" : "(Ghiglione, Martin-Laurent and Pesce, 2016)" }, "properties" : { "noteIndex" : 0 }, "schema" : "https://github.com/citation-style-language/schema/raw/master/csl-citation.json" }</w:instrText>
      </w:r>
      <w:r w:rsidR="00E61465">
        <w:fldChar w:fldCharType="separate"/>
      </w:r>
      <w:r w:rsidR="00362F5B" w:rsidRPr="00362F5B">
        <w:rPr>
          <w:noProof/>
        </w:rPr>
        <w:t>(Ghiglione, Martin-Laurent and Pesce, 2016)</w:t>
      </w:r>
      <w:r w:rsidR="00E61465">
        <w:fldChar w:fldCharType="end"/>
      </w:r>
      <w:r w:rsidR="00E61465">
        <w:t xml:space="preserve"> compared to more </w:t>
      </w:r>
      <w:r w:rsidR="00053A59">
        <w:t>traditional</w:t>
      </w:r>
      <w:r w:rsidR="00E61465">
        <w:t xml:space="preserve"> clades of study</w:t>
      </w:r>
      <w:r w:rsidR="00186ECA">
        <w:t>,</w:t>
      </w:r>
      <w:r w:rsidR="00E61465">
        <w:t xml:space="preserve"> such as aquatic invertebrates and vertebrates. </w:t>
      </w:r>
    </w:p>
    <w:p w14:paraId="16C6375E" w14:textId="78B9214C" w:rsidR="0022534A" w:rsidRDefault="00501FE2" w:rsidP="0022534A">
      <w:r>
        <w:t>Traditional null models of stressor interaction typically assume an additive interaction between stressors, whereby the combined effect of two or more stressors is equal to the sum of its parts</w:t>
      </w:r>
      <w:r w:rsidR="006A02CE">
        <w:t xml:space="preserve"> </w:t>
      </w:r>
      <w:r w:rsidR="006A02CE">
        <w:fldChar w:fldCharType="begin" w:fldLock="1"/>
      </w:r>
      <w:r w:rsidR="006A02CE">
        <w:instrText>ADDIN CSL_CITATION { "citationItems" : [ { "id" : "ITEM-1",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"ITEM-1",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"plainTextFormattedCitation" : "(Piggott, Townsend and Matthaei, 2015)" }, "properties" : { "noteIndex" : 0 }, "schema" : "https://github.com/citation-style-language/schema/raw/master/csl-citation.json" }</w:instrText>
      </w:r>
      <w:r w:rsidR="006A02CE">
        <w:fldChar w:fldCharType="separate"/>
      </w:r>
      <w:r w:rsidR="006A02CE" w:rsidRPr="006A02CE">
        <w:rPr>
          <w:noProof/>
        </w:rPr>
        <w:t>(Piggott, Townsend and Matthaei, 2015)</w:t>
      </w:r>
      <w:r w:rsidR="006A02CE">
        <w:fldChar w:fldCharType="end"/>
      </w:r>
      <w:r>
        <w:t>. However, where stressors act by similar mechanisms or metabolic pathways, it is possible to hypothesise on the</w:t>
      </w:r>
      <w:r w:rsidR="006A02CE">
        <w:t>ir</w:t>
      </w:r>
      <w:r>
        <w:t xml:space="preserve"> interactions</w:t>
      </w:r>
      <w:r w:rsidR="006A02CE">
        <w:t>.</w:t>
      </w:r>
      <w:r>
        <w:t xml:space="preserve"> </w:t>
      </w:r>
    </w:p>
    <w:p w14:paraId="7E862B7D" w14:textId="31FECE4E" w:rsidR="0053381C" w:rsidRDefault="0053381C" w:rsidP="005673D9">
      <w:pPr>
        <w:pStyle w:val="Heading2"/>
      </w:pPr>
      <w:r w:rsidRPr="005673D9">
        <w:t>Chemical Stressors</w:t>
      </w:r>
    </w:p>
    <w:tbl>
      <w:tblPr>
        <w:tblStyle w:val="ListTable1Light"/>
        <w:tblW w:w="0" w:type="auto"/>
        <w:tblLook w:val="06A0" w:firstRow="1" w:lastRow="0" w:firstColumn="1" w:lastColumn="0" w:noHBand="1" w:noVBand="1"/>
      </w:tblPr>
      <w:tblGrid>
        <w:gridCol w:w="1739"/>
        <w:gridCol w:w="1238"/>
        <w:gridCol w:w="3041"/>
        <w:gridCol w:w="3008"/>
      </w:tblGrid>
      <w:tr w:rsidR="00280D6C" w:rsidRPr="00620BE0" w14:paraId="41F17CAB" w14:textId="3EFE5726" w:rsidTr="00280D6C">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739" w:type="dxa"/>
          </w:tcPr>
          <w:p w14:paraId="258BD375" w14:textId="77777777" w:rsidR="00280D6C" w:rsidRPr="00620BE0" w:rsidRDefault="00280D6C" w:rsidP="00335B41">
            <w:pPr>
              <w:rPr>
                <w:sz w:val="20"/>
              </w:rPr>
            </w:pPr>
            <w:r w:rsidRPr="00620BE0">
              <w:rPr>
                <w:sz w:val="20"/>
              </w:rPr>
              <w:t>Stressor</w:t>
            </w:r>
          </w:p>
        </w:tc>
        <w:tc>
          <w:tcPr>
            <w:tcW w:w="1238" w:type="dxa"/>
          </w:tcPr>
          <w:p w14:paraId="003BF32B" w14:textId="53050502" w:rsidR="00280D6C" w:rsidRPr="00620BE0" w:rsidRDefault="00280D6C" w:rsidP="00335B41">
            <w:pPr>
              <w:cnfStyle w:val="100000000000" w:firstRow="1" w:lastRow="0" w:firstColumn="0" w:lastColumn="0" w:oddVBand="0" w:evenVBand="0" w:oddHBand="0" w:evenHBand="0" w:firstRowFirstColumn="0" w:firstRowLastColumn="0" w:lastRowFirstColumn="0" w:lastRowLastColumn="0"/>
              <w:rPr>
                <w:sz w:val="20"/>
              </w:rPr>
            </w:pPr>
            <w:r>
              <w:rPr>
                <w:sz w:val="20"/>
              </w:rPr>
              <w:t>Class</w:t>
            </w:r>
          </w:p>
        </w:tc>
        <w:tc>
          <w:tcPr>
            <w:tcW w:w="3041" w:type="dxa"/>
          </w:tcPr>
          <w:p w14:paraId="16EC6CED" w14:textId="7EE979D0" w:rsidR="00280D6C" w:rsidRPr="00620BE0" w:rsidRDefault="00280D6C" w:rsidP="00335B41">
            <w:pPr>
              <w:cnfStyle w:val="100000000000" w:firstRow="1" w:lastRow="0" w:firstColumn="0" w:lastColumn="0" w:oddVBand="0" w:evenVBand="0" w:oddHBand="0" w:evenHBand="0" w:firstRowFirstColumn="0" w:firstRowLastColumn="0" w:lastRowFirstColumn="0" w:lastRowLastColumn="0"/>
              <w:rPr>
                <w:sz w:val="20"/>
              </w:rPr>
            </w:pPr>
            <w:r>
              <w:rPr>
                <w:sz w:val="20"/>
              </w:rPr>
              <w:t>Mode of Action</w:t>
            </w:r>
          </w:p>
        </w:tc>
        <w:tc>
          <w:tcPr>
            <w:tcW w:w="3008" w:type="dxa"/>
          </w:tcPr>
          <w:p w14:paraId="3E623495" w14:textId="35A46C80" w:rsidR="00280D6C" w:rsidRDefault="00280D6C" w:rsidP="00335B41">
            <w:pPr>
              <w:cnfStyle w:val="100000000000" w:firstRow="1" w:lastRow="0" w:firstColumn="0" w:lastColumn="0" w:oddVBand="0" w:evenVBand="0" w:oddHBand="0" w:evenHBand="0" w:firstRowFirstColumn="0" w:firstRowLastColumn="0" w:lastRowFirstColumn="0" w:lastRowLastColumn="0"/>
              <w:rPr>
                <w:sz w:val="20"/>
              </w:rPr>
            </w:pPr>
            <w:r>
              <w:rPr>
                <w:sz w:val="20"/>
              </w:rPr>
              <w:t>Source</w:t>
            </w:r>
          </w:p>
        </w:tc>
      </w:tr>
      <w:tr w:rsidR="00280D6C" w:rsidRPr="00620BE0" w14:paraId="1348E220" w14:textId="5888018F"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68488185" w14:textId="77777777" w:rsidR="00280D6C" w:rsidRPr="00620BE0" w:rsidRDefault="00280D6C" w:rsidP="00335B41">
            <w:pPr>
              <w:rPr>
                <w:sz w:val="20"/>
              </w:rPr>
            </w:pPr>
            <w:r w:rsidRPr="00620BE0">
              <w:rPr>
                <w:sz w:val="20"/>
              </w:rPr>
              <w:t>Chloramphenicol</w:t>
            </w:r>
          </w:p>
        </w:tc>
        <w:tc>
          <w:tcPr>
            <w:tcW w:w="1238" w:type="dxa"/>
          </w:tcPr>
          <w:p w14:paraId="409DAFB8"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sidRPr="00620BE0">
              <w:rPr>
                <w:sz w:val="20"/>
              </w:rPr>
              <w:t>5</w:t>
            </w:r>
            <w:r>
              <w:rPr>
                <w:sz w:val="20"/>
              </w:rPr>
              <w:t>0.0</w:t>
            </w:r>
            <w:r w:rsidRPr="00620BE0">
              <w:rPr>
                <w:sz w:val="20"/>
              </w:rPr>
              <w:t xml:space="preserve"> ng</w:t>
            </w:r>
            <w:r>
              <w:rPr>
                <w:sz w:val="20"/>
              </w:rPr>
              <w:t>/</w:t>
            </w:r>
            <w:r w:rsidRPr="00620BE0">
              <w:rPr>
                <w:sz w:val="20"/>
              </w:rPr>
              <w:t>L</w:t>
            </w:r>
          </w:p>
        </w:tc>
        <w:tc>
          <w:tcPr>
            <w:tcW w:w="3041" w:type="dxa"/>
          </w:tcPr>
          <w:p w14:paraId="7C6B0EF7" w14:textId="7989BDE9"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74B0A516"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41AEE3C7" w14:textId="37BA2A8A"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6E179B1F" w14:textId="77777777" w:rsidR="00280D6C" w:rsidRPr="00620BE0" w:rsidRDefault="00280D6C" w:rsidP="00335B41">
            <w:pPr>
              <w:rPr>
                <w:sz w:val="20"/>
              </w:rPr>
            </w:pPr>
            <w:r w:rsidRPr="00620BE0">
              <w:rPr>
                <w:sz w:val="20"/>
              </w:rPr>
              <w:t>Amoxicillin</w:t>
            </w:r>
          </w:p>
        </w:tc>
        <w:tc>
          <w:tcPr>
            <w:tcW w:w="1238" w:type="dxa"/>
          </w:tcPr>
          <w:p w14:paraId="1AA6E8A1"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120 ng/L</w:t>
            </w:r>
          </w:p>
        </w:tc>
        <w:tc>
          <w:tcPr>
            <w:tcW w:w="3041" w:type="dxa"/>
          </w:tcPr>
          <w:p w14:paraId="10371F6A" w14:textId="34478E4E"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7BFEB92F"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25AE2E06" w14:textId="76134418" w:rsidTr="00280D6C">
        <w:trPr>
          <w:trHeight w:val="282"/>
        </w:trPr>
        <w:tc>
          <w:tcPr>
            <w:cnfStyle w:val="001000000000" w:firstRow="0" w:lastRow="0" w:firstColumn="1" w:lastColumn="0" w:oddVBand="0" w:evenVBand="0" w:oddHBand="0" w:evenHBand="0" w:firstRowFirstColumn="0" w:firstRowLastColumn="0" w:lastRowFirstColumn="0" w:lastRowLastColumn="0"/>
            <w:tcW w:w="1739" w:type="dxa"/>
          </w:tcPr>
          <w:p w14:paraId="6D6528C0" w14:textId="77777777" w:rsidR="00280D6C" w:rsidRPr="00620BE0" w:rsidRDefault="00280D6C" w:rsidP="00335B41">
            <w:pPr>
              <w:rPr>
                <w:sz w:val="20"/>
              </w:rPr>
            </w:pPr>
            <w:r w:rsidRPr="00620BE0">
              <w:rPr>
                <w:sz w:val="20"/>
              </w:rPr>
              <w:t>Atrazine</w:t>
            </w:r>
          </w:p>
        </w:tc>
        <w:tc>
          <w:tcPr>
            <w:tcW w:w="1238" w:type="dxa"/>
          </w:tcPr>
          <w:p w14:paraId="5CD93753"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250 ng/L</w:t>
            </w:r>
          </w:p>
        </w:tc>
        <w:tc>
          <w:tcPr>
            <w:tcW w:w="3041" w:type="dxa"/>
          </w:tcPr>
          <w:p w14:paraId="142C4272" w14:textId="382B0726"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5C284F05"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1A0AC7EB" w14:textId="116C47DD"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26285DAC" w14:textId="77777777" w:rsidR="00280D6C" w:rsidRPr="00620BE0" w:rsidRDefault="00280D6C" w:rsidP="00335B41">
            <w:pPr>
              <w:rPr>
                <w:sz w:val="20"/>
              </w:rPr>
            </w:pPr>
            <w:r w:rsidRPr="00620BE0">
              <w:rPr>
                <w:sz w:val="20"/>
              </w:rPr>
              <w:t>Metaldehyde</w:t>
            </w:r>
          </w:p>
        </w:tc>
        <w:tc>
          <w:tcPr>
            <w:tcW w:w="1238" w:type="dxa"/>
          </w:tcPr>
          <w:p w14:paraId="759E4505"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500 ng/L</w:t>
            </w:r>
          </w:p>
        </w:tc>
        <w:tc>
          <w:tcPr>
            <w:tcW w:w="3041" w:type="dxa"/>
          </w:tcPr>
          <w:p w14:paraId="53CAB57B" w14:textId="65BE1B36"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020DA2FC"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5C206086" w14:textId="60324BC7"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2AA44B21" w14:textId="77777777" w:rsidR="00280D6C" w:rsidRPr="00620BE0" w:rsidRDefault="00280D6C" w:rsidP="00335B41">
            <w:pPr>
              <w:rPr>
                <w:sz w:val="20"/>
              </w:rPr>
            </w:pPr>
            <w:r w:rsidRPr="00620BE0">
              <w:rPr>
                <w:sz w:val="20"/>
              </w:rPr>
              <w:t>Copper</w:t>
            </w:r>
          </w:p>
        </w:tc>
        <w:tc>
          <w:tcPr>
            <w:tcW w:w="1238" w:type="dxa"/>
          </w:tcPr>
          <w:p w14:paraId="7BE2F2C6" w14:textId="4EDD8B65"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Heavy Metal</w:t>
            </w:r>
          </w:p>
        </w:tc>
        <w:tc>
          <w:tcPr>
            <w:tcW w:w="3041" w:type="dxa"/>
          </w:tcPr>
          <w:p w14:paraId="4C888233" w14:textId="4926E1B9"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0491EDE9"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47440ECE" w14:textId="6D60BB3D" w:rsidTr="00280D6C">
        <w:trPr>
          <w:trHeight w:val="282"/>
        </w:trPr>
        <w:tc>
          <w:tcPr>
            <w:cnfStyle w:val="001000000000" w:firstRow="0" w:lastRow="0" w:firstColumn="1" w:lastColumn="0" w:oddVBand="0" w:evenVBand="0" w:oddHBand="0" w:evenHBand="0" w:firstRowFirstColumn="0" w:firstRowLastColumn="0" w:lastRowFirstColumn="0" w:lastRowLastColumn="0"/>
            <w:tcW w:w="1739" w:type="dxa"/>
          </w:tcPr>
          <w:p w14:paraId="6123CE38" w14:textId="77777777" w:rsidR="00280D6C" w:rsidRPr="00620BE0" w:rsidRDefault="00280D6C" w:rsidP="00335B41">
            <w:pPr>
              <w:rPr>
                <w:sz w:val="20"/>
              </w:rPr>
            </w:pPr>
            <w:r w:rsidRPr="00620BE0">
              <w:rPr>
                <w:sz w:val="20"/>
              </w:rPr>
              <w:t>Nickel</w:t>
            </w:r>
          </w:p>
        </w:tc>
        <w:tc>
          <w:tcPr>
            <w:tcW w:w="1238" w:type="dxa"/>
          </w:tcPr>
          <w:p w14:paraId="35AB1682"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20 mg/kg</w:t>
            </w:r>
          </w:p>
        </w:tc>
        <w:tc>
          <w:tcPr>
            <w:tcW w:w="3041" w:type="dxa"/>
          </w:tcPr>
          <w:p w14:paraId="7F8B3CBC" w14:textId="73AE60C1"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32FC0AD2"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3040F1B8" w14:textId="0A37F747"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18F8C683" w14:textId="77777777" w:rsidR="00280D6C" w:rsidRPr="00620BE0" w:rsidRDefault="00280D6C" w:rsidP="00335B41">
            <w:pPr>
              <w:rPr>
                <w:sz w:val="20"/>
              </w:rPr>
            </w:pPr>
            <w:r>
              <w:rPr>
                <w:sz w:val="20"/>
              </w:rPr>
              <w:t>Benzo[a]pyrene</w:t>
            </w:r>
          </w:p>
        </w:tc>
        <w:tc>
          <w:tcPr>
            <w:tcW w:w="1238" w:type="dxa"/>
          </w:tcPr>
          <w:p w14:paraId="1AE4429E"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200 μg/kg</w:t>
            </w:r>
          </w:p>
        </w:tc>
        <w:tc>
          <w:tcPr>
            <w:tcW w:w="3041" w:type="dxa"/>
          </w:tcPr>
          <w:p w14:paraId="41DC75A0" w14:textId="03C2B132"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2016223B"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r w:rsidR="00280D6C" w:rsidRPr="00620BE0" w14:paraId="3DEAE754" w14:textId="0C2BF732" w:rsidTr="00280D6C">
        <w:trPr>
          <w:trHeight w:val="266"/>
        </w:trPr>
        <w:tc>
          <w:tcPr>
            <w:cnfStyle w:val="001000000000" w:firstRow="0" w:lastRow="0" w:firstColumn="1" w:lastColumn="0" w:oddVBand="0" w:evenVBand="0" w:oddHBand="0" w:evenHBand="0" w:firstRowFirstColumn="0" w:firstRowLastColumn="0" w:lastRowFirstColumn="0" w:lastRowLastColumn="0"/>
            <w:tcW w:w="1739" w:type="dxa"/>
          </w:tcPr>
          <w:p w14:paraId="4685DA5D" w14:textId="77777777" w:rsidR="00280D6C" w:rsidRPr="00620BE0" w:rsidRDefault="00280D6C" w:rsidP="00335B41">
            <w:pPr>
              <w:rPr>
                <w:sz w:val="20"/>
              </w:rPr>
            </w:pPr>
            <w:r>
              <w:rPr>
                <w:sz w:val="20"/>
              </w:rPr>
              <w:t>Benzene</w:t>
            </w:r>
          </w:p>
        </w:tc>
        <w:tc>
          <w:tcPr>
            <w:tcW w:w="1238" w:type="dxa"/>
          </w:tcPr>
          <w:p w14:paraId="1816F64F" w14:textId="77777777" w:rsidR="00280D6C" w:rsidRPr="00620BE0" w:rsidRDefault="00280D6C" w:rsidP="00335B41">
            <w:pPr>
              <w:cnfStyle w:val="000000000000" w:firstRow="0" w:lastRow="0" w:firstColumn="0" w:lastColumn="0" w:oddVBand="0" w:evenVBand="0" w:oddHBand="0" w:evenHBand="0" w:firstRowFirstColumn="0" w:firstRowLastColumn="0" w:lastRowFirstColumn="0" w:lastRowLastColumn="0"/>
              <w:rPr>
                <w:sz w:val="20"/>
              </w:rPr>
            </w:pPr>
            <w:r>
              <w:rPr>
                <w:sz w:val="20"/>
              </w:rPr>
              <w:t>200 μg/kg</w:t>
            </w:r>
          </w:p>
        </w:tc>
        <w:tc>
          <w:tcPr>
            <w:tcW w:w="3041" w:type="dxa"/>
          </w:tcPr>
          <w:p w14:paraId="43F3E3FB" w14:textId="5F147FFD"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c>
          <w:tcPr>
            <w:tcW w:w="3008" w:type="dxa"/>
          </w:tcPr>
          <w:p w14:paraId="0DB6F0C4" w14:textId="77777777" w:rsidR="00280D6C" w:rsidRPr="00620BE0" w:rsidRDefault="00280D6C" w:rsidP="00335B41">
            <w:pPr>
              <w:jc w:val="left"/>
              <w:cnfStyle w:val="000000000000" w:firstRow="0" w:lastRow="0" w:firstColumn="0" w:lastColumn="0" w:oddVBand="0" w:evenVBand="0" w:oddHBand="0" w:evenHBand="0" w:firstRowFirstColumn="0" w:firstRowLastColumn="0" w:lastRowFirstColumn="0" w:lastRowLastColumn="0"/>
              <w:rPr>
                <w:sz w:val="20"/>
              </w:rPr>
            </w:pPr>
          </w:p>
        </w:tc>
      </w:tr>
    </w:tbl>
    <w:p w14:paraId="173D4BA6" w14:textId="77777777" w:rsidR="009E39FD" w:rsidRPr="009E39FD" w:rsidRDefault="009E39FD" w:rsidP="009E39FD"/>
    <w:p w14:paraId="791A7EB2" w14:textId="74207DE3" w:rsidR="00153D62" w:rsidRDefault="0053381C" w:rsidP="00676E2E">
      <w:r>
        <w:t xml:space="preserve">Despite the </w:t>
      </w:r>
      <w:r w:rsidR="00676E2E">
        <w:t xml:space="preserve">high-profile banning of certain chemical pollutants – DDT, early organochlorides – a bewildering and unpredictable diversity of chemical stressors remain present in the environment. With a wide range of sources, structures and effects, </w:t>
      </w:r>
      <w:r w:rsidR="00BA736C">
        <w:t>these stressors can nonetheless be categorised into several broad families with similar modes of action</w:t>
      </w:r>
      <w:r w:rsidR="00751082">
        <w:t xml:space="preserve"> or applications</w:t>
      </w:r>
      <w:r w:rsidR="00BA736C">
        <w:t>.</w:t>
      </w:r>
    </w:p>
    <w:p w14:paraId="17D1C1A2" w14:textId="171C2354" w:rsidR="00751082" w:rsidRDefault="0093389E" w:rsidP="00676E2E">
      <w:r>
        <w:rPr>
          <w:i/>
        </w:rPr>
        <w:t>Heavy Metals</w:t>
      </w:r>
    </w:p>
    <w:p w14:paraId="2D840783" w14:textId="3EEBA135" w:rsidR="0093389E" w:rsidRDefault="0093389E" w:rsidP="00676E2E">
      <w:r>
        <w:t>Heavy metals refer to a somewhat nebulous family of high-density metallic elements that are frequently toxic, sometimes essential nutrients, and produced as waste products by a wide range of industrial and agricultural processes</w:t>
      </w:r>
      <w:r w:rsidR="009D66CF">
        <w:t xml:space="preserve"> </w:t>
      </w:r>
      <w:r w:rsidR="009D66CF">
        <w:fldChar w:fldCharType="begin" w:fldLock="1"/>
      </w:r>
      <w:r w:rsidR="006B3FC7">
        <w:instrText>ADDIN CSL_CITATION { "citationItems" : [ { "id" : "ITEM-1", "itemData" : { "DOI" : "10.1007/978-3-7643-8340-4", "ISBN" : "978-3-7643-8339-8", "abstract" : "Chemicals are found in workplaces of many organisations. A significant proportion of them are harmful to health and/or the environment and need to be identified, assessed, controlled or otherwise managed to ensure a safe and healthy work environment exists for all who work or visit those organisations, and that environ- mental impacts are minimised. Operationally, the term chemical is usually used to cover those materials that are natural or artificial entities, composite materials, mixtures or formulations, other than articles. Of course, from an occupational, health, safety and environment (OHSE) perspective, all chemicals are not necessarily the problem: only those with hazards or risks. There are two factors that affect chemical safety: l l Inherent properties (toxicity, flammability, corrosiveness, destruction of the environment and so forth) Factors relating to exposure (e.g. the probability of exposure, duration, fre- quency and intensity of exposure during or after use, or following dispersal in the environment)", "author" : [ { "dropping-particle" : "", "family" : "Tchounwou", "given" : "Paul B", "non-dropping-particle" : "", "parse-names" : false, "suffix" : "" }, { "dropping-particle" : "", "family" : "Yedjou", "given" : "Clement G", "non-dropping-particle" : "", "parse-names" : false, "suffix" : "" }, { "dropping-particle" : "", "family" : "Patlolla", "given" : "Anita K", "non-dropping-particle" : "", "parse-names" : false, "suffix" : "" }, { "dropping-particle" : "", "family" : "Sutton", "given" : "Dwayne J", "non-dropping-particle" : "", "parse-names" : false, "suffix" : "" } ], "container-title" : "Molecular, clinical and environmental toxicology", "id" : "ITEM-1", "issued" : { "date-parts" : [ [ "2012" ] ] }, "page" : "1-30", "title" : "Heavy Metals Toxicity and the Environment", "type" : "chapter", "volume" : "101" }, "uris" : [ "http://www.mendeley.com/documents/?uuid=e0120887-ace8-4746-b6a2-5cd587fef539" ] } ], "mendeley" : { "formattedCitation" : "(Tchounwou &lt;i&gt;et al.&lt;/i&gt;, 2012)", "plainTextFormattedCitation" : "(Tchounwou et al., 2012)", "previouslyFormattedCitation" : "(Tchounwou &lt;i&gt;et al.&lt;/i&gt;, 2012)" }, "properties" : { "noteIndex" : 0 }, "schema" : "https://github.com/citation-style-language/schema/raw/master/csl-citation.json" }</w:instrText>
      </w:r>
      <w:r w:rsidR="009D66CF">
        <w:fldChar w:fldCharType="separate"/>
      </w:r>
      <w:r w:rsidR="00362F5B" w:rsidRPr="00362F5B">
        <w:rPr>
          <w:noProof/>
        </w:rPr>
        <w:t xml:space="preserve">(Tchounwou </w:t>
      </w:r>
      <w:r w:rsidR="00362F5B" w:rsidRPr="00362F5B">
        <w:rPr>
          <w:i/>
          <w:noProof/>
        </w:rPr>
        <w:t>et al.</w:t>
      </w:r>
      <w:r w:rsidR="00362F5B" w:rsidRPr="00362F5B">
        <w:rPr>
          <w:noProof/>
        </w:rPr>
        <w:t>, 2012)</w:t>
      </w:r>
      <w:r w:rsidR="009D66CF">
        <w:fldChar w:fldCharType="end"/>
      </w:r>
      <w:r w:rsidR="009D66CF">
        <w:t xml:space="preserve">. </w:t>
      </w:r>
      <w:r w:rsidR="000F6D14">
        <w:t xml:space="preserve">Heavy metals are regulated under the EU’s Water Framework Directive (WFD) </w:t>
      </w:r>
      <w:r w:rsidR="000F6D14">
        <w:fldChar w:fldCharType="begin" w:fldLock="1"/>
      </w:r>
      <w:r w:rsidR="006B3FC7">
        <w:instrText>ADDIN CSL_CITATION { "citationItems" : [ { "id" : "ITEM-1", "itemData" : { "DOI" : "10.1039/ap9842100196", "ISBN" : "ATBD X.X", "ISSN" : "0144557X", "PMID" : "2179", "abstract" : "The WFD is the most substantial piece of water legislation ever produced by the European Commission, and will provide the major driver for achieving sustainable management of water in the UK and other EU Member States for many years to come. It requires that all inland and coastal waters within defined river basin districts must reach at least good status by 2015 and defines how this should be achieved through the establishment of environmental objectives and ecological targets for surface waters. The result will be a healthy water environment achieved by taking due account of environmental, economic and social considerations.", "author" : [ { "dropping-particle" : "", "family" : "EU", "given" : "", "non-dropping-particle" : "", "parse-names" : false, "suffix" : "" } ], "container-title" : "Official Journal of the European Parliament", "id" : "ITEM-1", "issue" : "22.12.2000", "issued" : { "date-parts" : [ [ "2000" ] ] }, "page" : "1-82", "title" : "Directive 2000/60/EC of the European Parliament and of the Council of 23 October 2000 establishing a framework for Community action in the field of water policy", "type" : "article-journal", "volume" : "L327" }, "uris" : [ "http://www.mendeley.com/documents/?uuid=3f7ad7b6-06dd-4507-9ff7-35e9d7bbf975" ] } ], "mendeley" : { "formattedCitation" : "(EU, 2000)", "plainTextFormattedCitation" : "(EU, 2000)", "previouslyFormattedCitation" : "(EU, 2000)" }, "properties" : { "noteIndex" : 0 }, "schema" : "https://github.com/citation-style-language/schema/raw/master/csl-citation.json" }</w:instrText>
      </w:r>
      <w:r w:rsidR="000F6D14">
        <w:fldChar w:fldCharType="separate"/>
      </w:r>
      <w:r w:rsidR="00362F5B" w:rsidRPr="00362F5B">
        <w:rPr>
          <w:noProof/>
        </w:rPr>
        <w:t>(EU, 2000)</w:t>
      </w:r>
      <w:r w:rsidR="000F6D14">
        <w:fldChar w:fldCharType="end"/>
      </w:r>
      <w:r w:rsidR="000F6D14">
        <w:t>, which provides a relatively rich dataset of concentrations in UK tap and surface water</w:t>
      </w:r>
      <w:r w:rsidR="00B77B87">
        <w:t xml:space="preserve"> </w:t>
      </w:r>
      <w:r w:rsidR="00B77B87">
        <w:fldChar w:fldCharType="begin" w:fldLock="1"/>
      </w:r>
      <w:r w:rsidR="006B3FC7">
        <w:instrText>ADDIN CSL_CITATION { "citationItems" : [ { "id" : "ITEM-1", "itemData" : { "abstract" : "Drinking water must be \u2018wholesome\u2019 and this is defined in law by standards for a wide range of substances, organisms and properties of water in regulations. The standards are set to be protective of public health and the definition of wholesome reflects the importance of ensuring that water quality is acceptable to consumers. There is good agreement amongst worldwide on the science behind the setting of health based standards for drinking water and this expert evidence is documented by the World Health Organisation in the Guidelines for Drinking Water Quality. You can look up all the background information to standards of water safety here. The legal standards in the UK are those which are set in Europe in the Drinking Water Directive 1998 together with national standards set to maintain the high quality of water already achieved. The standards are strict and include wide safety margins.", "author" : [ { "dropping-particle" : "", "family" : "Drinking Water Inspectorate", "given" : "", "non-dropping-particle" : "", "parse-names" : false, "suffix" : "" } ], "container-title" : "Http://Dwi.Defra.Gov.Uk/Consumers/Advice-Leaflets/Standards.Pdf", "id" : "ITEM-1", "issued" : { "date-parts" : [ [ "2010" ] ] }, "page" : "5", "title" : "What are the drinking water standards?", "type" : "article-journal" }, "uris" : [ "http://www.mendeley.com/documents/?uuid=dd85de8c-f61a-44dc-bd37-cefef0648d82" ] }, { "id" : "ITEM-2", "itemData" : { "author" : [ { "dropping-particle" : "", "family" : "Water Framework Directive implementation in England and Wales: new and updated standards to protect the water environment", "given" : "", "non-dropping-particle" : "", "parse-names" : false, "suffix" : "" } ], "container-title" : "Https://Baeredygtigtlandbrug.Dk/Media/187611/Wfd-England-and-Wales.Pdf", "id" : "ITEM-2", "issue" : "May", "issued" : { "date-parts" : [ [ "2014" ] ] }, "page" : "Date Accessed 2017-04-06", "title" : "Water Framework Directive implementation in England and Wales: new and updated standards to protect the water environment", "type" : "article-journal" }, "uris" : [ "http://www.mendeley.com/documents/?uuid=7a8f9160-d4b3-4e7e-8051-c8c7c1b02507" ] } ], "mendeley" : { "formattedCitation" : "(Drinking Water Inspectorate, 2010; Water Framework Directive implementation in England and Wales: new and updated standards to protect the water environment, 2014)", "plainTextFormattedCitation" : "(Drinking Water Inspectorate, 2010; Water Framework Directive implementation in England and Wales: new and updated standards to protect the water environment, 2014)", "previouslyFormattedCitation" : "(Drinking Water Inspectorate, 2010; Water Framework Directive implementation in England and Wales: new and updated standards to protect the water environment, 2014)" }, "properties" : { "noteIndex" : 0 }, "schema" : "https://github.com/citation-style-language/schema/raw/master/csl-citation.json" }</w:instrText>
      </w:r>
      <w:r w:rsidR="00B77B87">
        <w:fldChar w:fldCharType="separate"/>
      </w:r>
      <w:r w:rsidR="00362F5B" w:rsidRPr="00362F5B">
        <w:rPr>
          <w:noProof/>
        </w:rPr>
        <w:t xml:space="preserve">(Drinking Water Inspectorate, 2010; Water Framework </w:t>
      </w:r>
      <w:r w:rsidR="00362F5B" w:rsidRPr="00362F5B">
        <w:rPr>
          <w:noProof/>
        </w:rPr>
        <w:lastRenderedPageBreak/>
        <w:t>Directive implementation in England and Wales: new and updated standards to protect the water environment, 2014)</w:t>
      </w:r>
      <w:r w:rsidR="00B77B87">
        <w:fldChar w:fldCharType="end"/>
      </w:r>
      <w:r w:rsidR="000F6D14">
        <w:t xml:space="preserve">, </w:t>
      </w:r>
      <w:r w:rsidR="00BB2FE6">
        <w:t>while</w:t>
      </w:r>
      <w:r w:rsidR="00B77B87">
        <w:t xml:space="preserve"> the </w:t>
      </w:r>
      <w:r w:rsidR="00B77B87" w:rsidRPr="00B77B87">
        <w:t>UK soil and herbage pollutant survey</w:t>
      </w:r>
      <w:r w:rsidR="00B77B87">
        <w:t xml:space="preserve"> </w:t>
      </w:r>
      <w:r w:rsidR="00B77B87">
        <w:fldChar w:fldCharType="begin" w:fldLock="1"/>
      </w:r>
      <w:r w:rsidR="006B3FC7">
        <w:instrText>ADDIN CSL_CITATION { "citationItems" : [ { "id" : "ITEM-1", "itemData" : { "author" : [ { "dropping-particle" : "", "family" : "Environment Agency", "given" : "", "non-dropping-particle" : "", "parse-names" : false, "suffix" : "" } ], "id" : "ITEM-1", "issued" : { "date-parts" : [ [ "2007" ] ] }, "title" : "UK soil and herbage pollutant survey", "type" : "report" }, "uris" : [ "http://www.mendeley.com/documents/?uuid=4ae8a0f0-2a73-4b97-97eb-076799d003ce" ] } ], "mendeley" : { "formattedCitation" : "(Environment Agency, 2007)", "plainTextFormattedCitation" : "(Environment Agency, 2007)", "previouslyFormattedCitation" : "(Environment Agency, 2007)" }, "properties" : { "noteIndex" : 0 }, "schema" : "https://github.com/citation-style-language/schema/raw/master/csl-citation.json" }</w:instrText>
      </w:r>
      <w:r w:rsidR="00B77B87">
        <w:fldChar w:fldCharType="separate"/>
      </w:r>
      <w:r w:rsidR="00362F5B" w:rsidRPr="00362F5B">
        <w:rPr>
          <w:noProof/>
        </w:rPr>
        <w:t>(Environment Agency, 2007)</w:t>
      </w:r>
      <w:r w:rsidR="00B77B87">
        <w:fldChar w:fldCharType="end"/>
      </w:r>
      <w:r w:rsidR="00B77B87" w:rsidRPr="00B77B87">
        <w:t xml:space="preserve"> </w:t>
      </w:r>
      <w:r w:rsidR="00B77B87">
        <w:t>provides relatively up-to-date data on soil heavy metal concentrations.</w:t>
      </w:r>
      <w:r>
        <w:t xml:space="preserve"> </w:t>
      </w:r>
      <w:r w:rsidR="006C007D">
        <w:t>Two heavy metals were selected for bacterial exposures, based on environmental impact and prevalence, mode of action, and lab safety:</w:t>
      </w:r>
    </w:p>
    <w:p w14:paraId="67AF072D" w14:textId="2E1895B1" w:rsidR="006C007D" w:rsidRDefault="006C007D" w:rsidP="00676E2E">
      <w:r>
        <w:t>Nickel (</w:t>
      </w:r>
      <w:r w:rsidRPr="006C007D">
        <w:rPr>
          <w:vertAlign w:val="subscript"/>
        </w:rPr>
        <w:t>28</w:t>
      </w:r>
      <w:r w:rsidRPr="006C007D">
        <w:t>Ni</w:t>
      </w:r>
      <w:r>
        <w:t xml:space="preserve">) is a </w:t>
      </w:r>
      <w:r w:rsidR="00ED32CA">
        <w:t xml:space="preserve">common heavy metal and EU priority pollutant </w:t>
      </w:r>
      <w:r w:rsidR="00ED32CA">
        <w:fldChar w:fldCharType="begin" w:fldLock="1"/>
      </w:r>
      <w:r w:rsidR="006B3FC7">
        <w:instrText>ADDIN CSL_CITATION { "citationItems" : [ { "id" : "ITEM-1", "itemData" : { "URL" : "http://ec.europa.eu/environment/water/water-framework/priority_substances.htm", "author" : [ { "dropping-particle" : "", "family" : "EC", "given" : "", "non-dropping-particle" : "", "parse-names" : false, "suffix" : "" } ], "id" : "ITEM-1", "issued" : { "date-parts" : [ [ "2008" ] ] }, "title" : "Priority Substances and Certain Other Pollutants according to Annex II of Directive 2008/105/EC", "type" : "webpage" }, "uris" : [ "http://www.mendeley.com/documents/?uuid=39e8c0be-defc-4105-9328-6928f5c4bdc6" ] } ], "mendeley" : { "formattedCitation" : "(EC, 2008)", "plainTextFormattedCitation" : "(EC, 2008)", "previouslyFormattedCitation" : "(EC, 2008)" }, "properties" : { "noteIndex" : 0 }, "schema" : "https://github.com/citation-style-language/schema/raw/master/csl-citation.json" }</w:instrText>
      </w:r>
      <w:r w:rsidR="00ED32CA">
        <w:fldChar w:fldCharType="separate"/>
      </w:r>
      <w:r w:rsidR="00362F5B" w:rsidRPr="00362F5B">
        <w:rPr>
          <w:noProof/>
        </w:rPr>
        <w:t>(EC, 2008)</w:t>
      </w:r>
      <w:r w:rsidR="00ED32CA">
        <w:fldChar w:fldCharType="end"/>
      </w:r>
      <w:r w:rsidR="00ED32CA">
        <w:t>,</w:t>
      </w:r>
      <w:r w:rsidR="00C47F5A">
        <w:t xml:space="preserve"> carcinogen</w:t>
      </w:r>
      <w:r w:rsidR="002E7E8A">
        <w:t xml:space="preserve"> </w:t>
      </w:r>
      <w:r w:rsidR="00C47F5A">
        <w:fldChar w:fldCharType="begin" w:fldLock="1"/>
      </w:r>
      <w:r w:rsidR="006B3FC7">
        <w:instrText>ADDIN CSL_CITATION { "citationItems" : [ { "id" : "ITEM-1", "itemData" : { "DOI" : "10.1289/ehp.94102s1275", "ISBN" : "0091-6765 (Print)", "ISSN" : "00916765", "PMID" : "8187719", "abstract" : "Recent progress in risk assessment of nickel carcinogenicity and its correlation with occupational lung cancer in nickel-exposed workers is reviewed. Epidemiological investigations provide reliable data indicating the close relation between nickel exposure and high lung cancer risk, especially in nickel refineries. The nickel species-specific effects and the dose-response relationship between nickel exposure and lung cancer are among the main questions that are explored extensively. It is also suggested that some confounding factors such as cigarette smoking cannot be neglected. The determination of nickel concentration in lung tissue may be conducive to estimating the nickel exposure level, but it is uncertain whether the high nickel content in lung tissue indicates high lung cancer risk in nickel-exposed workers. Immunologic studies suggest that the suppressive effect of nickel on NK cell activity and interferon production may also be involved in the mechanisms of nickel carcinogenesis. As a potential mutagen, nickel can cause chromosome damage both in vitro and in vivo; and on a molecular basis, nickel is found to induce DNA damage (DNA strandbreaks and crosslinks, infidelity of DNA replication, inhibition of DNA repair, and the helical transition of B-DNA to Z-DNA) by binding of nickel ions to DNA and nuclear proteins. The discovery of oncogene promises both a challenge and an opportunity for nickel carcinogenesis research. It can be predicted that, with the rapid development of molecular biology and oncology, new approaches will be established for both understanding and controlling nickel-induced occupational lung cancer.", "author" : [ { "dropping-particle" : "", "family" : "Shen", "given" : "H. M.", "non-dropping-particle" : "", "parse-names" : false, "suffix" : "" }, { "dropping-particle" : "", "family" : "Zhang", "given" : "Qi Feng", "non-dropping-particle" : "", "parse-names" : false, "suffix" : "" } ], "container-title" : "Environmental Health Perspectives", "id" : "ITEM-1", "issue" : "SUPPL. 1", "issued" : { "date-parts" : [ [ "1994" ] ] }, "page" : "275-282", "title" : "Risk assessment of nickel carcinogenicity and occupational lung cancer", "type" : "paper-conference", "volume" : "102" }, "uris" : [ "http://www.mendeley.com/documents/?uuid=aa6c84cf-6a62-4421-bc3b-4bf7903f60de" ] } ], "mendeley" : { "formattedCitation" : "(Shen and Zhang, 1994)", "plainTextFormattedCitation" : "(Shen and Zhang, 1994)", "previouslyFormattedCitation" : "(Shen and Zhang, 1994)" }, "properties" : { "noteIndex" : 0 }, "schema" : "https://github.com/citation-style-language/schema/raw/master/csl-citation.json" }</w:instrText>
      </w:r>
      <w:r w:rsidR="00C47F5A">
        <w:fldChar w:fldCharType="separate"/>
      </w:r>
      <w:r w:rsidR="00362F5B" w:rsidRPr="00362F5B">
        <w:rPr>
          <w:noProof/>
        </w:rPr>
        <w:t>(Shen and Zhang, 1994)</w:t>
      </w:r>
      <w:r w:rsidR="00C47F5A">
        <w:fldChar w:fldCharType="end"/>
      </w:r>
      <w:r w:rsidR="00ED32CA">
        <w:t xml:space="preserve"> a common alloy ingredient,</w:t>
      </w:r>
      <w:r w:rsidR="00CE62F9">
        <w:t xml:space="preserve"> and</w:t>
      </w:r>
      <w:r w:rsidR="00ED32CA">
        <w:t xml:space="preserve"> occasional </w:t>
      </w:r>
      <w:r w:rsidR="003168A5">
        <w:t xml:space="preserve">essential nutrient in bacteria and fungi </w:t>
      </w:r>
      <w:r w:rsidR="00C47F5A">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C47F5A">
        <w:fldChar w:fldCharType="separate"/>
      </w:r>
      <w:r w:rsidR="00362F5B" w:rsidRPr="00362F5B">
        <w:rPr>
          <w:noProof/>
        </w:rPr>
        <w:t>(Zamble, 2015)</w:t>
      </w:r>
      <w:r w:rsidR="00C47F5A">
        <w:fldChar w:fldCharType="end"/>
      </w:r>
      <w:r w:rsidR="00CE62F9">
        <w:t>. Defence systems against nickel are common in bacteria</w:t>
      </w:r>
      <w:r w:rsidR="00AA27F5">
        <w:t xml:space="preserve"> </w:t>
      </w:r>
      <w:r w:rsidR="00AA27F5">
        <w:fldChar w:fldCharType="begin" w:fldLock="1"/>
      </w:r>
      <w:r w:rsidR="006B3FC7">
        <w:instrText>ADDIN CSL_CITATION { "citationItems" : [ { "id" : "ITEM-1",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"ITEM-1",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"plainTextFormattedCitation" : "(Mighanetara et al., 2009)", "previouslyFormattedCitation" : "(Mighanetara &lt;i&gt;et al.&lt;/i&gt;, 2009)" }, "properties" : { "noteIndex" : 0 }, "schema" : "https://github.com/citation-style-language/schema/raw/master/csl-citation.json" }</w:instrText>
      </w:r>
      <w:r w:rsidR="00AA27F5">
        <w:fldChar w:fldCharType="separate"/>
      </w:r>
      <w:r w:rsidR="00362F5B" w:rsidRPr="00362F5B">
        <w:rPr>
          <w:noProof/>
        </w:rPr>
        <w:t xml:space="preserve">(Mighanetara </w:t>
      </w:r>
      <w:r w:rsidR="00362F5B" w:rsidRPr="00362F5B">
        <w:rPr>
          <w:i/>
          <w:noProof/>
        </w:rPr>
        <w:t>et al.</w:t>
      </w:r>
      <w:r w:rsidR="00362F5B" w:rsidRPr="00362F5B">
        <w:rPr>
          <w:noProof/>
        </w:rPr>
        <w:t>, 2009)</w:t>
      </w:r>
      <w:r w:rsidR="00AA27F5">
        <w:fldChar w:fldCharType="end"/>
      </w:r>
      <w:r w:rsidR="00DE53C4">
        <w:t xml:space="preserve">, but bacterial responses to environmental nickel vary from greedy consumption </w:t>
      </w:r>
      <w:r w:rsidR="00DE53C4">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DE53C4">
        <w:fldChar w:fldCharType="separate"/>
      </w:r>
      <w:r w:rsidR="00362F5B" w:rsidRPr="00362F5B">
        <w:rPr>
          <w:noProof/>
        </w:rPr>
        <w:t>(Zamble, 2015)</w:t>
      </w:r>
      <w:r w:rsidR="00DE53C4">
        <w:fldChar w:fldCharType="end"/>
      </w:r>
      <w:r w:rsidR="00DE53C4">
        <w:t xml:space="preserve"> to enzymatic inhibition</w:t>
      </w:r>
      <w:r w:rsidR="002B202B">
        <w:t xml:space="preserve"> and disruption of iron and zinc homeostasis </w:t>
      </w:r>
      <w:r w:rsidR="002B202B">
        <w:fldChar w:fldCharType="begin" w:fldLock="1"/>
      </w:r>
      <w:r w:rsidR="006B3FC7">
        <w:instrText>ADDIN CSL_CITATION { "citationItems" : [ { "id" : "ITEM-1", "itemData" : { "DOI" : "10.1128/JB.01062-10", "ISBN" : "1098-5530 (Electronic)\\r0021-9193 (Linking)", "ISSN" : "00219193", "PMID" : "21097627", "abstract" : "Iron acquisition in aerobic habitats is complicated by the low solubility of ferric hydroxides. Siderophores that bind ferric iron with high affinity are used to mobilize iron. The reduction of ferric iron to the ferrous form can be coupled to the release of iron from siderophores. Iron is also stored intracellularly as a ferric mineral in proteins, such as ferritin, and must be reduced during release. In Escherichia coli, the yqjH gene encodes a putative ferric siderophore reductase that is also part of the Fur regulon. Here we show that YqjH has ferric reductase activity and is required for iron homeostasis in E. coli. Divergently transcribed from yqjH is the yqjI gene, which encodes a novel member of the winged-helix family of transcriptional regulators and also contains an N-terminal extension similar to the Ni(2+)-binding C-terminal tail of SlyD. Deletion of yqjI leads to constitutive high-level activity of the yqjH and yqjI promoters. Purified YqjI binds inverted repeat target sequences within the yqjH and yqjI promoters. We also observed that YqjI-dependent transcriptional repression is reduced when cells are exposed to elevated nickel levels, resulting in increased expression of yqjH and yqjI. YqjI binding to nickel or iron reduces YqjI DNA-binding activity in vitro. Furthermore, we found that elevated nickel stress levels disrupt iron homeostasis in E. coli and that deletion of yqjH increases nickel toxicity. Our results suggest that the YqjI protein controls expression of yqjH to help maintain iron homeostasis under conditions (such as elevated cellular nickel levels) that disrupt iron metabolism.", "author" : [ { "dropping-particle" : "", "family" : "Wang", "given" : "Suning", "non-dropping-particle" : "", "parse-names" : false, "suffix" : "" }, { "dropping-particle" : "", "family" : "Wu", "given" : "Yun", "non-dropping-particle" : "", "parse-names" : false, "suffix" : "" }, { "dropping-particle" : "", "family" : "Outten", "given" : "F. Wayne", "non-dropping-particle" : "", "parse-names" : false, "suffix" : "" } ], "container-title" : "Journal of Bacteriology", "id" : "ITEM-1", "issue" : "2", "issued" : { "date-parts" : [ [ "2011" ] ] }, "page" : "563-574", "title" : "Fur and the novel regulator yqji control transcription of the ferric reductase gene yqjh in escherichia coli", "type" : "article-journal", "volume" : "193" }, "uris" : [ "http://www.mendeley.com/documents/?uuid=d3f78dfd-41d4-424a-90c9-92b2dcd3e799" ] }, { "id" : "ITEM-2",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"ITEM-2",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Wang, Wu and Outten, 2011)", "plainTextFormattedCitation" : "(Samland and Sprenger, 2006; Wang, Wu and Outten, 2011)", "previouslyFormattedCitation" : "(Samland and Sprenger, 2006; Wang, Wu and Outten, 2011)" }, "properties" : { "noteIndex" : 0 }, "schema" : "https://github.com/citation-style-language/schema/raw/master/csl-citation.json" }</w:instrText>
      </w:r>
      <w:r w:rsidR="002B202B">
        <w:fldChar w:fldCharType="separate"/>
      </w:r>
      <w:r w:rsidR="00362F5B" w:rsidRPr="00362F5B">
        <w:rPr>
          <w:noProof/>
        </w:rPr>
        <w:t>(Samland and Sprenger, 2006; Wang, Wu and Outten, 2011)</w:t>
      </w:r>
      <w:r w:rsidR="002B202B">
        <w:fldChar w:fldCharType="end"/>
      </w:r>
      <w:r w:rsidR="00DE53C4">
        <w:t xml:space="preserve"> necessitating </w:t>
      </w:r>
      <w:r w:rsidR="002B202B">
        <w:t>a delicate balance</w:t>
      </w:r>
      <w:r w:rsidR="00112611">
        <w:t xml:space="preserve"> of active efflux </w:t>
      </w:r>
      <w:r w:rsidR="00112611">
        <w:fldChar w:fldCharType="begin" w:fldLock="1"/>
      </w:r>
      <w:r w:rsidR="006B3FC7">
        <w:instrText>ADDIN CSL_CITATION { "citationItems" : [ { "id" : "ITEM-1", "itemData" : { "DOI" : "10.1002/9781119004813.ch110", "ISBN" : "9781119004813", "abstract" : "\u00a9 2016 John Wiley &amp; Sons, Inc. All rights reserved.Divalent nickel is found in most biologically relevant environments and, like all transition metals, has the potential to damage cells. As such, the mechanisms of nickel toxicity are fundamental to our understanding of the evolution of nickel regulation and defense that mitigates the toxic effects of this metal. While the diversity of bacterial ecology and cellular physiology can make the specific target of nickel toxicity variable, an increasing number of studies are beginning to delineate three themes of nickel toxicity: inhibition of metalloproteins, interaction with enzyme active-site His or Cys residues, and the potential to create or enhance oxidative stress. Due to this inherent toxicity, it is imperative that cells detect and defend themselves from toxic levels of nickel. In this chapter, we highlight the themes of nickel-dependent toxicity, regulation, and defense in bacteria.", "author" : [ { "dropping-particle" : "", "family" : "Macomber", "given" : "Lee", "non-dropping-particle" : "", "parse-names" : false, "suffix" : "" }, { "dropping-particle" : "", "family" : "Hausinger", "given" : "Robert P", "non-dropping-particle" : "", "parse-names" : false, "suffix" : "" } ], "container-title" : "Stress and Environmental Regulation of Gene Expression and Adaptation in Bacteria", "id" : "ITEM-1", "issued" : { "date-parts" : [ [ "2016" ] ] }, "page" : "1131-1144", "title" : "Nickel Toxicity, Regulation, and Resistance in Bacteria", "type" : "chapter", "volume" : "2" }, "uris" : [ "http://www.mendeley.com/documents/?uuid=46f254dd-b095-3f1f-8e12-9b382497f2cd" ] } ], "mendeley" : { "formattedCitation" : "(Macomber and Hausinger, 2016)", "plainTextFormattedCitation" : "(Macomber and Hausinger, 2016)", "previouslyFormattedCitation" : "(Macomber and Hausinger, 2016)" }, "properties" : { "noteIndex" : 0 }, "schema" : "https://github.com/citation-style-language/schema/raw/master/csl-citation.json" }</w:instrText>
      </w:r>
      <w:r w:rsidR="00112611">
        <w:fldChar w:fldCharType="separate"/>
      </w:r>
      <w:r w:rsidR="00362F5B" w:rsidRPr="00362F5B">
        <w:rPr>
          <w:noProof/>
        </w:rPr>
        <w:t>(Macomber and Hausinger, 2016)</w:t>
      </w:r>
      <w:r w:rsidR="00112611">
        <w:fldChar w:fldCharType="end"/>
      </w:r>
      <w:r w:rsidR="00112611">
        <w:t xml:space="preserve"> and sequestration</w:t>
      </w:r>
      <w:r w:rsidR="00744C60">
        <w:t xml:space="preserve"> </w:t>
      </w:r>
      <w:r w:rsidR="00744C60">
        <w:fldChar w:fldCharType="begin" w:fldLock="1"/>
      </w:r>
      <w:r w:rsidR="006B3FC7">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rsidR="00744C60">
        <w:fldChar w:fldCharType="separate"/>
      </w:r>
      <w:r w:rsidR="00362F5B" w:rsidRPr="00362F5B">
        <w:rPr>
          <w:noProof/>
        </w:rPr>
        <w:t>(Nishimura, Igarashi and Kakinuma, 1998)</w:t>
      </w:r>
      <w:r w:rsidR="00744C60">
        <w:fldChar w:fldCharType="end"/>
      </w:r>
      <w:r w:rsidR="00112611">
        <w:t xml:space="preserve"> with osmotic influx in order to maintain internal nickel at an optimum concentration</w:t>
      </w:r>
      <w:r w:rsidR="00744C60">
        <w:t xml:space="preserve">. Nickel can also cause </w:t>
      </w:r>
      <w:r w:rsidR="00800C1D">
        <w:t xml:space="preserve">DNA damage via the generation of reactive oxygen species (ROS), although </w:t>
      </w:r>
      <w:r w:rsidR="00A148E7">
        <w:t xml:space="preserve">it is believed to be a minor source of oxidative stress compared to copper </w:t>
      </w:r>
      <w:r w:rsidR="00A148E7">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A148E7">
        <w:fldChar w:fldCharType="separate"/>
      </w:r>
      <w:r w:rsidR="00362F5B" w:rsidRPr="00362F5B">
        <w:rPr>
          <w:noProof/>
        </w:rPr>
        <w:t>(Bal and Kasprzak, 2002)</w:t>
      </w:r>
      <w:r w:rsidR="00A148E7">
        <w:fldChar w:fldCharType="end"/>
      </w:r>
      <w:r w:rsidR="00A148E7">
        <w:t>.</w:t>
      </w:r>
    </w:p>
    <w:p w14:paraId="1A4CFB29" w14:textId="791FA0E0" w:rsidR="00B16E90" w:rsidRDefault="00B16E90" w:rsidP="00676E2E">
      <w:r>
        <w:t>Copper (</w:t>
      </w:r>
      <w:r w:rsidRPr="00B16E90">
        <w:rPr>
          <w:vertAlign w:val="subscript"/>
        </w:rPr>
        <w:t>29</w:t>
      </w:r>
      <w:r>
        <w:t>Cu) is a</w:t>
      </w:r>
      <w:r w:rsidR="00190399">
        <w:t>nother common heavy metal, used in alloys, electronics, anti-microbial surfaces and a wide range of sundry applications. Copper is an essential nutrient due to its presence in cytochrome-c-oxidase</w:t>
      </w:r>
      <w:r w:rsidR="00BD7A88">
        <w:t xml:space="preserve"> </w:t>
      </w:r>
      <w:r w:rsidR="00BD7A88">
        <w:fldChar w:fldCharType="begin" w:fldLock="1"/>
      </w:r>
      <w:r w:rsidR="006B3FC7">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rsidR="00BD7A88">
        <w:fldChar w:fldCharType="separate"/>
      </w:r>
      <w:r w:rsidR="00362F5B" w:rsidRPr="00362F5B">
        <w:rPr>
          <w:noProof/>
        </w:rPr>
        <w:t>(Babcock and Wikström, 1992)</w:t>
      </w:r>
      <w:r w:rsidR="00BD7A88">
        <w:fldChar w:fldCharType="end"/>
      </w:r>
      <w:r w:rsidR="00BD7A88">
        <w:t>, a practically omnipresent respiratory enzyme.</w:t>
      </w:r>
      <w:r w:rsidR="00FC536D">
        <w:t xml:space="preserve"> Bacter</w:t>
      </w:r>
      <w:r w:rsidR="000D6E18">
        <w:t>ia have been shown to be extremely sensitive to copper</w:t>
      </w:r>
      <w:r w:rsidR="0091471A">
        <w:t>,</w:t>
      </w:r>
      <w:r w:rsidR="000D6E18">
        <w:t xml:space="preserve"> </w:t>
      </w:r>
      <w:r w:rsidR="0091471A">
        <w:t xml:space="preserve">due to its disruption of vital biosynthesis enzymes, and effect resistance against it through active efflux, chelation, and rapid repair of damaged enzymes </w:t>
      </w:r>
      <w:r w:rsidR="0091471A">
        <w:fldChar w:fldCharType="begin" w:fldLock="1"/>
      </w:r>
      <w:r w:rsidR="006B3FC7">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91471A">
        <w:fldChar w:fldCharType="separate"/>
      </w:r>
      <w:r w:rsidR="00362F5B" w:rsidRPr="00362F5B">
        <w:rPr>
          <w:noProof/>
        </w:rPr>
        <w:t>(Macomber and Imlay, 2009)</w:t>
      </w:r>
      <w:r w:rsidR="0091471A">
        <w:fldChar w:fldCharType="end"/>
      </w:r>
      <w:r w:rsidR="0091471A">
        <w:t xml:space="preserve">. Copper is also a prolific producer of harmful ROS </w:t>
      </w:r>
      <w:r w:rsidR="0091471A">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91471A">
        <w:fldChar w:fldCharType="separate"/>
      </w:r>
      <w:r w:rsidR="00362F5B" w:rsidRPr="00362F5B">
        <w:rPr>
          <w:noProof/>
        </w:rPr>
        <w:t>(Bal and Kasprzak, 2002)</w:t>
      </w:r>
      <w:r w:rsidR="0091471A">
        <w:fldChar w:fldCharType="end"/>
      </w:r>
      <w:r w:rsidR="00E67DD5">
        <w:t xml:space="preserve">, although chronic copper toxicity is not typically of concern to humans and copper is not considered a carcinogen </w:t>
      </w:r>
      <w:r w:rsidR="008A1B66">
        <w:fldChar w:fldCharType="begin" w:fldLock="1"/>
      </w:r>
      <w:r w:rsidR="006B3FC7">
        <w:instrText>ADDIN CSL_CITATION { "citationItems" : [ { "id" : "ITEM-1", "itemData" : { "URL" : "https://echa.europa.eu/substance-information/-/substanceinfo/100.028.326", "author" : [ { "dropping-particle" : "", "family" : "ECHA", "given" : "", "non-dropping-particle" : "", "parse-names" : false, "suffix" : "" } ], "id" : "ITEM-1", "issued" : { "date-parts" : [ [ "2018" ] ] }, "title" : "REACH Substance Information: Copper", "type" : "webpage" }, "uris" : [ "http://www.mendeley.com/documents/?uuid=738427ff-26fc-413e-9995-728107884c52" ] } ], "mendeley" : { "formattedCitation" : "(ECHA, 2018b)", "plainTextFormattedCitation" : "(ECHA, 2018b)", "previouslyFormattedCitation" : "(ECHA, 2018b)" }, "properties" : { "noteIndex" : 0 }, "schema" : "https://github.com/citation-style-language/schema/raw/master/csl-citation.json" }</w:instrText>
      </w:r>
      <w:r w:rsidR="008A1B66">
        <w:fldChar w:fldCharType="separate"/>
      </w:r>
      <w:r w:rsidR="00362F5B" w:rsidRPr="00362F5B">
        <w:rPr>
          <w:noProof/>
        </w:rPr>
        <w:t>(ECHA, 2018b)</w:t>
      </w:r>
      <w:r w:rsidR="008A1B66">
        <w:fldChar w:fldCharType="end"/>
      </w:r>
      <w:r w:rsidR="008A1B66">
        <w:t>.</w:t>
      </w:r>
      <w:r w:rsidR="00FB78C6">
        <w:t xml:space="preserve"> </w:t>
      </w:r>
      <w:r w:rsidR="00B818A9">
        <w:t xml:space="preserve">While little mechanistic information is available, it appears that </w:t>
      </w:r>
      <w:r w:rsidR="00006791">
        <w:t xml:space="preserve">copper and nickel </w:t>
      </w:r>
      <w:r w:rsidR="00052A2C">
        <w:t>a</w:t>
      </w:r>
      <w:r w:rsidR="00006791">
        <w:t xml:space="preserve">ffect and are resisted by similar cell elements and pathways </w:t>
      </w:r>
      <w:r w:rsidR="00006791">
        <w:fldChar w:fldCharType="begin" w:fldLock="1"/>
      </w:r>
      <w:r w:rsidR="006B3FC7">
        <w:instrText>ADDIN CSL_CITATION { "citationItems" : [ { "id" : "ITEM-1", "itemData" : { "DOI" : "10.1016/j.micres.2010.03.004", "ISSN" : "0944-5013",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rsidR="00006791">
        <w:fldChar w:fldCharType="separate"/>
      </w:r>
      <w:r w:rsidR="00362F5B" w:rsidRPr="00362F5B">
        <w:rPr>
          <w:noProof/>
        </w:rPr>
        <w:t xml:space="preserve">(Mykytczuk </w:t>
      </w:r>
      <w:r w:rsidR="00362F5B" w:rsidRPr="00362F5B">
        <w:rPr>
          <w:i/>
          <w:noProof/>
        </w:rPr>
        <w:t>et al.</w:t>
      </w:r>
      <w:r w:rsidR="00362F5B" w:rsidRPr="00362F5B">
        <w:rPr>
          <w:noProof/>
        </w:rPr>
        <w:t>, 2011)</w:t>
      </w:r>
      <w:r w:rsidR="00006791">
        <w:fldChar w:fldCharType="end"/>
      </w:r>
      <w:r w:rsidR="00006791">
        <w:t>.</w:t>
      </w:r>
    </w:p>
    <w:p w14:paraId="6DC67393" w14:textId="0F42CE89" w:rsidR="00CB79A1" w:rsidRDefault="00CB79A1" w:rsidP="00676E2E">
      <w:pPr>
        <w:rPr>
          <w:i/>
        </w:rPr>
      </w:pPr>
      <w:r w:rsidRPr="00CB79A1">
        <w:rPr>
          <w:i/>
        </w:rPr>
        <w:t>Antib</w:t>
      </w:r>
      <w:r>
        <w:rPr>
          <w:i/>
        </w:rPr>
        <w:t>acterials</w:t>
      </w:r>
    </w:p>
    <w:p w14:paraId="2F61D203" w14:textId="758BF527" w:rsidR="00CB79A1" w:rsidRDefault="00CB79A1" w:rsidP="00676E2E">
      <w:r>
        <w:t xml:space="preserve">Antibacterials or antibiotics refers to a range of </w:t>
      </w:r>
      <w:r w:rsidR="008F35D7">
        <w:t>bactericidal agents that are used for the therapeutic treatment of infections thanks to their relative selectivity.</w:t>
      </w:r>
      <w:r w:rsidR="00EC39C4">
        <w:t xml:space="preserve"> The issue of environmental </w:t>
      </w:r>
      <w:r w:rsidR="00E367AE">
        <w:t xml:space="preserve">antibiotic pollution has attracted a great deal of scientific and legislative attention in recent years due to the threat of antimicrobial resistance </w:t>
      </w:r>
      <w:r w:rsidR="00E367AE">
        <w:fldChar w:fldCharType="begin" w:fldLock="1"/>
      </w:r>
      <w:r w:rsidR="006B3FC7">
        <w:instrText>ADDIN CSL_CITATION { "citationItems" : [ { "id" : "ITEM-1", "itemData" : { "DOI" : "10.1016/S0140-6736(15)00473-0", "ISBN" : "0140-6736\\r1474-547X", "ISSN" : "1474547X", "PMID" : "26603922", "abstract" : "To combat the threat to human health and biosecurity from antimicrobial resistance, an understanding of its mechanisms and drivers is needed. Emergence of antimicrobial resistance in microorganisms is a natural phenomenon, yet antimicrobial resistance selection has been driven by antimicrobial exposure in health care, agriculture, and the environment. Onward transmission is affected by standards of infection control, sanitation, access to clean water, access to assured quality antimicrobials and diagnostics, travel, and migration. Strategies to reduce antimicrobial resistance by removing antimicrobial selective pressure alone rely upon resistance imparting a fitness cost, an effect not always apparent. Minimising resistance should therefore be considered comprehensively, by resistance mechanism, microorganism, antimicrobial drug, host, and context; parallel to new drug discovery, broad ranging, multidisciplinary research is needed across these five levels, interlinked across the health-care, agriculture, and environment sectors. Intelligent, integrated approaches, mindful of potential unintended results, are needed to ensure sustained, worldwide access to effective antimicrobials.", "author" : [ { "dropping-particle" : "", "family" : "Holmes", "given" : "Alison H.", "non-dropping-particle" : "", "parse-names" : false, "suffix" : "" }, { "dropping-particle" : "", "family" : "Moore", "given" : "Luke S.P.", "non-dropping-particle" : "", "parse-names" : false, "suffix" : "" }, { "dropping-particle" : "", "family" : "Sundsfjord", "given" : "Arnfinn", "non-dropping-particle" : "", "parse-names" : false, "suffix" : "" }, { "dropping-particle" : "", "family" : "Steinbakk", "given" : "Martin", "non-dropping-particle" : "", "parse-names" : false, "suffix" : "" }, { "dropping-particle" : "", "family" : "Regmi", "given" : "Sadie", "non-dropping-particle" : "", "parse-names" : false, "suffix" : "" }, { "dropping-particle" : "", "family" : "Karkey", "given" : "Abhilasha", "non-dropping-particle" : "", "parse-names" : false, "suffix" : "" }, { "dropping-particle" : "", "family" : "Guerin", "given" : "Philippe J.", "non-dropping-particle" : "", "parse-names" : false, "suffix" : "" }, { "dropping-particle" : "", "family" : "Piddock", "given" : "Laura J.V.", "non-dropping-particle" : "", "parse-names" : false, "suffix" : "" } ], "container-title" : "The Lancet", "id" : "ITEM-1", "issue" : "10014", "issued" : { "date-parts" : [ [ "2016" ] ] }, "page" : "176-187", "title" : "Understanding the mechanisms and drivers of antimicrobial resistance", "type" : "article-journal", "volume" : "387" }, "uris" : [ "http://www.mendeley.com/documents/?uuid=aafbda44-deda-479b-832f-28f8f33a9c7d" ] }, { "id" : "ITEM-2", "itemData" : { "author" : [ { "dropping-particle" : "", "family" : "European Commission", "given" : "", "non-dropping-particle" : "", "parse-names" : false, "suffix" : "" } ], "container-title" : "European Commission", "id" : "ITEM-2", "issued" : { "date-parts" : [ [ "2017" ] ] }, "page" : "24", "title" : "A European One Health Action Plan against Antimicrobial Resistance (AMR)", "type" : "article-journal" }, "uris" : [ "http://www.mendeley.com/documents/?uuid=2e1c6c9f-9b2e-47ae-978c-9cfb60ae0782" ] } ], "mendeley" : { "formattedCitation" : "(Holmes &lt;i&gt;et al.&lt;/i&gt;, 2016; European Commission, 2017)", "plainTextFormattedCitation" : "(Holmes et al., 2016; European Commission, 2017)", "previouslyFormattedCitation" : "(Holmes &lt;i&gt;et al.&lt;/i&gt;, 2016; European Commission, 2017)" }, "properties" : { "noteIndex" : 0 }, "schema" : "https://github.com/citation-style-language/schema/raw/master/csl-citation.json" }</w:instrText>
      </w:r>
      <w:r w:rsidR="00E367AE">
        <w:fldChar w:fldCharType="separate"/>
      </w:r>
      <w:r w:rsidR="00362F5B" w:rsidRPr="00362F5B">
        <w:rPr>
          <w:noProof/>
        </w:rPr>
        <w:t xml:space="preserve">(Holmes </w:t>
      </w:r>
      <w:r w:rsidR="00362F5B" w:rsidRPr="00362F5B">
        <w:rPr>
          <w:i/>
          <w:noProof/>
        </w:rPr>
        <w:t>et al.</w:t>
      </w:r>
      <w:r w:rsidR="00362F5B" w:rsidRPr="00362F5B">
        <w:rPr>
          <w:noProof/>
        </w:rPr>
        <w:t>, 2016; European Commission, 2017)</w:t>
      </w:r>
      <w:r w:rsidR="00E367AE">
        <w:fldChar w:fldCharType="end"/>
      </w:r>
      <w:r w:rsidR="005F6B20">
        <w:t>, but current understanding of how antibiotics will affect wild communities of bacteria</w:t>
      </w:r>
      <w:r w:rsidR="004D4F1A">
        <w:t>, and the indirect effects on their ecosystems,</w:t>
      </w:r>
      <w:r w:rsidR="005F6B20">
        <w:t xml:space="preserve"> is far more limited</w:t>
      </w:r>
      <w:r w:rsidR="00227153">
        <w:t xml:space="preserve"> </w:t>
      </w:r>
      <w:r w:rsidR="00227153">
        <w:fldChar w:fldCharType="begin" w:fldLock="1"/>
      </w:r>
      <w:r w:rsidR="006B3FC7">
        <w:instrText>ADDIN CSL_CITATION { "citationItems" : [ { "id" : "ITEM-1", "itemData" : { "DOI" : "10.1007/s11356-015-4943-3", "ISBN" : "09441344 (ISSN)", "ISSN" : "16147499", "PMID" : "26150293", "abstract" : "Antibiotic use in the early 1900 vastly improved human health but at the same time started an arms race of antibiotic resistance. The widespread use of antibiotics has resulted in ubiquitous trace concentrations of many antibiotics in most environments. Little is known about the impact of these antibiotics on microbial processes or \u201cnon-target\u201d organisms. This mini-review summarizes our knowledge of the effect of synthetically produced antibiotics on microorganisms involved in biogeochemical cycling. We found only 31 articles that dealt with the effects of antibiotics on such processes in soil, sediment, or freshwater. We compare the processes, antibiotics, concentration range, source, environment, and experimental approach of these studies. Examining the effects of antibiotics on biogeochemical processes should involve environmentally relevant concentrations (instead of therapeutic), chronic exposure (versus acute), and monitoring of the administered antibiotics. Furthermore, the lack of standardized tests hinders generalizations regarding the effects of antibiotics on biogeochemical processes. We investigated the effects of antibiotics on biogeochemical N cycling, specifically nitrification, denitrification, and anammox. We found that environmentally relevant concentrations of fluoroquinolones and sulfonamides could partially inhibit denitrification. So far, the only documented effects of antibiotic inhibitions were at therapeutic doses on anammox activities. The most studied and inhibited was nitrification (25\u2013100 %) mainly at therapeutic doses and rarely environmentally relevant. We recommend that firm conclusions regarding inhibition of antibiotics at environmentally relevant concentrations remain difficult due to the lack of studies testing low concentrations at chronic exposure. There is thus a need to test the effects of these environmental concentrations on biogeochemical processes to further establish the possible effects on ecosystem functioning. \u00a9 2015 Springer-Verlag Berlin Heidelberg", "author" : [ { "dropping-particle" : "", "family" : "Roose-Amsaleg", "given" : "C\u00e9line", "non-dropping-particle" : "", "parse-names" : false, "suffix" : "" }, { "dropping-particle" : "", "family" : "Laverman", "given" : "Anniet M.", "non-dropping-particle" : "", "parse-names" : false, "suffix" : "" } ], "container-title" : "Environmental Science and Pollution Research", "id" : "ITEM-1", "issue" : "5", "issued" : { "date-parts" : [ [ "2016" ] ] }, "page" : "4000-4012", "title" : "Do antibiotics have environmental side-effects? Impact of synthetic antibiotics on biogeochemical processes", "type" : "article-journal", "volume" : "23" }, "uris" : [ "http://www.mendeley.com/documents/?uuid=4810d845-1a40-4108-a7c8-d9b243e390e1" ] } ], "mendeley" : { "formattedCitation" : "(Roose-Amsaleg and Laverman, 2016)", "plainTextFormattedCitation" : "(Roose-Amsaleg and Laverman, 2016)", "previouslyFormattedCitation" : "(Roose-Amsaleg and Laverman, 2016)" }, "properties" : { "noteIndex" : 0 }, "schema" : "https://github.com/citation-style-language/schema/raw/master/csl-citation.json" }</w:instrText>
      </w:r>
      <w:r w:rsidR="00227153">
        <w:fldChar w:fldCharType="separate"/>
      </w:r>
      <w:r w:rsidR="00362F5B" w:rsidRPr="00362F5B">
        <w:rPr>
          <w:noProof/>
        </w:rPr>
        <w:t>(Roose-Amsaleg and Laverman, 2016)</w:t>
      </w:r>
      <w:r w:rsidR="00227153">
        <w:fldChar w:fldCharType="end"/>
      </w:r>
      <w:r w:rsidR="00227153">
        <w:t>.</w:t>
      </w:r>
    </w:p>
    <w:p w14:paraId="58986AA8" w14:textId="25518B5B" w:rsidR="00FA5F2C" w:rsidRDefault="00FA5F2C" w:rsidP="00676E2E">
      <w:r>
        <w:t>Despite</w:t>
      </w:r>
      <w:r w:rsidR="00227153">
        <w:t xml:space="preserve"> this</w:t>
      </w:r>
      <w:r>
        <w:t xml:space="preserve"> increasing focus </w:t>
      </w:r>
      <w:r w:rsidR="00227153">
        <w:t xml:space="preserve">on antibacterials as an emerging pollutant, their status in EU legislation remains in limbo, with </w:t>
      </w:r>
      <w:r w:rsidR="006C192A">
        <w:t xml:space="preserve">plans to require environmental risk assessments on future pharmaceuticals dropped </w:t>
      </w:r>
      <w:r w:rsidR="006C192A">
        <w:fldChar w:fldCharType="begin" w:fldLock="1"/>
      </w:r>
      <w:r w:rsidR="006B3FC7">
        <w:instrText>ADDIN CSL_CITATION { "citationItems" : [ { "id" : "ITEM-1", "itemData" : { "author" : [ { "dropping-particle" : "", "family" : "Neslen", "given" : "Arthur", "non-dropping-particle" : "", "parse-names" : false, "suffix" : "" } ], "container-title" : "Guardian", "id" : "ITEM-1", "issued" : { "date-parts" : [ [ "2018", "6" ] ] }, "title" : "Antibiotic apocalypse: EU scraps plans to tackle drug pollution, despite fears of rising resistance", "type" : "article-newspaper" }, "uris" : [ "http://www.mendeley.com/documents/?uuid=019f07fa-bc0d-4db5-9e66-0d65a9608573" ] } ], "mendeley" : { "formattedCitation" : "(Neslen, 2018)", "plainTextFormattedCitation" : "(Neslen, 2018)", "previouslyFormattedCitation" : "(Neslen, 2018)" }, "properties" : { "noteIndex" : 0 }, "schema" : "https://github.com/citation-style-language/schema/raw/master/csl-citation.json" }</w:instrText>
      </w:r>
      <w:r w:rsidR="006C192A">
        <w:fldChar w:fldCharType="separate"/>
      </w:r>
      <w:r w:rsidR="00362F5B" w:rsidRPr="00362F5B">
        <w:rPr>
          <w:noProof/>
        </w:rPr>
        <w:t>(Neslen, 2018)</w:t>
      </w:r>
      <w:r w:rsidR="006C192A">
        <w:fldChar w:fldCharType="end"/>
      </w:r>
      <w:r w:rsidR="006C192A">
        <w:t>, and no current legal requirement</w:t>
      </w:r>
      <w:r w:rsidR="00FA02F0">
        <w:t xml:space="preserve"> under the </w:t>
      </w:r>
      <w:r w:rsidR="000F6D14">
        <w:t>WFD</w:t>
      </w:r>
      <w:r w:rsidR="006C192A">
        <w:t xml:space="preserve"> to test surface, ground or drinking water for antimicrobial concentrations. </w:t>
      </w:r>
      <w:r w:rsidR="000F6D14">
        <w:t xml:space="preserve">Environmental concentrations </w:t>
      </w:r>
      <w:r w:rsidR="000A45D1">
        <w:t>are generally only available where specific studies have been conducted, and vary considerably with distance from point pollution sources. Antibacterials enter the environment from a variety of sources, including hospital wastewater, human excrement, and agricultural run-off.</w:t>
      </w:r>
    </w:p>
    <w:p w14:paraId="33053062" w14:textId="213E13EC" w:rsidR="00C20335" w:rsidRDefault="000B69AC" w:rsidP="00676E2E">
      <w:r>
        <w:t>Two common antibiotics were selected as stressors, the first being chloramphenicol, a</w:t>
      </w:r>
      <w:r w:rsidR="003551EF">
        <w:t xml:space="preserve"> broad-spectrum</w:t>
      </w:r>
      <w:r>
        <w:t xml:space="preserve"> </w:t>
      </w:r>
      <w:r w:rsidR="003551EF">
        <w:t>bacteriostatic</w:t>
      </w:r>
      <w:r>
        <w:t xml:space="preserve"> first isolated from the bacterium </w:t>
      </w:r>
      <w:r w:rsidRPr="000B69AC">
        <w:rPr>
          <w:i/>
        </w:rPr>
        <w:t xml:space="preserve">Streptomyces </w:t>
      </w:r>
      <w:proofErr w:type="spellStart"/>
      <w:r w:rsidRPr="000B69AC">
        <w:rPr>
          <w:i/>
        </w:rPr>
        <w:t>venezuelae</w:t>
      </w:r>
      <w:proofErr w:type="spellEnd"/>
      <w:r>
        <w:rPr>
          <w:i/>
        </w:rPr>
        <w:t xml:space="preserve"> </w:t>
      </w:r>
      <w:r>
        <w:t>in 194</w:t>
      </w:r>
      <w:r w:rsidR="00053050">
        <w:t xml:space="preserve">7 and synthesised in 1949 </w:t>
      </w:r>
      <w:r w:rsidR="00053050">
        <w:fldChar w:fldCharType="begin" w:fldLock="1"/>
      </w:r>
      <w:r w:rsidR="006B3FC7">
        <w:instrText>ADDIN CSL_CITATION { "citationItems" : [ { "id" : "ITEM-1", "itemData" : { "DOI" : "10.1021/ja01175a065", "ISSN" : "0002-7863", "author" : [ { "dropping-particle" : "", "family" : "Rebstock", "given" : "Mildred C.", "non-dropping-particle" : "", "parse-names" : false, "suffix" : "" }, { "dropping-particle" : "", "family" : "Crooks", "given" : "Harry M.", "non-dropping-particle" : "", "parse-names" : false, "suffix" : "" }, { "dropping-particle" : "", "family" : "Controulis", "given" : "John.", "non-dropping-particle" : "", "parse-names" : false, "suffix" : "" }, { "dropping-particle" : "", "family" : "Bartz", "given" : "Quentin R.", "non-dropping-particle" : "", "parse-names" : false, "suffix" : "" } ], "container-title" : "Journal of the American Chemical Society", "id" : "ITEM-1", "issue" : "7", "issued" : { "date-parts" : [ [ "1949" ] ] }, "page" : "2458-2462", "title" : "Chloramphenicol (Chloromycetin)", "type" : "article-journal", "volume" : "71" }, "uris" : [ "http://www.mendeley.com/documents/?uuid=131069f7-5274-4a0d-9252-4f0b8f5794d1" ] } ], "mendeley" : { "formattedCitation" : "(Rebstock &lt;i&gt;et al.&lt;/i&gt;, 1949)", "manualFormatting" : "(Rebstock et al.)", "plainTextFormattedCitation" : "(Rebstock et al., 1949)", "previouslyFormattedCitation" : "(Rebstock &lt;i&gt;et al.&lt;/i&gt;, 1949)" }, "properties" : { "noteIndex" : 0 }, "schema" : "https://github.com/citation-style-language/schema/raw/master/csl-citation.json" }</w:instrText>
      </w:r>
      <w:r w:rsidR="00053050">
        <w:fldChar w:fldCharType="separate"/>
      </w:r>
      <w:r w:rsidR="00053050" w:rsidRPr="00053050">
        <w:rPr>
          <w:noProof/>
        </w:rPr>
        <w:t xml:space="preserve">(Rebstock </w:t>
      </w:r>
      <w:r w:rsidR="00053050" w:rsidRPr="00053050">
        <w:rPr>
          <w:i/>
          <w:noProof/>
        </w:rPr>
        <w:t>et al.</w:t>
      </w:r>
      <w:r w:rsidR="00053050" w:rsidRPr="00053050">
        <w:rPr>
          <w:noProof/>
        </w:rPr>
        <w:t>)</w:t>
      </w:r>
      <w:r w:rsidR="00053050">
        <w:fldChar w:fldCharType="end"/>
      </w:r>
      <w:r>
        <w:t>.</w:t>
      </w:r>
      <w:r w:rsidR="00053050">
        <w:t xml:space="preserve"> Chloramphenicol </w:t>
      </w:r>
      <w:r w:rsidR="006A65F8">
        <w:t xml:space="preserve">has historically proved effective against a broad range of bacteria including </w:t>
      </w:r>
      <w:r w:rsidR="006A65F8" w:rsidRPr="006A65F8">
        <w:rPr>
          <w:i/>
        </w:rPr>
        <w:t>Staphylococcus aureus</w:t>
      </w:r>
      <w:r w:rsidR="006A65F8" w:rsidRPr="006A65F8">
        <w:t xml:space="preserve">, </w:t>
      </w:r>
      <w:r w:rsidR="006A65F8" w:rsidRPr="006A65F8">
        <w:rPr>
          <w:i/>
        </w:rPr>
        <w:t>Streptococcus pneumoniae</w:t>
      </w:r>
      <w:r w:rsidR="006A65F8" w:rsidRPr="006A65F8">
        <w:t xml:space="preserve">, and </w:t>
      </w:r>
      <w:r w:rsidR="006A65F8" w:rsidRPr="006A65F8">
        <w:rPr>
          <w:i/>
        </w:rPr>
        <w:t>Escherichia coli</w:t>
      </w:r>
      <w:r w:rsidR="006A65F8">
        <w:t xml:space="preserve">, but in addition to its ineffectivity against </w:t>
      </w:r>
      <w:r w:rsidR="006A65F8" w:rsidRPr="005B27E4">
        <w:rPr>
          <w:i/>
        </w:rPr>
        <w:t>Pseudomonas aeruginosa</w:t>
      </w:r>
      <w:r w:rsidR="0004655E">
        <w:rPr>
          <w:i/>
        </w:rPr>
        <w:t xml:space="preserve"> </w:t>
      </w:r>
      <w:r w:rsidR="0004655E">
        <w:rPr>
          <w:i/>
        </w:rPr>
        <w:fldChar w:fldCharType="begin" w:fldLock="1"/>
      </w:r>
      <w:r w:rsidR="006B3FC7">
        <w:rPr>
          <w:i/>
        </w:rPr>
        <w:instrText>ADDIN CSL_CITATION { "citationItems" : [ { "id" : "ITEM-1", "itemData" : { "URL" : "http://antibiotics.toku-e.com/antimicrobial_507.html", "accessed" : { "date-parts" : [ [ "2018", "6", "23" ] ] }, "author" : [ { "dropping-particle" : "", "family" : "Toku-E", "given" : "", "non-dropping-particle" : "", "parse-names" : false, "suffix" : "" } ], "container-title" : "KnowledgeBase", "id" : "ITEM-1", "issued" : { "date-parts" : [ [ "2018" ] ] }, "title" : "Chloramphenicol (Chloromycetin)", "type" : "webpage" }, "uris" : [ "http://www.mendeley.com/documents/?uuid=bc2a8a1a-e17d-4959-bb6e-d57c35bee46f" ] } ], "mendeley" : { "formattedCitation" : "(Toku-E, 2018b)", "plainTextFormattedCitation" : "(Toku-E, 2018b)", "previouslyFormattedCitation" : "(Toku-E, 2018b)" }, "properties" : { "noteIndex" : 0 }, "schema" : "https://github.com/citation-style-language/schema/raw/master/csl-citation.json" }</w:instrText>
      </w:r>
      <w:r w:rsidR="0004655E">
        <w:rPr>
          <w:i/>
        </w:rPr>
        <w:fldChar w:fldCharType="separate"/>
      </w:r>
      <w:r w:rsidR="00362F5B" w:rsidRPr="00362F5B">
        <w:rPr>
          <w:noProof/>
        </w:rPr>
        <w:t>(Toku-E, 2018b)</w:t>
      </w:r>
      <w:r w:rsidR="0004655E">
        <w:rPr>
          <w:i/>
        </w:rPr>
        <w:fldChar w:fldCharType="end"/>
      </w:r>
      <w:r w:rsidR="006A65F8">
        <w:t>,</w:t>
      </w:r>
      <w:r w:rsidR="005B27E4">
        <w:t xml:space="preserve"> </w:t>
      </w:r>
      <w:r w:rsidR="006457DD">
        <w:t xml:space="preserve">resistance is </w:t>
      </w:r>
      <w:r w:rsidR="006457DD">
        <w:lastRenderedPageBreak/>
        <w:t xml:space="preserve">common both in </w:t>
      </w:r>
      <w:r w:rsidR="00620563">
        <w:t xml:space="preserve">the wild and in areas exposed to antibacterial pollution </w:t>
      </w:r>
      <w:r w:rsidR="00620563">
        <w:fldChar w:fldCharType="begin" w:fldLock="1"/>
      </w:r>
      <w:r w:rsidR="006B3FC7">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rsidR="00620563">
        <w:fldChar w:fldCharType="separate"/>
      </w:r>
      <w:r w:rsidR="00362F5B" w:rsidRPr="00362F5B">
        <w:rPr>
          <w:noProof/>
        </w:rPr>
        <w:t xml:space="preserve">(Allen </w:t>
      </w:r>
      <w:r w:rsidR="00362F5B" w:rsidRPr="00362F5B">
        <w:rPr>
          <w:i/>
          <w:noProof/>
        </w:rPr>
        <w:t>et al.</w:t>
      </w:r>
      <w:r w:rsidR="00362F5B" w:rsidRPr="00362F5B">
        <w:rPr>
          <w:noProof/>
        </w:rPr>
        <w:t>, 2010)</w:t>
      </w:r>
      <w:r w:rsidR="00620563">
        <w:fldChar w:fldCharType="end"/>
      </w:r>
      <w:r w:rsidR="00620563">
        <w:t>.</w:t>
      </w:r>
      <w:r w:rsidR="006F29B0">
        <w:t xml:space="preserve"> Resistance to chloramphenicol takes </w:t>
      </w:r>
      <w:r w:rsidR="003F62C9">
        <w:t xml:space="preserve">a variety of forms, including multidrug-resisting reduced membrane permeability </w:t>
      </w:r>
      <w:r w:rsidR="003F62C9">
        <w:fldChar w:fldCharType="begin" w:fldLock="1"/>
      </w:r>
      <w:r w:rsidR="006B3FC7">
        <w:instrText>ADDIN CSL_CITATION { "citationItems" : [ { "id" : "ITEM-1", "itemData" : { "DOI" : "10.1128/AAC.33.8.1318", "ISBN" : "0066-4804 (Print)\\r0066-4804 (Linking)", "ISSN" : "00664804", "PMID" : "2679373", "abstract" : "Chromosomal multiple-antibiotic-resistant (Mar) mutants of Escherichia coli, selected on agar containing low concentrations of tetracycline or chloramphenicol, were 6- to 18-fold less susceptible to the fluoroquinolones than were their wild-type E. coli K-12 or E. coli C parental strains. The frequency of emergence of such mutants was at least 1,000-fold higher than that of those selected by the fluoroquinolone norfloxacin directly. When Mar mutants, but not wild-type cells, were plated on norfloxacin, mutants resistant to high levels of norfloxacin (2 micrograms/ml) appeared at a relatively high (approximately 10(-7] frequency. In addition to decreased amounts of OmpF, Mar mutants had other outer membrane protein changes and were four- to eightfold less susceptible to fluoroquinolones than was an ompF::Tn5 mutant lacking only OmpF. Accumulation of [3H]norfloxacin was more than threefold lower in the Mar mutants than in wild-type cells and twofold lower than in the OmpF-deficient derivative. These differences were not attributable to a change in the endogenous active efflux system for norfloxacin in E. coli. Norfloxacin-induced inhibition of DNA synthesis was threefold lower in intact cells of a Mar mutant than in susceptible cells, but this difference was not seen in toluene-permeabilized cells. Insertion of Tn5 into marA (min 34.05 on the chromosome) led to a return of the wild-type patterns of norfloxacin accumulation, fluoroquinolone and other antimicrobial agent susceptibilities, and outer membrane protein profile, including partial restoration of OmpF. These findings together suggest that marA-dependent fluoroquinolone resistance is linked to decreased cell permeability, only part of which can be accounted for by the reduction in OmpF. Once mutated to marA, cells can achieve high levels of quinolone resistance at a relatively high frequency.", "author" : [ { "dropping-particle" : "", "family" : "Cohen", "given" : "S. P.", "non-dropping-particle" : "", "parse-names" : false, "suffix" : "" }, { "dropping-particle" : "", "family" : "McMurry", "given" : "L. M.", "non-dropping-particle" : "", "parse-names" : false, "suffix" : "" }, { "dropping-particle" : "", "family" : "Hooper", "given" : "D. C.", "non-dropping-particle" : "", "parse-names" : false, "suffix" : "" }, { "dropping-particle" : "", "family" : "Wolfson", "given" : "J. S.", "non-dropping-particle" : "", "parse-names" : false, "suffix" : "" }, { "dropping-particle" : "", "family" : "Levy", "given" : "S. B.", "non-dropping-particle" : "", "parse-names" : false, "suffix" : "" } ], "container-title" : "Antimicrobial Agents and Chemotherapy", "id" : "ITEM-1", "issue" : "8", "issued" : { "date-parts" : [ [ "1989" ] ] }, "page" : "1318-1325", "title" : "Cross-resistance to fluoroquinolones in multiple-antibiotic-resistant (Mar) Escherichia coli selected by tetracycline or chloramphenicol: Decreased drug accumulation associated with membrane changes in addition to OmpF reduction", "type" : "article-journal", "volume" : "33" }, "uris" : [ "http://www.mendeley.com/documents/?uuid=8815e25e-dfbe-4526-981e-fd105fc137ac" ] } ], "mendeley" : { "formattedCitation" : "(Cohen &lt;i&gt;et al.&lt;/i&gt;, 1989)", "plainTextFormattedCitation" : "(Cohen et al., 1989)", "previouslyFormattedCitation" : "(Cohen &lt;i&gt;et al.&lt;/i&gt;, 1989)" }, "properties" : { "noteIndex" : 0 }, "schema" : "https://github.com/citation-style-language/schema/raw/master/csl-citation.json" }</w:instrText>
      </w:r>
      <w:r w:rsidR="003F62C9">
        <w:fldChar w:fldCharType="separate"/>
      </w:r>
      <w:r w:rsidR="00362F5B" w:rsidRPr="00362F5B">
        <w:rPr>
          <w:noProof/>
        </w:rPr>
        <w:t xml:space="preserve">(Cohen </w:t>
      </w:r>
      <w:r w:rsidR="00362F5B" w:rsidRPr="00362F5B">
        <w:rPr>
          <w:i/>
          <w:noProof/>
        </w:rPr>
        <w:t>et al.</w:t>
      </w:r>
      <w:r w:rsidR="00362F5B" w:rsidRPr="00362F5B">
        <w:rPr>
          <w:noProof/>
        </w:rPr>
        <w:t>, 1989)</w:t>
      </w:r>
      <w:r w:rsidR="003F62C9">
        <w:fldChar w:fldCharType="end"/>
      </w:r>
      <w:r w:rsidR="003F62C9">
        <w:t xml:space="preserve">, mutant ribosomes </w:t>
      </w:r>
      <w:r w:rsidR="003F62C9">
        <w:fldChar w:fldCharType="begin" w:fldLock="1"/>
      </w:r>
      <w:r w:rsidR="006B3FC7">
        <w:instrText>ADDIN CSL_CITATION { "citationItems" : [ { "id" : "ITEM-1", "itemData" : { "DOI" : "10.1128/AAC.39.3.577", "ISBN" : "0066-4804", "ISSN" : "00664804", "PMID" : "7793855", "abstract" : "A review with 140 refs. on the erythromycin resistance by ribosome modification. It emphasizes the target site alternation, i.e. the 50S subunit of the ribosome. [on SciFinder (R)]", "author" : [ { "dropping-particle" : "", "family" : "Weisblum", "given" : "B.", "non-dropping-particle" : "", "parse-names" : false, "suffix" : "" } ], "container-title" : "Antimicrobial Agents and Chemotherapy", "id" : "ITEM-1", "issue" : "3", "issued" : { "date-parts" : [ [ "1995" ] ] }, "page" : "577-585", "title" : "Erythromycin resistance by ribosome modification", "type" : "article-journal", "volume" : "39" }, "uris" : [ "http://www.mendeley.com/documents/?uuid=29bcbd41-5d17-4d7f-b87a-8c23a56db20e" ] } ], "mendeley" : { "formattedCitation" : "(Weisblum, 1995)", "plainTextFormattedCitation" : "(Weisblum, 1995)", "previouslyFormattedCitation" : "(Weisblum, 1995)" }, "properties" : { "noteIndex" : 0 }, "schema" : "https://github.com/citation-style-language/schema/raw/master/csl-citation.json" }</w:instrText>
      </w:r>
      <w:r w:rsidR="003F62C9">
        <w:fldChar w:fldCharType="separate"/>
      </w:r>
      <w:r w:rsidR="00362F5B" w:rsidRPr="00362F5B">
        <w:rPr>
          <w:noProof/>
        </w:rPr>
        <w:t>(Weisblum, 1995)</w:t>
      </w:r>
      <w:r w:rsidR="003F62C9">
        <w:fldChar w:fldCharType="end"/>
      </w:r>
      <w:r w:rsidR="003F62C9">
        <w:t xml:space="preserve"> or </w:t>
      </w:r>
      <w:r w:rsidR="006E60B2">
        <w:t xml:space="preserve">chloramphenicol-degrading enzymes </w:t>
      </w:r>
      <w:r w:rsidR="006E60B2">
        <w:fldChar w:fldCharType="begin" w:fldLock="1"/>
      </w:r>
      <w:r w:rsidR="006B3FC7">
        <w:instrText>ADDIN CSL_CITATION { "citationItems" : [ { "id" : "ITEM-1", "itemData" : { "DOI" : "10.1038/282870a0", "ISBN" : "0028-0836 (Print)\\r0028-0836 (Linking)", "ISSN" : "00280836", "PMID" : "390404", "abstract" : "Naturally occurring isolates of chloramphenicol-resistant bacteria commonly synthesise chloramphenicol acetyltransferase (EC 2.3.28; CAT) in amounts which are sufficient to account for the resistance phenotype and often harbour plasmids which carry the structural gene for CAT. The findings of CAT in such diverse prokaryotes as Proteus mirabilis, Agrobacterium tumefaciens, Streptomyces sp., and a soil Flavobacterium has led to speculation concerning the origin and evolution of the more commonly observed CAT variants specified by plasmids in clinically important bacteria. To provide a more solid basis for studying the evolution and spread of CAT within prokaryotes we chose to determine the complete amino acid sequence of a type I variant of CAT, the variant known to be associated with most F-like plasmids conferring chloramphenicol resistance. The sequence has been determined by combining the results obtained from manual and automated sequential degradation with those obtained by mass spectrometry of peptides generated by enzymatic digestion. The directly determined primary structure is identical with that predicted by the DNA sequence analysis of the chloramphenicol resistance transponson Tn9 known to specify a type I variant of chloramphenicol acetyltransferase.", "author" : [ { "dropping-particle" : "V.", "family" : "Shaw", "given" : "W.", "non-dropping-particle" : "", "parse-names" : false, "suffix" : "" }, { "dropping-particle" : "", "family" : "Packman", "given" : "L. C.", "non-dropping-particle" : "", "parse-names" : false, "suffix" : "" }, { "dropping-particle" : "", "family" : "Burleigh", "given" : "B. D.", "non-dropping-particle" : "", "parse-names" : false, "suffix" : "" }, { "dropping-particle" : "", "family" : "Dell", "given" : "A.", "non-dropping-particle" : "", "parse-names" : false, "suffix" : "" }, { "dropping-particle" : "", "family" : "Morris", "given" : "H. R.", "non-dropping-particle" : "", "parse-names" : false, "suffix" : "" }, { "dropping-particle" : "", "family" : "Hartley", "given" : "B. S.", "non-dropping-particle" : "", "parse-names" : false, "suffix" : "" } ], "container-title" : "Nature", "id" : "ITEM-1", "issue" : "5741", "issued" : { "date-parts" : [ [ "1979" ] ] }, "page" : "870-872", "title" : "Primary structure of a chloramphenicol acetyltransferase specified by R plasmids [31]", "type" : "article", "volume" : "282" }, "uris" : [ "http://www.mendeley.com/documents/?uuid=c76f66f0-ccae-467a-96fa-785355890ff5" ] } ], "mendeley" : { "formattedCitation" : "(Shaw &lt;i&gt;et al.&lt;/i&gt;, 1979)", "plainTextFormattedCitation" : "(Shaw et al., 1979)", "previouslyFormattedCitation" : "(Shaw &lt;i&gt;et al.&lt;/i&gt;, 1979)" }, "properties" : { "noteIndex" : 0 }, "schema" : "https://github.com/citation-style-language/schema/raw/master/csl-citation.json" }</w:instrText>
      </w:r>
      <w:r w:rsidR="006E60B2">
        <w:fldChar w:fldCharType="separate"/>
      </w:r>
      <w:r w:rsidR="00362F5B" w:rsidRPr="00362F5B">
        <w:rPr>
          <w:noProof/>
        </w:rPr>
        <w:t xml:space="preserve">(Shaw </w:t>
      </w:r>
      <w:r w:rsidR="00362F5B" w:rsidRPr="00362F5B">
        <w:rPr>
          <w:i/>
          <w:noProof/>
        </w:rPr>
        <w:t>et al.</w:t>
      </w:r>
      <w:r w:rsidR="00362F5B" w:rsidRPr="00362F5B">
        <w:rPr>
          <w:noProof/>
        </w:rPr>
        <w:t>, 1979)</w:t>
      </w:r>
      <w:r w:rsidR="006E60B2">
        <w:fldChar w:fldCharType="end"/>
      </w:r>
      <w:r w:rsidR="006E60B2">
        <w:t xml:space="preserve">. It has been suggested that many of the genes that provide resistance to common antibiotics including chloramphenicol also provide tolerance to environmental stress in non-pathogenic species </w:t>
      </w:r>
      <w:r w:rsidR="006E60B2">
        <w:fldChar w:fldCharType="begin" w:fldLock="1"/>
      </w:r>
      <w:r w:rsidR="006B3FC7">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rsidR="006E60B2">
        <w:fldChar w:fldCharType="separate"/>
      </w:r>
      <w:r w:rsidR="00362F5B" w:rsidRPr="00362F5B">
        <w:rPr>
          <w:noProof/>
        </w:rPr>
        <w:t xml:space="preserve">(Groh </w:t>
      </w:r>
      <w:r w:rsidR="00362F5B" w:rsidRPr="00362F5B">
        <w:rPr>
          <w:i/>
          <w:noProof/>
        </w:rPr>
        <w:t>et al.</w:t>
      </w:r>
      <w:r w:rsidR="00362F5B" w:rsidRPr="00362F5B">
        <w:rPr>
          <w:noProof/>
        </w:rPr>
        <w:t>, 2007)</w:t>
      </w:r>
      <w:r w:rsidR="006E60B2">
        <w:fldChar w:fldCharType="end"/>
      </w:r>
      <w:r w:rsidR="002E4A9F">
        <w:t>. Research has also found that exposure to</w:t>
      </w:r>
      <w:r w:rsidR="00C538A1">
        <w:t xml:space="preserve"> ROS from</w:t>
      </w:r>
      <w:r w:rsidR="002E4A9F">
        <w:t xml:space="preserve"> heavy metals, including copper, can co-select for </w:t>
      </w:r>
      <w:r w:rsidR="00C538A1">
        <w:t xml:space="preserve">chloramphenicol resistance </w:t>
      </w:r>
      <w:r w:rsidR="00C538A1">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rsidR="00C538A1">
        <w:fldChar w:fldCharType="separate"/>
      </w:r>
      <w:r w:rsidR="00362F5B" w:rsidRPr="00362F5B">
        <w:rPr>
          <w:noProof/>
        </w:rPr>
        <w:t xml:space="preserve">(Harrison </w:t>
      </w:r>
      <w:r w:rsidR="00362F5B" w:rsidRPr="00362F5B">
        <w:rPr>
          <w:i/>
          <w:noProof/>
        </w:rPr>
        <w:t>et al.</w:t>
      </w:r>
      <w:r w:rsidR="00362F5B" w:rsidRPr="00362F5B">
        <w:rPr>
          <w:noProof/>
        </w:rPr>
        <w:t>, 2009)</w:t>
      </w:r>
      <w:r w:rsidR="00C538A1">
        <w:fldChar w:fldCharType="end"/>
      </w:r>
      <w:r w:rsidR="00C538A1">
        <w:t>.</w:t>
      </w:r>
    </w:p>
    <w:p w14:paraId="5FC12EFE" w14:textId="3BEC60B4" w:rsidR="00C24BBA" w:rsidRDefault="00986469" w:rsidP="00986469">
      <w:pPr>
        <w:spacing w:line="240" w:lineRule="auto"/>
      </w:pPr>
      <w:r>
        <w:t>The second antibiotic of choice is amox</w:t>
      </w:r>
      <w:r w:rsidR="00303892">
        <w:t>i</w:t>
      </w:r>
      <w:r>
        <w:t>cillin</w:t>
      </w:r>
      <w:r w:rsidR="00303892">
        <w:t xml:space="preserve"> or amoxycillin</w:t>
      </w:r>
      <w:r>
        <w:t>,</w:t>
      </w:r>
      <w:r w:rsidR="00350A5E">
        <w:t xml:space="preserve"> a </w:t>
      </w:r>
      <w:r w:rsidR="00443A6A">
        <w:t xml:space="preserve">broad-spectrum antibacterial from the penicillin family that acts by interrupting bacterial wall synthesis, resulting in cell lysis </w:t>
      </w:r>
      <w:r w:rsidR="00443A6A">
        <w:fldChar w:fldCharType="begin" w:fldLock="1"/>
      </w:r>
      <w:r w:rsidR="006B3FC7">
        <w:instrText>ADDIN CSL_CITATION { "citationItems" : [ { "id" : "ITEM-1", "itemData" : { "URL" : "https://pubchem.ncbi.nlm.nih.gov/compound/amoxicillin#section=Top", "author" : [ { "dropping-particle" : "", "family" : "Pubchem", "given" : "", "non-dropping-particle" : "", "parse-names" : false, "suffix" : "" } ], "id" : "ITEM-1", "issued" : { "date-parts" : [ [ "2018" ] ] }, "title" : "Amoxicillin", "type" : "webpage" }, "uris" : [ "http://www.mendeley.com/documents/?uuid=8cb9a49e-a5b6-4595-8292-03710b1003a5" ] } ], "mendeley" : { "formattedCitation" : "(Pubchem, 2018)", "plainTextFormattedCitation" : "(Pubchem, 2018)", "previouslyFormattedCitation" : "(Pubchem, 2018)" }, "properties" : { "noteIndex" : 0 }, "schema" : "https://github.com/citation-style-language/schema/raw/master/csl-citation.json" }</w:instrText>
      </w:r>
      <w:r w:rsidR="00443A6A">
        <w:fldChar w:fldCharType="separate"/>
      </w:r>
      <w:r w:rsidR="00362F5B" w:rsidRPr="00362F5B">
        <w:rPr>
          <w:noProof/>
        </w:rPr>
        <w:t>(Pubchem, 2018)</w:t>
      </w:r>
      <w:r w:rsidR="00443A6A">
        <w:fldChar w:fldCharType="end"/>
      </w:r>
      <w:r w:rsidR="00443A6A">
        <w:t>.</w:t>
      </w:r>
      <w:r w:rsidR="00303892">
        <w:t xml:space="preserve"> Amoxicillin is a broad-spectrum antibiotic that is effective against </w:t>
      </w:r>
      <w:r w:rsidR="00303892" w:rsidRPr="00303892">
        <w:rPr>
          <w:i/>
        </w:rPr>
        <w:t>Streptococcus</w:t>
      </w:r>
      <w:r w:rsidR="00303892" w:rsidRPr="00303892">
        <w:t>,</w:t>
      </w:r>
      <w:r w:rsidR="00303892">
        <w:t xml:space="preserve"> some</w:t>
      </w:r>
      <w:r w:rsidR="00303892" w:rsidRPr="00303892">
        <w:t xml:space="preserve"> </w:t>
      </w:r>
      <w:r w:rsidR="00303892" w:rsidRPr="00303892">
        <w:rPr>
          <w:i/>
        </w:rPr>
        <w:t>Bacillus</w:t>
      </w:r>
      <w:r w:rsidR="00303892" w:rsidRPr="00303892">
        <w:t xml:space="preserve">, </w:t>
      </w:r>
      <w:r w:rsidR="00303892" w:rsidRPr="00303892">
        <w:rPr>
          <w:i/>
        </w:rPr>
        <w:t>Enterococcus</w:t>
      </w:r>
      <w:r w:rsidR="00303892" w:rsidRPr="00303892">
        <w:t xml:space="preserve">, </w:t>
      </w:r>
      <w:r w:rsidR="00303892" w:rsidRPr="00303892">
        <w:rPr>
          <w:i/>
        </w:rPr>
        <w:t>Haemophilus</w:t>
      </w:r>
      <w:r w:rsidR="00303892" w:rsidRPr="00303892">
        <w:t xml:space="preserve">, </w:t>
      </w:r>
      <w:r w:rsidR="00303892" w:rsidRPr="00303892">
        <w:rPr>
          <w:i/>
        </w:rPr>
        <w:t>Helicobacter</w:t>
      </w:r>
      <w:r w:rsidR="00303892" w:rsidRPr="00303892">
        <w:t xml:space="preserve">, </w:t>
      </w:r>
      <w:r w:rsidR="00303892">
        <w:t>but is resisted by</w:t>
      </w:r>
      <w:r w:rsidR="00303892" w:rsidRPr="00303892">
        <w:t xml:space="preserve"> </w:t>
      </w:r>
      <w:r w:rsidR="00303892" w:rsidRPr="00303892">
        <w:rPr>
          <w:i/>
        </w:rPr>
        <w:t>Citrobacter</w:t>
      </w:r>
      <w:r w:rsidR="00303892" w:rsidRPr="00303892">
        <w:t xml:space="preserve">, </w:t>
      </w:r>
      <w:r w:rsidR="00303892" w:rsidRPr="00303892">
        <w:rPr>
          <w:i/>
        </w:rPr>
        <w:t>Klebsiella</w:t>
      </w:r>
      <w:r w:rsidR="00303892" w:rsidRPr="00303892">
        <w:t xml:space="preserve"> and </w:t>
      </w:r>
      <w:r w:rsidR="00303892" w:rsidRPr="00303892">
        <w:rPr>
          <w:i/>
        </w:rPr>
        <w:t>P</w:t>
      </w:r>
      <w:r w:rsidR="00303892">
        <w:rPr>
          <w:i/>
        </w:rPr>
        <w:t>.</w:t>
      </w:r>
      <w:r w:rsidR="00303892" w:rsidRPr="00303892">
        <w:t xml:space="preserve"> </w:t>
      </w:r>
      <w:r w:rsidR="00303892" w:rsidRPr="00303892">
        <w:rPr>
          <w:i/>
        </w:rPr>
        <w:t>aeruginosa</w:t>
      </w:r>
      <w:r w:rsidR="0004655E">
        <w:rPr>
          <w:i/>
        </w:rPr>
        <w:t xml:space="preserve"> </w:t>
      </w:r>
      <w:r w:rsidR="0004655E">
        <w:rPr>
          <w:i/>
        </w:rPr>
        <w:fldChar w:fldCharType="begin" w:fldLock="1"/>
      </w:r>
      <w:r w:rsidR="006B3FC7">
        <w:rPr>
          <w:i/>
        </w:rPr>
        <w:instrText>ADDIN CSL_CITATION { "citationItems" : [ { "id" : "ITEM-1", "itemData" : { "URL" : "http://antibiotics.toku-e.com/antimicrobial_326.html", "accessed" : { "date-parts" : [ [ "2018", "6", "23" ] ] }, "author" : [ { "dropping-particle" : "", "family" : "Toku-E", "given" : "", "non-dropping-particle" : "", "parse-names" : false, "suffix" : "" } ], "container-title" : "KnowledgeBase", "id" : "ITEM-1", "issued" : { "date-parts" : [ [ "2018" ] ] }, "title" : "Amoxicillin (Novamox, Amoxil)", "type" : "webpage" }, "uris" : [ "http://www.mendeley.com/documents/?uuid=e1d93926-b24e-48bd-9846-fb5b9e424dda" ] } ], "mendeley" : { "formattedCitation" : "(Toku-E, 2018a)", "plainTextFormattedCitation" : "(Toku-E, 2018a)", "previouslyFormattedCitation" : "(Toku-E, 2018a)" }, "properties" : { "noteIndex" : 0 }, "schema" : "https://github.com/citation-style-language/schema/raw/master/csl-citation.json" }</w:instrText>
      </w:r>
      <w:r w:rsidR="0004655E">
        <w:rPr>
          <w:i/>
        </w:rPr>
        <w:fldChar w:fldCharType="separate"/>
      </w:r>
      <w:r w:rsidR="00362F5B" w:rsidRPr="00362F5B">
        <w:rPr>
          <w:noProof/>
        </w:rPr>
        <w:t>(Toku-E, 2018a)</w:t>
      </w:r>
      <w:r w:rsidR="0004655E">
        <w:rPr>
          <w:i/>
        </w:rPr>
        <w:fldChar w:fldCharType="end"/>
      </w:r>
      <w:r w:rsidR="00303892">
        <w:t>.</w:t>
      </w:r>
      <w:r w:rsidR="0004655E">
        <w:t xml:space="preserve"> Resistance to amoxicillin is widespread in both pathogens and the environment due to amoxicillin’s long life of use – since 1972 – </w:t>
      </w:r>
      <w:r w:rsidR="00962F39">
        <w:t xml:space="preserve">in medical and veterinary applications </w:t>
      </w:r>
      <w:r w:rsidR="00962F39">
        <w:fldChar w:fldCharType="begin" w:fldLock="1"/>
      </w:r>
      <w:r w:rsidR="006B3FC7">
        <w:instrText>ADDIN CSL_CITATION { "citationItems" : [ { "id" : "ITEM-1", "itemData" : { "DOI" : "10.1016/j.scitotenv.2008.01.011", "author" : [ { "dropping-particle" : "", "family" : "Palmer", "given" : "Patrick M", "non-dropping-particle" : "", "parse-names" : false, "suffix" : "" }, { "dropping-particle" : "", "family" : "Wilson", "given" : "Lloyd R", "non-dropping-particle" : "", "parse-names" : false, "suffix" : "" }, { "dropping-particle" : "", "family" : "Keefe", "given" : "Patrick O", "non-dropping-particle" : "", "parse-names" : false, "suffix" : "" }, { "dropping-particle" : "", "family" : "Sheridan", "given" : "Robert", "non-dropping-particle" : "", "parse-names" : false, "suffix" : "" }, { "dropping-particle" : "", "family" : "King", "given" : "Thomas", "non-dropping-particle" : "", "parse-names" : false, "suffix" : "" }, { "dropping-particle" : "", "family" : "Chen", "given" : "Chia-yang", "non-dropping-particle" : "", "parse-names" : false, "suffix" : "" } ], "id" : "ITEM-1", "issued" : { "date-parts" : [ [ "2008" ] ] }, "title" : "Sources of pharmaceutical pollution in the New York City Watershed", "type" : "article-journal", "volume" : "4" }, "uris" : [ "http://www.mendeley.com/documents/?uuid=f80b3c4c-37a6-406a-90b8-6dcd7322fe7c" ] }, { "id" : "ITEM-2", "itemData" : { "DOI" : "10.1016/S0378-4274(03)00067-5", "ISBN" : "0378-4274", "ISSN" : "03784274", "PMID" : "12691714", "abstract" : "A wide range of veterinary medicines is used to treat animals in the UK. Whilst the environmental impact of selected substances (particulary the sheep dip chemicals, anthelmintics and fish farm chemicals) has been well studied, limited information is available in the public domain on the other groups of substances (e.g. antifungals, coccidiostats, antiprotozoals, hormones and growth promoters). There is therefore a need to identify other substances that may impact the environment in order to design national monitoring programmes, target experimental work and develop pollution prevention methodologies. In this study, a simple two-stage prioritisation scheme was developed and applied to veterinary medicines in use in the UK. In the first stage, those substances that have high potential to enter the environment in significant amounts were identified on the basis of amounts used in the UK, treatment type and metabolism. In stage 2, the hazard of the identified substances to terrestrial and aquatic organisms was assessed. Using the approach, a total of 56 substances or groups were assigned to a 'high priority' category. For eleven of these substances, sufficient data were available to characterise their risk, these were: oxytetracycline, chlortetracycline, tetracycline, sulphadiazine, amoxicillin, diazinon, tylosin, dihydrostreptomycin, apramycin, cypermethrin and sarafloxicin. For the remaining 45 substances, full datasets were not available and it is recommended that in the first instance, attempts are made to fill these data gaps. \u00a9 2003 Elsevier Science Ireland Ltd. All rights reserved.", "author" : [ { "dropping-particle" : "", "family" : "Boxall", "given" : "Alistair B.A.", "non-dropping-particle" : "", "parse-names" : false, "suffix" : "" }, { "dropping-particle" : "", "family" : "Fogg", "given" : "Lindsay A", "non-dropping-particle" : "", "parse-names" : false, "suffix" : "" }, { "dropping-particle" : "", "family" : "Kay", "given" : "Paul", "non-dropping-particle" : "", "parse-names" : false, "suffix" : "" }, { "dropping-particle" : "", "family" : "Blackwell", "given" : "Paul A.", "non-dropping-particle" : "", "parse-names" : false, "suffix" : "" }, { "dropping-particle" : "", "family" : "Pemberton", "given" : "Emma J", "non-dropping-particle" : "", "parse-names" : false, "suffix" : "" }, { "dropping-particle" : "", "family" : "Croxford", "given" : "Andy", "non-dropping-particle" : "", "parse-names" : false, "suffix" : "" } ], "container-title" : "Toxicology Letters", "id" : "ITEM-2", "issue" : "3", "issued" : { "date-parts" : [ [ "2003" ] ] }, "page" : "207-218", "title" : "Prioritisation of veterinary medicines in the UK environment", "type" : "article-journal", "volume" : "142" }, "uris" : [ "http://www.mendeley.com/documents/?uuid=fc276f6d-2c0e-4b4e-980a-e2b90865f171" ] } ], "mendeley" : { "formattedCitation" : "(Boxall &lt;i&gt;et al.&lt;/i&gt;, 2003; Palmer &lt;i&gt;et al.&lt;/i&gt;, 2008)", "plainTextFormattedCitation" : "(Boxall et al., 2003; Palmer et al., 2008)", "previouslyFormattedCitation" : "(Boxall &lt;i&gt;et al.&lt;/i&gt;, 2003; Palmer &lt;i&gt;et al.&lt;/i&gt;, 2008)" }, "properties" : { "noteIndex" : 0 }, "schema" : "https://github.com/citation-style-language/schema/raw/master/csl-citation.json" }</w:instrText>
      </w:r>
      <w:r w:rsidR="00962F39">
        <w:fldChar w:fldCharType="separate"/>
      </w:r>
      <w:r w:rsidR="00362F5B" w:rsidRPr="00362F5B">
        <w:rPr>
          <w:noProof/>
        </w:rPr>
        <w:t xml:space="preserve">(Boxall </w:t>
      </w:r>
      <w:r w:rsidR="00362F5B" w:rsidRPr="00362F5B">
        <w:rPr>
          <w:i/>
          <w:noProof/>
        </w:rPr>
        <w:t>et al.</w:t>
      </w:r>
      <w:r w:rsidR="00362F5B" w:rsidRPr="00362F5B">
        <w:rPr>
          <w:noProof/>
        </w:rPr>
        <w:t xml:space="preserve">, 2003; Palmer </w:t>
      </w:r>
      <w:r w:rsidR="00362F5B" w:rsidRPr="00362F5B">
        <w:rPr>
          <w:i/>
          <w:noProof/>
        </w:rPr>
        <w:t>et al.</w:t>
      </w:r>
      <w:r w:rsidR="00362F5B" w:rsidRPr="00362F5B">
        <w:rPr>
          <w:noProof/>
        </w:rPr>
        <w:t>, 2008)</w:t>
      </w:r>
      <w:r w:rsidR="00962F39">
        <w:fldChar w:fldCharType="end"/>
      </w:r>
      <w:r w:rsidR="00962F39">
        <w:t xml:space="preserve">. </w:t>
      </w:r>
      <w:r w:rsidR="001C573F">
        <w:t>This resistance is most commonly effected through the synthesis of beta-lactamase, an enzyme that breaks down penicillin-family antibiotics, but can in other cases arise from active efflux</w:t>
      </w:r>
      <w:r w:rsidR="00256C37">
        <w:t xml:space="preserve">. </w:t>
      </w:r>
      <w:r w:rsidR="003A7F2C">
        <w:t xml:space="preserve">Initial </w:t>
      </w:r>
      <w:r w:rsidR="003A7F2C" w:rsidRPr="003A7F2C">
        <w:rPr>
          <w:i/>
        </w:rPr>
        <w:t>in-vitro</w:t>
      </w:r>
      <w:r w:rsidR="003A7F2C">
        <w:t xml:space="preserve"> evidence suggests that in the human body amoxicillin and chloramphenicol may interfere, reducing their effectiveness </w:t>
      </w:r>
      <w:r w:rsidR="003A7F2C">
        <w:fldChar w:fldCharType="begin" w:fldLock="1"/>
      </w:r>
      <w:r w:rsidR="006B3FC7">
        <w:instrText>ADDIN CSL_CITATION { "citationItems" : [ { "id" : "ITEM-1", "itemData" : { "DOI" : "10.1016/j.jtusci.2015.11.005", "ISSN" : "1658-3655", "author" : [ { "dropping-particle" : "", "family" : "Nasir", "given" : "Mohammad", "non-dropping-particle" : "", "parse-names" : false, "suffix" : "" }, { "dropping-particle" : "", "family" : "Das", "given" : "Suman", "non-dropping-particle" : "", "parse-names" : false, "suffix" : "" }, { "dropping-particle" : "", "family" : "Hasan", "given" : "Shakhawat", "non-dropping-particle" : "", "parse-names" : false, "suffix" : "" } ], "container-title" : "Integrative Medicine Research", "id" : "ITEM-1", "issue" : "5", "issued" : { "date-parts" : [ [ "2016" ] ] }, "page" : "755-765", "publisher" : "Taibah University", "title" : "Simultaneous determination of amoxicillin and chloramphenicol and their drug interaction study by the validated UPLC method", "type" : "article-journal", "volume" : "10" }, "uris" : [ "http://www.mendeley.com/documents/?uuid=1be436ee-d549-4a25-bcb2-c831bc11b01d" ] } ], "mendeley" : { "formattedCitation" : "(Nasir, Das and Hasan, 2016)", "plainTextFormattedCitation" : "(Nasir, Das and Hasan, 2016)", "previouslyFormattedCitation" : "(Nasir, Das and Hasan, 2016)" }, "properties" : { "noteIndex" : 0 }, "schema" : "https://github.com/citation-style-language/schema/raw/master/csl-citation.json" }</w:instrText>
      </w:r>
      <w:r w:rsidR="003A7F2C">
        <w:fldChar w:fldCharType="separate"/>
      </w:r>
      <w:r w:rsidR="00362F5B" w:rsidRPr="00362F5B">
        <w:rPr>
          <w:noProof/>
        </w:rPr>
        <w:t>(Nasir, Das and Hasan, 2016)</w:t>
      </w:r>
      <w:r w:rsidR="003A7F2C">
        <w:fldChar w:fldCharType="end"/>
      </w:r>
      <w:r w:rsidR="003A7F2C">
        <w:t xml:space="preserve">, although </w:t>
      </w:r>
      <w:r w:rsidR="00777EA7">
        <w:fldChar w:fldCharType="begin" w:fldLock="1"/>
      </w:r>
      <w:r w:rsidR="006B3FC7">
        <w:instrText>ADDIN CSL_CITATION { "citationItems" : [ { "id" : "ITEM-1", "itemData" : { "DOI" : "10.18388/abp.2016_1495", "ISSN" : "1734154X", "PMID" : "29202138", "abstract" : "With the emergence of multidrug-resistant organisms in an era when drug development faces challenges causing pharmaceutical companies to curtail or abandon research on anti-infective agents, the use of combined existing antimicrobial agents may be an alternative. This study evaluated the effects of combining amoxicillin and chloramphenicol, to which many bacteria have become resistant, in vitro against Gram positive and Gram negative bacteria by agar diffusion, checkerboard and time-kill assays. The test isolates were susceptible to amoxicillin with minimum inhibitory concentrations (MICs) ranging between 0.448 and 500 microg/ml and between 1.953 and 31.25 microg/ml for chloramphenicol. Upon combining these agents, there was a drastic reduction in their MICs indicating an increased antibacterial activity that showed synergistic interaction against all the bacteria. At the highest concentrations, the inhibition zones ranges were 20.33-38.33+/-0.58 microg/ml for amoxicillin, 27.67-37.67+/-0.58 microg/ml for chloramphenicol and 31.67-39.33+/-0.58 microg/ml for the combined agents. The fractional inhibitory concentration indices (FICIs) showed synergy ranging from 0.129 to 0.312 while FICIs for additive interaction were between 0.688 and 1.0. There was no antagonistic interaction. At the (1)/2MICs of the combined antibiotics, all the tested bacteria, except for Klebsiella pneumoniae ATCC 4352, Proteus vulgaris CSIR 0030 and Enterococcus cloacae ATCC 13047 were eliminated before 24 h. At the MICs, all the tested bacteria were eliminated except Enterococcus cloacae ATCC 13047 which was almost totally eliminated. Post-antibiotic assessment after 48 h showed that all the cultures were sterile except for that of Enterococcus cloacae ATCC 13047. The lack of antagonism between these antibacterial agents in checkerboard and time-kill assays suggested that combining amoxicillin with chloramphenicol can provide an improved therapy in comparison to the use of each antibiotic individually. The study indicates the potential beneficial value of combining amoxicillin and chloramphenicol in the treatment of microbial infections in clinical settings.", "author" : [ { "dropping-particle" : "", "family" : "Olajuyigbe", "given" : "Olufunmiso O", "non-dropping-particle" : "", "parse-names" : false, "suffix" : "" }, { "dropping-particle" : "", "family" : "Coopoosamy", "given" : "Roger M", "non-dropping-particle" : "", "parse-names" : false, "suffix" : "" }, { "dropping-particle" : "", "family" : "Afolayan", "given" : "Anthony J", "non-dropping-particle" : "", "parse-names" : false, "suffix" : "" } ], "container-title" : "Acta Biochimica Polonica", "id" : "ITEM-1", "issue" : "4", "issued" : { "date-parts" : [ [ "2017" ] ] }, "page" : "609-613", "title" : "Effects and time-kill assessment of amoxicillin used in combination with chloramphenicol against bacteria of clinical importance", "type" : "article-journal", "volume" : "64" }, "uris" : [ "http://www.mendeley.com/documents/?uuid=3400d012-d4f7-4f8a-a2a9-cb99f4396251" ] } ], "mendeley" : { "formattedCitation" : "(Olajuyigbe, Coopoosamy and Afolayan, 2017)", "manualFormatting" : "Olajuyigbe, Coopoosamy and Afolayan (2007) ", "plainTextFormattedCitation" : "(Olajuyigbe, Coopoosamy and Afolayan, 2017)", "previouslyFormattedCitation" : "(Olajuyigbe, Coopoosamy and Afolayan, 2017)" }, "properties" : { "noteIndex" : 0 }, "schema" : "https://github.com/citation-style-language/schema/raw/master/csl-citation.json" }</w:instrText>
      </w:r>
      <w:r w:rsidR="00777EA7">
        <w:fldChar w:fldCharType="separate"/>
      </w:r>
      <w:r w:rsidR="00777EA7" w:rsidRPr="00777EA7">
        <w:rPr>
          <w:noProof/>
        </w:rPr>
        <w:t>Olajuyigbe, Coopoosamy and Afolayan</w:t>
      </w:r>
      <w:r w:rsidR="00D059FB">
        <w:rPr>
          <w:noProof/>
        </w:rPr>
        <w:t xml:space="preserve"> (2007)</w:t>
      </w:r>
      <w:r w:rsidR="00777EA7">
        <w:rPr>
          <w:noProof/>
        </w:rPr>
        <w:t xml:space="preserve"> </w:t>
      </w:r>
      <w:r w:rsidR="00777EA7">
        <w:fldChar w:fldCharType="end"/>
      </w:r>
      <w:r w:rsidR="00777EA7">
        <w:t>showed some additive but largely synergistic effects between the two across a diverse panel of bacteria</w:t>
      </w:r>
      <w:r w:rsidR="00D059FB">
        <w:t>.</w:t>
      </w:r>
    </w:p>
    <w:p w14:paraId="2AE6B664" w14:textId="1905C67A" w:rsidR="0056346D" w:rsidRDefault="00DE76D7" w:rsidP="00986469">
      <w:pPr>
        <w:spacing w:line="240" w:lineRule="auto"/>
        <w:rPr>
          <w:i/>
        </w:rPr>
      </w:pPr>
      <w:r>
        <w:rPr>
          <w:i/>
        </w:rPr>
        <w:t xml:space="preserve">Chemical </w:t>
      </w:r>
      <w:r w:rsidR="0056346D">
        <w:rPr>
          <w:i/>
        </w:rPr>
        <w:t>Pesticides</w:t>
      </w:r>
    </w:p>
    <w:p w14:paraId="5F29DFFC" w14:textId="7CD7D658" w:rsidR="003A726B" w:rsidRDefault="00DE76D7" w:rsidP="00986469">
      <w:pPr>
        <w:spacing w:line="240" w:lineRule="auto"/>
      </w:pPr>
      <w:r>
        <w:t xml:space="preserve">Covering a broad range of biocidal agents designed or selected to target undesired pest species, </w:t>
      </w:r>
      <w:r w:rsidR="003A726B">
        <w:t>pesticides have retained significant non-target effects despite advances in selectivity.</w:t>
      </w:r>
      <w:r w:rsidR="006F511C">
        <w:t xml:space="preserve"> While many more indiscriminate pesticides have been banned </w:t>
      </w:r>
      <w:r w:rsidR="0045021F">
        <w:fldChar w:fldCharType="begin" w:fldLock="1"/>
      </w:r>
      <w:r w:rsidR="006B3FC7">
        <w:instrText>ADDIN CSL_CITATION { "citationItems" : [ { "id" : "ITEM-1", "itemData" : { "URL" : "https://www.epa.gov/ingredients-used-pesticide-products/ddt-brief-history-and-status", "accessed" : { "date-parts" : [ [ "2018", "6", "24" ] ] }, "author" : [ { "dropping-particle" : "", "family" : "EPA", "given" : "", "non-dropping-particle" : "", "parse-names" : false, "suffix" : "" } ], "id" : "ITEM-1", "issued" : { "date-parts" : [ [ "2017" ] ] }, "title" : "DDT - A Brief History and Status", "type" : "webpage" }, "uris" : [ "http://www.mendeley.com/documents/?uuid=6f5da392-6a69-41b0-8eb5-e905f0d3244e" ] } ], "mendeley" : { "formattedCitation" : "(EPA, 2017)", "plainTextFormattedCitation" : "(EPA, 2017)", "previouslyFormattedCitation" : "(EPA, 2017)" }, "properties" : { "noteIndex" : 0 }, "schema" : "https://github.com/citation-style-language/schema/raw/master/csl-citation.json" }</w:instrText>
      </w:r>
      <w:r w:rsidR="0045021F">
        <w:fldChar w:fldCharType="separate"/>
      </w:r>
      <w:r w:rsidR="00362F5B" w:rsidRPr="00362F5B">
        <w:rPr>
          <w:noProof/>
        </w:rPr>
        <w:t>(EPA, 2017)</w:t>
      </w:r>
      <w:r w:rsidR="0045021F">
        <w:fldChar w:fldCharType="end"/>
      </w:r>
      <w:r w:rsidR="0045021F">
        <w:t xml:space="preserve">, </w:t>
      </w:r>
      <w:r>
        <w:t xml:space="preserve">many pesticides still in use today have been shown to have non-target effects on aquatic </w:t>
      </w:r>
      <w:r>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fldChar w:fldCharType="separate"/>
      </w:r>
      <w:r w:rsidR="00362F5B" w:rsidRPr="00362F5B">
        <w:rPr>
          <w:noProof/>
        </w:rPr>
        <w:t xml:space="preserve">(Harrison </w:t>
      </w:r>
      <w:r w:rsidR="00362F5B" w:rsidRPr="00362F5B">
        <w:rPr>
          <w:i/>
          <w:noProof/>
        </w:rPr>
        <w:t>et al.</w:t>
      </w:r>
      <w:r w:rsidR="00362F5B" w:rsidRPr="00362F5B">
        <w:rPr>
          <w:noProof/>
        </w:rPr>
        <w:t>, 2009)</w:t>
      </w:r>
      <w:r>
        <w:fldChar w:fldCharType="end"/>
      </w:r>
      <w:r>
        <w:t xml:space="preserve"> and soil bacteria </w:t>
      </w:r>
      <w:r>
        <w:fldChar w:fldCharType="begin" w:fldLock="1"/>
      </w:r>
      <w:r w:rsidR="006B3FC7">
        <w:instrText>ADDIN CSL_CITATION { "citationItems" : [ { "id" : "ITEM-1", "itemData" : { "DOI" : "10.1016/j.ejsobi.2011.11.010", "ISBN" : "1164-5563", "ISSN" : "11645563", "abstract" : "Extensive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\u00a9 2011 Elsevier Masson SAS.", "author" : [ { "dropping-particle" : "", "family" : "Imfeld", "given" : "Gwena\u00ebl", "non-dropping-particle" : "", "parse-names" : false, "suffix" : "" }, { "dropping-particle" : "", "family" : "Vuilleumier", "given" : "St\u00e9phane", "non-dropping-particle" : "", "parse-names" : false, "suffix" : "" } ], "container-title" : "European Journal of Soil Biology", "id" : "ITEM-1", "issued" : { "date-parts" : [ [ "2012" ] ] }, "page" : "22-30", "publisher" : "Elsevier Masson SAS", "title" : "Measuring the effects of pesticides on bacterial communities in soil: A critical review", "type" : "article-journal", "volume" : "49" }, "uris" : [ "http://www.mendeley.com/documents/?uuid=f6493a69-5b92-41ac-a3f3-8faba9f68218" ] } ], "mendeley" : { "formattedCitation" : "(Imfeld and Vuilleumier, 2012)", "plainTextFormattedCitation" : "(Imfeld and Vuilleumier, 2012)", "previouslyFormattedCitation" : "(Imfeld and Vuilleumier, 2012)" }, "properties" : { "noteIndex" : 0 }, "schema" : "https://github.com/citation-style-language/schema/raw/master/csl-citation.json" }</w:instrText>
      </w:r>
      <w:r>
        <w:fldChar w:fldCharType="separate"/>
      </w:r>
      <w:r w:rsidR="00362F5B" w:rsidRPr="00362F5B">
        <w:rPr>
          <w:noProof/>
        </w:rPr>
        <w:t>(Imfeld and Vuilleumier, 2012)</w:t>
      </w:r>
      <w:r>
        <w:fldChar w:fldCharType="end"/>
      </w:r>
      <w:r>
        <w:t>.</w:t>
      </w:r>
    </w:p>
    <w:p w14:paraId="4091A365" w14:textId="1045F3CE" w:rsidR="007B1AB2" w:rsidRDefault="0015716C" w:rsidP="00986469">
      <w:pPr>
        <w:spacing w:line="240" w:lineRule="auto"/>
      </w:pPr>
      <w:r>
        <w:t>Two of the most environmentally prevalent and well-studied pesticides were selected:</w:t>
      </w:r>
      <w:r w:rsidR="00C13503">
        <w:t xml:space="preserve"> Atrazine, a triazine herbicide</w:t>
      </w:r>
      <w:r w:rsidR="0048655D">
        <w:t>, has been banned in the EU since 200</w:t>
      </w:r>
      <w:r w:rsidR="00362F5B">
        <w:t xml:space="preserve">4 </w:t>
      </w:r>
      <w:r w:rsidR="00362F5B">
        <w:fldChar w:fldCharType="begin" w:fldLock="1"/>
      </w:r>
      <w:r w:rsidR="006B3FC7">
        <w:instrText>ADDIN CSL_CITATION { "citationItems" : [ { "id" : "ITEM-1", "itemData" : { "abstract" : "2004/248/EC: Commission Decision of 10 March 2004 concerning the non-inclusion of atrazine in Annex I to Council Directive 91/414/EEC and the withdrawal of authorisations for plant protection products containing this active substance (Text with EEA relevance) (notified under document number C(2004) 731)", "author" : [ { "dropping-particle" : "", "family" : "EU", "given" : "", "non-dropping-particle" : "", "parse-names" : false, "suffix" : "" } ], "container-title" : "Official Journal of the European Union", "id" : "ITEM-1", "issue" : "L78", "issued" : { "date-parts" : [ [ "2004" ] ] }, "page" : "53-55", "title" : "Commission Decision of 10 March 2004 concerning the non-inclusion of atrazine in Annex I to Council Directive 91/414/EEC and the withdrawal of authorisations for plant protection products containing this active substance", "type" : "legal_case", "volume" : "47" }, "uris" : [ "http://www.mendeley.com/documents/?uuid=b010f4ef-6ac9-4e33-81d5-b1da88b8d48e" ] } ], "mendeley" : { "formattedCitation" : "(EU, 2004)", "plainTextFormattedCitation" : "(EU, 2004)", "previouslyFormattedCitation" : "(EU, 2004)" }, "properties" : { "noteIndex" : 0 }, "schema" : "https://github.com/citation-style-language/schema/raw/master/csl-citation.json" }</w:instrText>
      </w:r>
      <w:r w:rsidR="00362F5B">
        <w:fldChar w:fldCharType="separate"/>
      </w:r>
      <w:r w:rsidR="00362F5B" w:rsidRPr="00362F5B">
        <w:rPr>
          <w:noProof/>
        </w:rPr>
        <w:t>(EU, 2004)</w:t>
      </w:r>
      <w:r w:rsidR="00362F5B">
        <w:fldChar w:fldCharType="end"/>
      </w:r>
      <w:r w:rsidR="00362F5B">
        <w:t xml:space="preserve">, but has remained the most commonly used </w:t>
      </w:r>
      <w:r w:rsidR="006B3FC7">
        <w:t>herbicide</w:t>
      </w:r>
      <w:r w:rsidR="00362F5B">
        <w:t xml:space="preserve"> in the US</w:t>
      </w:r>
      <w:r w:rsidR="006B3FC7">
        <w:t xml:space="preserve">, where over 42 million kg were used in 2016 </w:t>
      </w:r>
      <w:r w:rsidR="006B3FC7">
        <w:fldChar w:fldCharType="begin" w:fldLock="1"/>
      </w:r>
      <w:r w:rsidR="009A6057">
        <w:instrText>ADDIN CSL_CITATION { "citationItems" : [ { "id" : "ITEM-1", "itemData" : { "URL" : "https://water.usgs.gov/nawqa/pnsp/usage/maps/county-level/PreliminaryEstimateNOCa/2016PreliminaryEstimatesNoCA.zip", "author" : [ { "dropping-particle" : "", "family" : "USGS", "given" : "", "non-dropping-particle" : "", "parse-names" : false, "suffix" : "" } ], "container-title" : "Estimated Annual Agricultural Pesticide Use", "id" : "ITEM-1", "issued" : { "date-parts" : [ [ "2017" ] ] }, "title" : "Preliminary pesticide use estimates without California data", "type" : "webpage" }, "uris" : [ "http://www.mendeley.com/documents/?uuid=e0c963e4-b03e-4be2-a7a7-00b080f22659" ] } ], "mendeley" : { "formattedCitation" : "(USGS, 2017)", "plainTextFormattedCitation" : "(USGS, 2017)", "previouslyFormattedCitation" : "(USGS, 2017)" }, "properties" : { "noteIndex" : 0 }, "schema" : "https://github.com/citation-style-language/schema/raw/master/csl-citation.json" }</w:instrText>
      </w:r>
      <w:r w:rsidR="006B3FC7">
        <w:fldChar w:fldCharType="separate"/>
      </w:r>
      <w:r w:rsidR="006B3FC7" w:rsidRPr="006B3FC7">
        <w:rPr>
          <w:noProof/>
        </w:rPr>
        <w:t>(USGS, 2017)</w:t>
      </w:r>
      <w:r w:rsidR="006B3FC7">
        <w:fldChar w:fldCharType="end"/>
      </w:r>
      <w:r w:rsidR="009A6057">
        <w:t xml:space="preserve">. Atrazine, which acts on plants by disrupting photosynthesis </w:t>
      </w:r>
      <w:r w:rsidR="009A6057">
        <w:fldChar w:fldCharType="begin" w:fldLock="1"/>
      </w:r>
      <w:r w:rsidR="001E61B9">
        <w:instrText>ADDIN CSL_CITATION { "citationItems" : [ { "id" : "ITEM-1", "itemData" : { "DOI" : "10.1021/jf60162a044", "ISSN" : "15205118", "abstract" : "The primary atrazine-sensitive site seems to be located within the chloroplast for resistant as well as susceptible plants. Atrazine inhibits the Hill reaction and its associated noncyclic photophos-phorylation, while being ineffective against cyclic photophosphorylation. N-Dealkylation causes a decrease in the inhibitory activity of atrazine, but the same reactions mentioned above were inhib-ited despite the change in molecular structure. Atrazine readily penetrates the chloroplasts of resistant as well as susceptible plants and seems to accumulate there until an equilibrium concen-tration is attained between the chloroplasts and the cytoplasm. In resistant plants such as sorghum, metabolism of atrazine very likely occurs outside the chloroplasts to form water-soluble compounds and insoluble residue, reduces the concentration of the photosynthetic inhibitor in the chloroplasts, and results in a recovery of photosynthesis. Changes in solubility of the parent atrazine, caused by its metabolism, may be of great sig-nificance in the tolerance of plants to the herbicide. he chemical and biological properties of substituted s-triazines have been discussed by Gysin and Kniisli (1960). Two substituted s-chlorotriazines widely used as selective herbicides in fields of corn and sorghum, 2-chloro-4-ethylamino-6-isopropylamino-s-tri-azine (atrazine) and 2-chloro-4,6-bis(ethylamino) -s-triazine (simazine), seem to affect higher plants in a similar manner. Their high biological activity against a wide spectrum of plants has made atrazine and simazine useful as selective herbicides. Selectivity seems to depend on the extent to which a herbicide remains in its toxic form in the plant. Therefore. the persistence and effectiveness of kill may be directly influenced by the metabolism and detoxica-tion of the herbicide in an intact plant. Metabolism and detoxication of atrazine occur in two possible ways in higher plants (Shimabukuro, 1967a). Dechlorination of atrazine and simazine in corn by the conversion of the s-chlorotriazines to their 2-hydroxy derivatives (hydroxyatrazine and hydroxysimazine) is an important detoxication mechanism (Castelfranco et al., 1961 ; Gysin and Knusli, 1960; Hamilton and Moreland, 1962; Roth, 1957). This reaction seems to be catalyzed non-enzymatically by a cyclic hydroxamate,", "author" : [ { "dropping-particle" : "", "family" : "Shimabukuro", "given" : "Richard H.", "non-dropping-particle" : "", "parse-names" : false, "suffix" : "" }, { "dropping-particle" : "", "family" : "Swanson", "given" : "Harley R.", "non-dropping-particle" : "", "parse-names" : false, "suffix" : "" } ], "container-title" : "Journal of Agricultural and Food Chemistry", "id" : "ITEM-1", "issue" : "2", "issued" : { "date-parts" : [ [ "1969" ] ] }, "page" : "199-205", "title" : "Atrazine metabolism, selectivity, and mode of action", "type" : "article-journal", "volume" : "17" }, "uris" : [ "http://www.mendeley.com/documents/?uuid=28a947f4-c88e-45eb-866d-db0cccef5584" ] } ], "mendeley" : { "formattedCitation" : "(Shimabukuro and Swanson, 1969)", "plainTextFormattedCitation" : "(Shimabukuro and Swanson, 1969)", "previouslyFormattedCitation" : "(Shimabukuro and Swanson, 1969)" }, "properties" : { "noteIndex" : 0 }, "schema" : "https://github.com/citation-style-language/schema/raw/master/csl-citation.json" }</w:instrText>
      </w:r>
      <w:r w:rsidR="009A6057">
        <w:fldChar w:fldCharType="separate"/>
      </w:r>
      <w:r w:rsidR="009A6057" w:rsidRPr="009A6057">
        <w:rPr>
          <w:noProof/>
        </w:rPr>
        <w:t>(Shimabukuro and Swanson, 1969)</w:t>
      </w:r>
      <w:r w:rsidR="009A6057">
        <w:fldChar w:fldCharType="end"/>
      </w:r>
      <w:r w:rsidR="009A6057">
        <w:t xml:space="preserve"> has been shown to be both a food source </w:t>
      </w:r>
      <w:r w:rsidR="001E61B9">
        <w:fldChar w:fldCharType="begin" w:fldLock="1"/>
      </w:r>
      <w:r w:rsidR="001E61B9">
        <w:instrText>ADDIN CSL_CITATION { "citationItems" : [ { "id" : "ITEM-1", "itemData" : { "DOI" : "10.1007/s00253-001-0862-y", "ISBN" : "0175-7598", "ISSN" : "01757598", "PMID" : "11831474", "abstract" : "s-Triazine ring compounds are common industrial chemicals: pesticides, resin intermediates, dyes, and explosives. The fate of these compounds in the environment is directly correlated with the ability of microbes to metabolize them. Microbes metabolize melamine and the triazine herbicides such as atrazine via enzyme-catalyzed hydrolysis reactions. Hydrolytic removal of substituents on the s-triazine ring is catalyzed by enzymes from the amidohydrolase superfamily and yields cyanuric acid as an intermediate. Cyanuric acid is hydrolytically processed to yield 3 mol each of ammonia and carbon dioxide. In those cases studied, the genes underlying the hydrolytic reactions are localized to large catabolic plasmids. One such plasmid, pADP-1 from Pseudomonas sp. ADP, has been completely sequenced and contains the genes for atrazine catabolism. Insertion sequence elements play a role in constructing different atrazine catabolic plasmids in different bacteria. Atrazine chlorohydrolase has been purified to homogeneity from two sources. Recombinant Escherichia coli strains expressing atrazine chlorohydrolase have been constructed and chemically cross-linked to generate catalytic particles used for atrazine remediation in soil. The method was used for cleaning up a spill of 1,000 pounds of atrazine to attain a level of herbicide acceptable to regulatory agencies.", "author" : [ { "dropping-particle" : "", "family" : "Wackett", "given" : "L.", "non-dropping-particle" : "", "parse-names" : false, "suffix" : "" }, { "dropping-particle" : "", "family" : "Sadowsky", "given" : "M.", "non-dropping-particle" : "", "parse-names" : false, "suffix" : "" }, { "dropping-particle" : "", "family" : "Martinez", "given" : "B.", "non-dropping-particle" : "", "parse-names" : false, "suffix" : "" }, { "dropping-particle" : "", "family" : "Shapir", "given" : "N.", "non-dropping-particle" : "", "parse-names" : false, "suffix" : "" } ], "container-title" : "Applied Microbiology and Biotechnology", "id" : "ITEM-1", "issue" : "1", "issued" : { "date-parts" : [ [ "2002" ] ] }, "page" : "39-45", "title" : "Biodegradation of atrazine and related s-triazine compounds: From enzymes to field studies", "type" : "article-journal", "volume" : "58" }, "uris" : [ "http://www.mendeley.com/documents/?uuid=2dded1a8-ac92-4ee1-886c-88051e30bb44" ] } ], "mendeley" : { "formattedCitation" : "(Wackett &lt;i&gt;et al.&lt;/i&gt;, 2002)", "plainTextFormattedCitation" : "(Wackett et al., 2002)", "previouslyFormattedCitation" : "(Wackett &lt;i&gt;et al.&lt;/i&gt;, 2002)" }, "properties" : { "noteIndex" : 0 }, "schema" : "https://github.com/citation-style-language/schema/raw/master/csl-citation.json" }</w:instrText>
      </w:r>
      <w:r w:rsidR="001E61B9">
        <w:fldChar w:fldCharType="separate"/>
      </w:r>
      <w:r w:rsidR="001E61B9" w:rsidRPr="001E61B9">
        <w:rPr>
          <w:noProof/>
        </w:rPr>
        <w:t xml:space="preserve">(Wackett </w:t>
      </w:r>
      <w:r w:rsidR="001E61B9" w:rsidRPr="001E61B9">
        <w:rPr>
          <w:i/>
          <w:noProof/>
        </w:rPr>
        <w:t>et al.</w:t>
      </w:r>
      <w:r w:rsidR="001E61B9" w:rsidRPr="001E61B9">
        <w:rPr>
          <w:noProof/>
        </w:rPr>
        <w:t>, 2002)</w:t>
      </w:r>
      <w:r w:rsidR="001E61B9">
        <w:fldChar w:fldCharType="end"/>
      </w:r>
      <w:r w:rsidR="001E61B9">
        <w:t xml:space="preserve"> and ROS stressor </w:t>
      </w:r>
      <w:r w:rsidR="001E61B9">
        <w:fldChar w:fldCharType="begin" w:fldLock="1"/>
      </w:r>
      <w:r w:rsidR="001B0E0C">
        <w:instrText>ADDIN CSL_CITATION { "citationItems" : [ { "id" : "ITEM-1", "itemData" : { "DOI" : "10.1111/j.1574-6968.2012.02625.x", "ISBN" : "1873-3336 (Electronic)\\r0304-3894 (Linking)", "ISSN" : "03781097", "PMID" : "22724442", "abstract" : "Bacteria are present extensively in the environment. Investigation of their antioxidant properties will be useful for further study on atrazine stress tolerance of bacteria and the defense mechanism of antioxidant enzymes against atrazine or other triazine herbicides. Superoxide dismutase (SOD), catalase (CAT), glutathione S-transferase (GST) and total antioxidant capacity (T-AOC) from one Gram-negative representative strain Escherichia coli K12 and one Gram-positive representative strain Bacillus subtilis B19, respectively, were tested for response to atrazine stress. The results indicated that SOD, CAT, GST and T-AOC were induced upon exposure to atrazine. The growth of two bacteria was better in the absence than in the presence of atrazine, indicating that atrazine can decrease bacterial growth. The changes of enzyme activities indicate the presence of oxidative stress. Oxidative stress induced by atrazine may be due to imbalance of redox potential in bacterial cells, which leads to bacterial metabolic disorder.", "author" : [ { "dropping-particle" : "", "family" : "Zhang", "given" : "Ying", "non-dropping-particle" : "", "parse-names" : false, "suffix" : "" }, { "dropping-particle" : "", "family" : "Meng", "given" : "Dongfang", "non-dropping-particle" : "", "parse-names" : false, "suffix" : "" }, { "dropping-particle" : "", "family" : "Wang", "given" : "Zhigang", "non-dropping-particle" : "", "parse-names" : false, "suffix" : "" }, { "dropping-particle" : "", "family" : "Guo", "given" : "Huosheng", "non-dropping-particle" : "", "parse-names" : false, "suffix" : "" }, { "dropping-particle" : "", "family" : "Wang", "given" : "Yang", "non-dropping-particle" : "", "parse-names" : false, "suffix" : "" } ], "container-title" : "FEMS Microbiology Letters", "id" : "ITEM-1", "issue" : "2", "issued" : { "date-parts" : [ [ "2012" ] ] }, "page" : "95-101", "title" : "Oxidative stress response in two representative bacteria exposed to atrazine", "type" : "article-journal", "volume" : "334" }, "uris" : [ "http://www.mendeley.com/documents/?uuid=28485797-d102-4e5a-9afb-726c7a421ac0" ] } ], "mendeley" : { "formattedCitation" : "(Zhang &lt;i&gt;et al.&lt;/i&gt;, 2012)", "plainTextFormattedCitation" : "(Zhang et al., 2012)", "previouslyFormattedCitation" : "(Zhang &lt;i&gt;et al.&lt;/i&gt;, 2012)" }, "properties" : { "noteIndex" : 0 }, "schema" : "https://github.com/citation-style-language/schema/raw/master/csl-citation.json" }</w:instrText>
      </w:r>
      <w:r w:rsidR="001E61B9">
        <w:fldChar w:fldCharType="separate"/>
      </w:r>
      <w:r w:rsidR="001E61B9" w:rsidRPr="001E61B9">
        <w:rPr>
          <w:noProof/>
        </w:rPr>
        <w:t xml:space="preserve">(Zhang </w:t>
      </w:r>
      <w:r w:rsidR="001E61B9" w:rsidRPr="001E61B9">
        <w:rPr>
          <w:i/>
          <w:noProof/>
        </w:rPr>
        <w:t>et al.</w:t>
      </w:r>
      <w:r w:rsidR="001E61B9" w:rsidRPr="001E61B9">
        <w:rPr>
          <w:noProof/>
        </w:rPr>
        <w:t>, 2012)</w:t>
      </w:r>
      <w:r w:rsidR="001E61B9">
        <w:fldChar w:fldCharType="end"/>
      </w:r>
      <w:r w:rsidR="001E61B9">
        <w:t xml:space="preserve"> to various species of bacteria.</w:t>
      </w:r>
    </w:p>
    <w:p w14:paraId="087D368D" w14:textId="7923D4B4" w:rsidR="001B0E0C" w:rsidRPr="00740D07" w:rsidRDefault="00A007D6" w:rsidP="00986469">
      <w:pPr>
        <w:spacing w:line="240" w:lineRule="auto"/>
      </w:pPr>
      <w:r>
        <w:t>Metaldehyde,</w:t>
      </w:r>
      <w:r w:rsidR="00244E39">
        <w:t xml:space="preserve"> both the UK’s and the world’s most heavily used mollus</w:t>
      </w:r>
      <w:r w:rsidR="00C75D16">
        <w:t>c</w:t>
      </w:r>
      <w:r w:rsidR="00244E39">
        <w:t>icide is a highly mobile agent that frequently affects untreated terrain and waterways due to its propensity to run-off in surface water</w:t>
      </w:r>
      <w:r w:rsidR="00C75D16">
        <w:t xml:space="preserve"> </w:t>
      </w:r>
      <w:r w:rsidR="00C75D16">
        <w:fldChar w:fldCharType="begin" w:fldLock="1"/>
      </w:r>
      <w:r w:rsidR="00C75D16">
        <w:instrText>ADDIN CSL_CITATION { "citationItems" : [ { "id" : "ITEM-1", "itemData" : { "DOI" : "10.1039/c7ew00039a", "ISSN" : "20531419", "abstract" : "Metaldehyde is the active ingredient in most slug pellets used to protect crops. This molluscicide is considered an emerging pollutant and is frequently detected in surface water bodies above the EU statutory drinking water limit of 0.1 \u03bcg L\u22121 for a pesticide. This presents a challenge for providers of drinking water. Understanding the sources, transport and environmental fate of this compound is therefore important. This critical review discusses these aspects including monitoring and analytical techniques used for the detection of metaldehyde in environmental matrices. Novel techniques used for the removal of metaldehyde from drinking water are presented together with potential catchment management strategies and initiatives useful for the mitigation of this molluscicide in the environment.", "author" : [ { "dropping-particle" : "", "family" : "Castle", "given" : "G. D.", "non-dropping-particle" : "", "parse-names" : false, "suffix" : "" }, { "dropping-particle" : "", "family" : "Mills", "given" : "G. A.", "non-dropping-particle" : "", "parse-names" : false, "suffix" : "" }, { "dropping-particle" : "", "family" : "Gravell", "given" : "A.", "non-dropping-particle" : "", "parse-names" : false, "suffix" : "" }, { "dropping-particle" : "", "family" : "Jones", "given" : "L.", "non-dropping-particle" : "", "parse-names" : false, "suffix" : "" }, { "dropping-particle" : "", "family" : "Townsend", "given" : "I.", "non-dropping-particle" : "", "parse-names" : false, "suffix" : "" }, { "dropping-particle" : "", "family" : "Cameron", "given" : "D. G.", "non-dropping-particle" : "", "parse-names" : false, "suffix" : "" }, { "dropping-particle" : "", "family" : "Fones", "given" : "G. R.", "non-dropping-particle" : "", "parse-names" : false, "suffix" : "" } ], "container-title" : "Environmental Science: Water Research and Technology", "id" : "ITEM-1", "issue" : "3", "issued" : { "date-parts" : [ [ "2017", "5", "5" ] ] }, "page" : "415-428", "publisher" : "Royal Society of Chemistry", "title" : "Review of the molluscicide metaldehyde in the environment", "type" : "bill", "volume" : "3" }, "uris" : [ "http://www.mendeley.com/documents/?uuid=f4da6bb5-04c7-4d48-be13-0e7aca841cad" ] } ], "mendeley" : { "formattedCitation" : "(Castle &lt;i&gt;et al.&lt;/i&gt;, 2017)", "plainTextFormattedCitation" : "(Castle et al., 2017)", "previouslyFormattedCitation" : "(Castle &lt;i&gt;et al.&lt;/i&gt;, 2017)" }, "properties" : { "noteIndex" : 0 }, "schema" : "https://github.com/citation-style-language/schema/raw/master/csl-citation.json" }</w:instrText>
      </w:r>
      <w:r w:rsidR="00C75D16">
        <w:fldChar w:fldCharType="separate"/>
      </w:r>
      <w:r w:rsidR="00C75D16" w:rsidRPr="00C75D16">
        <w:rPr>
          <w:noProof/>
        </w:rPr>
        <w:t xml:space="preserve">(Castle </w:t>
      </w:r>
      <w:r w:rsidR="00C75D16" w:rsidRPr="00C75D16">
        <w:rPr>
          <w:i/>
          <w:noProof/>
        </w:rPr>
        <w:t>et al.</w:t>
      </w:r>
      <w:r w:rsidR="00C75D16" w:rsidRPr="00C75D16">
        <w:rPr>
          <w:noProof/>
        </w:rPr>
        <w:t>, 2017)</w:t>
      </w:r>
      <w:r w:rsidR="00C75D16">
        <w:fldChar w:fldCharType="end"/>
      </w:r>
      <w:r w:rsidR="00277C41">
        <w:t xml:space="preserve">. Metaldehyde is rapidly converted within the body of molluscs to aldehyde, which damages mucus producing cells, causing excessive mucus production, dehydration, and eventual death </w:t>
      </w:r>
      <w:r w:rsidR="00277C41">
        <w:fldChar w:fldCharType="begin" w:fldLock="1"/>
      </w:r>
      <w:r w:rsidR="00C75D16">
        <w:instrText>ADDIN CSL_CITATION { "citationItems" : [ { "id" : "ITEM-1", "itemData" : { "DOI" : "10.1093/mollus/64.4.467", "ISSN" : "0260-1230, 1464-3766", "abstract" : "Using light and electron microscopy in combination with histochemical and immunocytochemical tech- niques, the impact of orally and dermally applied metaldehyde on mucus cells in the digestive tract, the skin, and the salivary gland of the slug Deroceras reticulatum (Mtiller) was investigated. The studies showed that metaldehyde induces severe alterations and damages in mucocytes even under low temp- erature and humid conditions when sufficiently high doses were applied. After metaldehyde application, not only the quantity of mucus produced by slugs but also its quality is modified. Structural, enzyme- histochemical and immunocytochemical investigations revealed metaldehyde-induced effects in mucocytes to be related to influences of the mol- luscicide on serotonin and on energy metabolism.", "author" : [ { "dropping-particle" : "", "family" : "Triebskorn", "given" : "Rita", "non-dropping-particle" : "", "parse-names" : false, "suffix" : "" }, { "dropping-particle" : "", "family" : "Christensen", "given" : "Kresten", "non-dropping-particle" : "", "parse-names" : false, "suffix" : "" }, { "dropping-particle" : "", "family" : "Heim", "given" : "Ignaz", "non-dropping-particle" : "", "parse-names" : false, "suffix" : "" } ], "container-title" : "Journal of Molluscan Studies", "id" : "ITEM-1", "issue" : "June", "issued" : { "date-parts" : [ [ "1998" ] ] }, "page" : "467-487", "title" : "Effetcs of orally and dermally applied methaldehyde on mucus of slugs (&lt;i&gt;Deroceras reticulatum&lt;/i&gt;) depending on temperature and duration of exposure", "type" : "article-journal", "volume" : "64" }, "uris" : [ "http://www.mendeley.com/documents/?uuid=65e4df17-0d5d-41da-802b-cd090b90f246" ] } ], "mendeley" : { "formattedCitation" : "(Triebskorn, Christensen and Heim, 1998)", "plainTextFormattedCitation" : "(Triebskorn, Christensen and Heim, 1998)", "previouslyFormattedCitation" : "(Triebskorn, Christensen and Heim, 1998)" }, "properties" : { "noteIndex" : 0 }, "schema" : "https://github.com/citation-style-language/schema/raw/master/csl-citation.json" }</w:instrText>
      </w:r>
      <w:r w:rsidR="00277C41">
        <w:fldChar w:fldCharType="separate"/>
      </w:r>
      <w:r w:rsidR="00277C41" w:rsidRPr="00277C41">
        <w:rPr>
          <w:noProof/>
        </w:rPr>
        <w:t>(Triebskorn, Christensen and Heim, 1998)</w:t>
      </w:r>
      <w:r w:rsidR="00277C41">
        <w:fldChar w:fldCharType="end"/>
      </w:r>
      <w:r w:rsidR="00BD6687">
        <w:t>.</w:t>
      </w:r>
      <w:r w:rsidR="00C75D16">
        <w:t xml:space="preserve"> Metaldehyde has occasionally caused deaths in humans at high concentrations </w:t>
      </w:r>
      <w:r w:rsidR="00C75D16">
        <w:fldChar w:fldCharType="begin" w:fldLock="1"/>
      </w:r>
      <w:r w:rsidR="00740D07">
        <w:instrText>ADDIN CSL_CITATION { "citationItems" : [ { "id" : "ITEM-1", "itemData" : { "author" : [ { "dropping-particle" : "", "family" : "Thompson", "given" : "J P", "non-dropping-particle" : "", "parse-names" : false, "suffix" : "" }, { "dropping-particle" : "", "family" : "Casey", "given" : "P B", "non-dropping-particle" : "", "parse-names" : false, "suffix" : "" }, { "dropping-particle" : "", "family" : "Vale", "given" : "J A", "non-dropping-particle" : "", "parse-names" : false, "suffix" : "" } ], "id" : "ITEM-1", "issue" : "January", "issued" : { "date-parts" : [ [ "1995" ] ] }, "title" : "Pesticide Incidents Reported to the Health and Safety Executive 1989 / 90- 1991 / 92", "type" : "article-journal" }, "uris" : [ "http://www.mendeley.com/documents/?uuid=df5f8c68-d2c9-42a0-a429-38780f0eccee" ] } ], "mendeley" : { "formattedCitation" : "(Thompson, Casey and Vale, 1995)", "plainTextFormattedCitation" : "(Thompson, Casey and Vale, 1995)", "previouslyFormattedCitation" : "(Thompson, Casey and Vale, 1995)" }, "properties" : { "noteIndex" : 0 }, "schema" : "https://github.com/citation-style-language/schema/raw/master/csl-citation.json" }</w:instrText>
      </w:r>
      <w:r w:rsidR="00C75D16">
        <w:fldChar w:fldCharType="separate"/>
      </w:r>
      <w:r w:rsidR="00C75D16" w:rsidRPr="00C75D16">
        <w:rPr>
          <w:noProof/>
        </w:rPr>
        <w:t>(Thompson, Casey and Vale, 1995)</w:t>
      </w:r>
      <w:r w:rsidR="00C75D16">
        <w:fldChar w:fldCharType="end"/>
      </w:r>
      <w:r w:rsidR="00C75D16">
        <w:t xml:space="preserve">, but information on its effects on bacteria is scant: </w:t>
      </w:r>
      <w:r w:rsidR="00432BE0">
        <w:t>to date, one study has examin</w:t>
      </w:r>
      <w:r w:rsidR="00740D07">
        <w:t xml:space="preserve">ed interactions between bacteria and metaldehyde </w:t>
      </w:r>
      <w:r w:rsidR="00740D07">
        <w:fldChar w:fldCharType="begin" w:fldLock="1"/>
      </w:r>
      <w:r w:rsidR="00524E6A">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sidR="00740D07">
        <w:fldChar w:fldCharType="separate"/>
      </w:r>
      <w:r w:rsidR="00740D07" w:rsidRPr="00740D07">
        <w:rPr>
          <w:noProof/>
        </w:rPr>
        <w:t xml:space="preserve">(Thomas </w:t>
      </w:r>
      <w:r w:rsidR="00740D07" w:rsidRPr="00740D07">
        <w:rPr>
          <w:i/>
          <w:noProof/>
        </w:rPr>
        <w:t>et al.</w:t>
      </w:r>
      <w:r w:rsidR="00740D07" w:rsidRPr="00740D07">
        <w:rPr>
          <w:noProof/>
        </w:rPr>
        <w:t>, 2017)</w:t>
      </w:r>
      <w:r w:rsidR="00740D07">
        <w:fldChar w:fldCharType="end"/>
      </w:r>
      <w:r w:rsidR="00740D07">
        <w:t xml:space="preserve">, showing only that </w:t>
      </w:r>
      <w:proofErr w:type="spellStart"/>
      <w:r w:rsidR="00740D07" w:rsidRPr="00740D07">
        <w:rPr>
          <w:i/>
        </w:rPr>
        <w:t>Variovorax</w:t>
      </w:r>
      <w:proofErr w:type="spellEnd"/>
      <w:r w:rsidR="00740D07">
        <w:t xml:space="preserve"> and </w:t>
      </w:r>
      <w:proofErr w:type="spellStart"/>
      <w:r w:rsidR="00740D07" w:rsidRPr="00740D07">
        <w:rPr>
          <w:i/>
        </w:rPr>
        <w:t>Aceinetobacter</w:t>
      </w:r>
      <w:proofErr w:type="spellEnd"/>
      <w:r w:rsidR="00740D07">
        <w:t xml:space="preserve"> strains can be isolated from metaldehyde-treated soil and can degrade the molluscicide.</w:t>
      </w:r>
    </w:p>
    <w:p w14:paraId="51FDFE0E" w14:textId="1C3044C5" w:rsidR="003A726B" w:rsidRPr="003A726B" w:rsidRDefault="003A726B" w:rsidP="00986469">
      <w:pPr>
        <w:spacing w:line="240" w:lineRule="auto"/>
        <w:rPr>
          <w:i/>
        </w:rPr>
      </w:pPr>
      <w:r>
        <w:rPr>
          <w:i/>
        </w:rPr>
        <w:t>Aromatic Hydrocarbons</w:t>
      </w:r>
    </w:p>
    <w:p w14:paraId="178BC3A2" w14:textId="73AF960C" w:rsidR="0056346D" w:rsidRDefault="0034367E" w:rsidP="00986469">
      <w:pPr>
        <w:spacing w:line="240" w:lineRule="auto"/>
      </w:pPr>
      <w:r>
        <w:t xml:space="preserve">Aromatic hydrocarbons, characterised by the presence of one or more (polycyclic) aromatic rings, </w:t>
      </w:r>
      <w:r w:rsidR="00524E6A">
        <w:t xml:space="preserve">cover a range of carcinogenic agents </w:t>
      </w:r>
      <w:r w:rsidR="00524E6A">
        <w:fldChar w:fldCharType="begin" w:fldLock="1"/>
      </w:r>
      <w:r w:rsidR="003F515F">
        <w:instrText>ADDIN CSL_CITATION { "citationItems" : [ { "id" : "ITEM-1", "itemData" : { "DOI" : "10.1177/074823379901500802", "ISBN" : "1800222122", "ISSN" : "0748-2337", "abstract" : "This public health statement tells you about benzene and the effects of exposure to it.", "author" : [ { "dropping-particle" : "", "family" : "ATSDR", "given" : "", "non-dropping-particle" : "", "parse-names" : false, "suffix" : "" } ], "container-title" : "CDC Division of Toxicology and Environmrntal mediciine", "id" : "ITEM-1", "issued" : { "date-parts" : [ [ "2007" ] ] }, "page" : "1-7", "title" : "Public Health Statement for Benzene", "type" : "article-journal", "volume" : "CAS# 71-43" }, "uris" : [ "http://www.mendeley.com/documents/?uuid=e2b7fe3d-e954-47df-bc58-ceb63134d0c2" ] } ], "mendeley" : { "formattedCitation" : "(ATSDR, 2007)", "plainTextFormattedCitation" : "(ATSDR, 2007)", "previouslyFormattedCitation" : "(ATSDR, 2007)" }, "properties" : { "noteIndex" : 0 }, "schema" : "https://github.com/citation-style-language/schema/raw/master/csl-citation.json" }</w:instrText>
      </w:r>
      <w:r w:rsidR="00524E6A">
        <w:fldChar w:fldCharType="separate"/>
      </w:r>
      <w:r w:rsidR="00524E6A" w:rsidRPr="00524E6A">
        <w:rPr>
          <w:noProof/>
        </w:rPr>
        <w:t>(ATSDR, 2007)</w:t>
      </w:r>
      <w:r w:rsidR="00524E6A">
        <w:fldChar w:fldCharType="end"/>
      </w:r>
      <w:r w:rsidR="00524E6A">
        <w:t xml:space="preserve"> generally found in crude oil products or produced as a result of incomplete combustion.</w:t>
      </w:r>
    </w:p>
    <w:p w14:paraId="2FF4496B" w14:textId="1F7BD2ED" w:rsidR="003F515F" w:rsidRDefault="003F515F" w:rsidP="00986469">
      <w:pPr>
        <w:spacing w:line="240" w:lineRule="auto"/>
      </w:pPr>
      <w:r>
        <w:t xml:space="preserve">Benzene, consisting of a single 6-carbon aromatic ring is frequently used as a chemical feedstock, solvent and formerly as fuel additive. Benzene is relatively unstable in the environment </w:t>
      </w:r>
      <w:r>
        <w:fldChar w:fldCharType="begin" w:fldLock="1"/>
      </w:r>
      <w:r w:rsidR="008F3B97">
        <w:instrText>ADDIN CSL_CITATION { "citationItems" : [ { "id" : "ITEM-1", "itemData" : { "DOI" : "10.1289/ehp.7510269", "ISBN" : "0091-6765 (Print)", "ISSN" : "00916765", "PMID" : "1157796", "abstract" : "A model aquatic ecosystem is devised for studying relatively volatile organic compounds and simulating direct discharge of chemical wastes into aquatic ecosystems. Six simple benzene derivatives (aniline, anisole, benzoic acid, chlorobenzene, nitrobenzene, and phthalic anhydride) and other important specialty chemicals: hexachlorobenzene, pentachlorophenol, 2,6-diethylaniline, and 3,5,6-trichloro-2-pyridinol were also chosen for study of environmental behavior and fate in the model aquatic ecosystem. Quantitative relationships of the intrinsic molecular properties of the environmental micropollutants with biological responses are established, e.g., water solubility, partition coefficient, pi constant, sigma constant, ecological magnification, biodegradability index, and comparative detoxication mechanisms, respectively. Water solubility, pi constant, and sigma constant are the most significant factors and control the biological responses of the food chain members. Water solubility and pi constant control the degree of bioaccumulation, and sigma constant limits the metabolism of the xenobiotics via microsomal detoxication enzymes. These highly significant correlations should be useful for predicting environmental fate of organic chemicals.", "author" : [ { "dropping-particle" : "", "family" : "Po Yung Lu", "given" : "", "non-dropping-particle" : "", "parse-names" : false, "suffix" : "" }, { "dropping-particle" : "", "family" : "Metcalf", "given" : "R. L.", "non-dropping-particle" : "", "parse-names" : false, "suffix" : "" } ], "container-title" : "Environmental Health Perspectives", "id" : "ITEM-1", "issue" : "April", "issued" : { "date-parts" : [ [ "1975" ] ] }, "page" : "269-284", "title" : "Environmental fate and biodegradability of benzene derivatives as studied in a model aquatic ecosystem", "type" : "article-journal", "volume" : "Vol.10" }, "uris" : [ "http://www.mendeley.com/documents/?uuid=a30fc391-5bfd-4500-a47f-63ef2ab29d5e" ] } ], "mendeley" : { "formattedCitation" : "(Po Yung Lu and Metcalf, 1975)", "plainTextFormattedCitation" : "(Po Yung Lu and Metcalf, 1975)", "previouslyFormattedCitation" : "(Po Yung Lu and Metcalf, 1975)" }, "properties" : { "noteIndex" : 0 }, "schema" : "https://github.com/citation-style-language/schema/raw/master/csl-citation.json" }</w:instrText>
      </w:r>
      <w:r>
        <w:fldChar w:fldCharType="separate"/>
      </w:r>
      <w:r w:rsidRPr="003F515F">
        <w:rPr>
          <w:noProof/>
        </w:rPr>
        <w:t xml:space="preserve">(Po Yung Lu </w:t>
      </w:r>
      <w:r w:rsidRPr="003F515F">
        <w:rPr>
          <w:noProof/>
        </w:rPr>
        <w:lastRenderedPageBreak/>
        <w:t>and Metcalf, 1975)</w:t>
      </w:r>
      <w:r>
        <w:fldChar w:fldCharType="end"/>
      </w:r>
      <w:r w:rsidR="00811F82">
        <w:t xml:space="preserve">, with </w:t>
      </w:r>
      <w:r w:rsidR="008F3B97">
        <w:t xml:space="preserve">a reported half-life of 17 days in water </w:t>
      </w:r>
      <w:r w:rsidR="008F3B97">
        <w:fldChar w:fldCharType="begin" w:fldLock="1"/>
      </w:r>
      <w:r w:rsidR="009F2D3F">
        <w:instrText>ADDIN CSL_CITATION { "citationItems" : [ { "id" : "ITEM-1", "itemData" : { "author" : [ { "dropping-particle" : "", "family" : "Hustert", "given" : "K", "non-dropping-particle" : "", "parse-names" : false, "suffix" : "" }, { "dropping-particle" : "", "family" : "Mansour", "given" : "M", "non-dropping-particle" : "", "parse-names" : false, "suffix" : "" }, { "dropping-particle" : "", "family" : "Parlar", "given" : "H", "non-dropping-particle" : "", "parse-names" : false, "suffix" : "" }, { "dropping-particle" : "", "family" : "Korte", "given" : "F", "non-dropping-particle" : "", "parse-names" : false, "suffix" : "" } ], "container-title" : "Chemosphere", "id" : "ITEM-1", "issue" : "9", "issued" : { "date-parts" : [ [ "1981" ] ] }, "page" : "995-998", "title" : "Der EPA-Test - eine Methode zur Bestimmung des photochemischen Abbaus von organischen Verbindungen in aquatischen Systemen", "type" : "article-journal" }, "uris" : [ "http://www.mendeley.com/documents/?uuid=3ab0c987-16a9-4336-9939-2b21efe8c4ee" ] } ], "mendeley" : { "formattedCitation" : "(Hustert &lt;i&gt;et al.&lt;/i&gt;, 1981)", "plainTextFormattedCitation" : "(Hustert et al., 1981)", "previouslyFormattedCitation" : "(Hustert &lt;i&gt;et al.&lt;/i&gt;, 1981)" }, "properties" : { "noteIndex" : 0 }, "schema" : "https://github.com/citation-style-language/schema/raw/master/csl-citation.json" }</w:instrText>
      </w:r>
      <w:r w:rsidR="008F3B97">
        <w:fldChar w:fldCharType="separate"/>
      </w:r>
      <w:r w:rsidR="008F3B97" w:rsidRPr="008F3B97">
        <w:rPr>
          <w:noProof/>
        </w:rPr>
        <w:t xml:space="preserve">(Hustert </w:t>
      </w:r>
      <w:r w:rsidR="008F3B97" w:rsidRPr="008F3B97">
        <w:rPr>
          <w:i/>
          <w:noProof/>
        </w:rPr>
        <w:t>et al.</w:t>
      </w:r>
      <w:r w:rsidR="008F3B97" w:rsidRPr="008F3B97">
        <w:rPr>
          <w:noProof/>
        </w:rPr>
        <w:t>, 1981)</w:t>
      </w:r>
      <w:r w:rsidR="008F3B97">
        <w:fldChar w:fldCharType="end"/>
      </w:r>
      <w:r w:rsidR="008F3B97">
        <w:t>, although it is more frequently biodegraded</w:t>
      </w:r>
      <w:r w:rsidR="009F2D3F">
        <w:t xml:space="preserve">. Benzene is a potential food source to some bacteria but a stressor to all, causing solvent stress to cell membranes, and has been shown to cause shifts in community abundance to gram-positive bacteria in a lab setting </w:t>
      </w:r>
      <w:r w:rsidR="009F2D3F">
        <w:fldChar w:fldCharType="begin" w:fldLock="1"/>
      </w:r>
      <w:r w:rsidR="004661DD">
        <w:instrText>ADDIN CSL_CITATION { "citationItems" : [ { "id" : "ITEM-1", "itemData" : { "DOI" : "10.1111/j.1574-6941.2008.00518.x", "ISBN" : "1574-6941", "ISSN" : "01686496", "PMID" : "18540887", "abstract" : "Exposure to pollution exerts strong selective pressure on microbial communities, which may affect their potential to adapt to current or future environmental challenges. In this microcosm study, we used DNA fingerprinting based on 16S rRNA genes to document the impact of high concentrations of benzene on two bacterial communities from a benzene-contaminated aquifer situated below a petrochemical plant (SIReN, UK). The two groundwaters harboured distinct aerobic benzene-degrading communities able to metabolize benzene to below detection levels (1 microg L(-1)). A benzene concentration of 100 mg L(-1) caused a major shift from Betaproteobacteria to Actinobacteria, in particular Arthrobacter spp. A similar shift from Betaproteobacteria to Arthrobacter spp. and Rhodococcus erythropolis was observed in minimal medium (MM) inoculated with a third groundwater. These Gram-positive-dominated communities were able to grow on benzene at concentrations up to 600 mg L(-1) in groundwater and up to 1000 mg L(-1) in MM, concentrations that cause significant solvent stress to cellular systems. Therefore, Gram-positive bacteria were better competitors than Gram-negative organisms under experimental conditions of high benzene loads, which suggests that solvent-tolerant Gram-positive bacteria can play a role in the natural attenuation of benzene or the remediation of contaminated sites.", "author" : [ { "dropping-particle" : "", "family" : "Fahy", "given" : "Anne", "non-dropping-particle" : "", "parse-names" : false, "suffix" : "" }, { "dropping-particle" : "", "family" : "Ball", "given" : "Andrew S.", "non-dropping-particle" : "", "parse-names" : false, "suffix" : "" }, { "dropping-particle" : "", "family" : "Lethbridge", "given" : "Gordon", "non-dropping-particle" : "", "parse-names" : false, "suffix" : "" }, { "dropping-particle" : "", "family" : "McGenity", "given" : "Terry J.", "non-dropping-particle" : "", "parse-names" : false, "suffix" : "" }, { "dropping-particle" : "", "family" : "Timmis", "given" : "Kenneth N.", "non-dropping-particle" : "", "parse-names" : false, "suffix" : "" } ], "container-title" : "FEMS Microbiology Ecology", "id" : "ITEM-1", "issue" : "3", "issued" : { "date-parts" : [ [ "2008" ] ] }, "page" : "526-533", "title" : "High benzene concentrations can favour Gram-positive bacteria in groundwaters from a contaminated aquifer", "type" : "article-journal", "volume" : "65" }, "uris" : [ "http://www.mendeley.com/documents/?uuid=5fdc9637-ad7d-4e44-a214-e9258fa02bed" ] } ], "mendeley" : { "formattedCitation" : "(Fahy &lt;i&gt;et al.&lt;/i&gt;, 2008)", "plainTextFormattedCitation" : "(Fahy et al., 2008)", "previouslyFormattedCitation" : "(Fahy &lt;i&gt;et al.&lt;/i&gt;, 2008)" }, "properties" : { "noteIndex" : 0 }, "schema" : "https://github.com/citation-style-language/schema/raw/master/csl-citation.json" }</w:instrText>
      </w:r>
      <w:r w:rsidR="009F2D3F">
        <w:fldChar w:fldCharType="separate"/>
      </w:r>
      <w:r w:rsidR="009F2D3F" w:rsidRPr="009F2D3F">
        <w:rPr>
          <w:noProof/>
        </w:rPr>
        <w:t xml:space="preserve">(Fahy </w:t>
      </w:r>
      <w:r w:rsidR="009F2D3F" w:rsidRPr="009F2D3F">
        <w:rPr>
          <w:i/>
          <w:noProof/>
        </w:rPr>
        <w:t>et al.</w:t>
      </w:r>
      <w:r w:rsidR="009F2D3F" w:rsidRPr="009F2D3F">
        <w:rPr>
          <w:noProof/>
        </w:rPr>
        <w:t>, 2008)</w:t>
      </w:r>
      <w:r w:rsidR="009F2D3F">
        <w:fldChar w:fldCharType="end"/>
      </w:r>
      <w:r w:rsidR="009F2D3F">
        <w:t>.</w:t>
      </w:r>
    </w:p>
    <w:p w14:paraId="498329F5" w14:textId="3F5170E1" w:rsidR="004A3624" w:rsidRDefault="004B3DD1" w:rsidP="00986469">
      <w:pPr>
        <w:spacing w:line="240" w:lineRule="auto"/>
      </w:pPr>
      <w:r>
        <w:t>Benzo</w:t>
      </w:r>
      <w:r w:rsidR="00712FBE">
        <w:t>[</w:t>
      </w:r>
      <w:r>
        <w:t>a</w:t>
      </w:r>
      <w:r w:rsidR="00712FBE">
        <w:t>]</w:t>
      </w:r>
      <w:r>
        <w:t>pyrene is a</w:t>
      </w:r>
      <w:r w:rsidR="00712FBE">
        <w:t xml:space="preserve"> high molecular weight</w:t>
      </w:r>
      <w:r>
        <w:t xml:space="preserve"> polycyclic hydrocarbon consisting of six conjoined aromatic rings, principally produced by incomplete combustion</w:t>
      </w:r>
      <w:r w:rsidR="00EB4251">
        <w:t xml:space="preserve"> of </w:t>
      </w:r>
      <w:r w:rsidR="004661DD">
        <w:t>vehicle fuel or wood. Benzo</w:t>
      </w:r>
      <w:r w:rsidR="00712FBE">
        <w:t>[</w:t>
      </w:r>
      <w:r w:rsidR="004661DD">
        <w:t>a</w:t>
      </w:r>
      <w:r w:rsidR="00712FBE">
        <w:t>]</w:t>
      </w:r>
      <w:r w:rsidR="004661DD">
        <w:t>pyrene is highly toxic and carcinogenic</w:t>
      </w:r>
      <w:r w:rsidR="00712FBE">
        <w:t xml:space="preserve"> to humans</w:t>
      </w:r>
      <w:r w:rsidR="004661DD">
        <w:t xml:space="preserve"> </w:t>
      </w:r>
      <w:r w:rsidR="004661DD">
        <w:fldChar w:fldCharType="begin" w:fldLock="1"/>
      </w:r>
      <w:r w:rsidR="005E5C82">
        <w:instrText>ADDIN CSL_CITATION { "citationItems" : [ { "id" : "ITEM-1",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"ITEM-1", "issued" : { "date-parts" : [ [ "2009" ] ] }, "page" : "1-15", "title" : "Biodegradation aspects of Polycyclic Aromatic Hydrocarbons (PAHs): A review", "type" : "article-journal", "volume" : "169" }, "uris" : [ "http://www.mendeley.com/documents/?uuid=cb453e81-8f83-3a26-b533-014de2217afb" ] } ], "mendeley" : { "formattedCitation" : "(Haritash and Kaushik, 2009)", "plainTextFormattedCitation" : "(Haritash and Kaushik, 2009)", "previouslyFormattedCitation" : "(Haritash and Kaushik, 2009)" }, "properties" : { "noteIndex" : 0 }, "schema" : "https://github.com/citation-style-language/schema/raw/master/csl-citation.json" }</w:instrText>
      </w:r>
      <w:r w:rsidR="004661DD">
        <w:fldChar w:fldCharType="separate"/>
      </w:r>
      <w:r w:rsidR="004661DD" w:rsidRPr="004661DD">
        <w:rPr>
          <w:noProof/>
        </w:rPr>
        <w:t>(Haritash and Kaushik, 2009)</w:t>
      </w:r>
      <w:r w:rsidR="004661DD">
        <w:fldChar w:fldCharType="end"/>
      </w:r>
      <w:r w:rsidR="004661DD">
        <w:t xml:space="preserve">, </w:t>
      </w:r>
      <w:r w:rsidR="00712FBE">
        <w:t>but may be less toxic to bacteria</w:t>
      </w:r>
      <w:r w:rsidR="00C96583">
        <w:t xml:space="preserve"> </w:t>
      </w:r>
      <w:r w:rsidR="005E5C82">
        <w:fldChar w:fldCharType="begin" w:fldLock="1"/>
      </w:r>
      <w:r w:rsidR="005E5C82">
        <w:instrText>ADDIN CSL_CITATION { "citationItems" : [ { "id" : "ITEM-1", "itemData" : { "DOI" : "10.1016/j.ecoenv.2006.01.007", "author" : [ { "dropping-particle" : "", "family" : "Sverdrup", "given" : "Line E", "non-dropping-particle" : "", "parse-names" : false, "suffix" : "" }, { "dropping-particle" : "", "family" : "Hagen", "given" : "Snorre B", "non-dropping-particle" : "", "parse-names" : false, "suffix" : "" }, { "dropping-particle" : "", "family" : "Henning", "given" : "Paul", "non-dropping-particle" : "", "parse-names" : false, "suffix" : "" }, { "dropping-particle" : "Van", "family" : "Gestel", "given" : "Cornelis A M", "non-dropping-particle" : "", "parse-names" : false, "suffix" : "" } ], "id" : "ITEM-1", "issued" : { "date-parts" : [ [ "2007" ] ] }, "page" : "362-368", "title" : "Benzo (a) pyrene shows low toxicity to three species of terrestrial plants , two soil invertebrates , and soil-nitrifying bacteria", "type" : "article-journal", "volume" : "66" }, "uris" : [ "http://www.mendeley.com/documents/?uuid=7a59c8c7-4a47-47c6-b351-0de9508f1f74" ] } ], "mendeley" : { "formattedCitation" : "(Sverdrup &lt;i&gt;et al.&lt;/i&gt;, 2007)", "plainTextFormattedCitation" : "(Sverdrup et al., 2007)", "previouslyFormattedCitation" : "(Sverdrup &lt;i&gt;et al.&lt;/i&gt;, 2007)" }, "properties" : { "noteIndex" : 0 }, "schema" : "https://github.com/citation-style-language/schema/raw/master/csl-citation.json" }</w:instrText>
      </w:r>
      <w:r w:rsidR="005E5C82">
        <w:fldChar w:fldCharType="separate"/>
      </w:r>
      <w:r w:rsidR="005E5C82" w:rsidRPr="005E5C82">
        <w:rPr>
          <w:noProof/>
        </w:rPr>
        <w:t xml:space="preserve">(Sverdrup </w:t>
      </w:r>
      <w:r w:rsidR="005E5C82" w:rsidRPr="005E5C82">
        <w:rPr>
          <w:i/>
          <w:noProof/>
        </w:rPr>
        <w:t>et al.</w:t>
      </w:r>
      <w:r w:rsidR="005E5C82" w:rsidRPr="005E5C82">
        <w:rPr>
          <w:noProof/>
        </w:rPr>
        <w:t>, 2007)</w:t>
      </w:r>
      <w:r w:rsidR="005E5C82">
        <w:fldChar w:fldCharType="end"/>
      </w:r>
      <w:r w:rsidR="005E5C82">
        <w:t xml:space="preserve">, many of which are capable of breaking it down for use as a food source </w:t>
      </w:r>
      <w:r w:rsidR="005E5C82">
        <w:fldChar w:fldCharType="begin" w:fldLock="1"/>
      </w:r>
      <w:r w:rsidR="006A02CE">
        <w:instrText>ADDIN CSL_CITATION { "citationItems" : [ { "id" : "ITEM-1", "itemData" : { "author" : [ { "dropping-particle" : "", "family" : "Meulenberg", "given" : "Rogier", "non-dropping-particle" : "", "parse-names" : false, "suffix" : "" }, { "dropping-particle" : "", "family" : "Rijnaarts", "given" : "Huub H M", "non-dropping-particle" : "", "parse-names" : false, "suffix" : "" }, { "dropping-particle" : "", "family" : "Doddema", "given" : "Hans J", "non-dropping-particle" : "", "parse-names" : false, "suffix" : "" }, { "dropping-particle" : "", "family" : "Field", "given" : "Jim A", "non-dropping-particle" : "", "parse-names" : false, "suffix" : "" } ], "id" : "ITEM-1", "issued" : { "date-parts" : [ [ "1997" ] ] }, "page" : "45-49", "title" : "Partially oxidized polycyclic aromatic hydrocarbons show an increased bioavailability and biodegradability", "type" : "article-journal", "volume" : "152" }, "uris" : [ "http://www.mendeley.com/documents/?uuid=0c304aaa-52bc-4a31-a5f3-ab3ec1fad80f" ] } ], "mendeley" : { "formattedCitation" : "(Meulenberg &lt;i&gt;et al.&lt;/i&gt;, 1997)", "plainTextFormattedCitation" : "(Meulenberg et al., 1997)", "previouslyFormattedCitation" : "(Meulenberg &lt;i&gt;et al.&lt;/i&gt;, 1997)" }, "properties" : { "noteIndex" : 0 }, "schema" : "https://github.com/citation-style-language/schema/raw/master/csl-citation.json" }</w:instrText>
      </w:r>
      <w:r w:rsidR="005E5C82">
        <w:fldChar w:fldCharType="separate"/>
      </w:r>
      <w:r w:rsidR="005E5C82" w:rsidRPr="005E5C82">
        <w:rPr>
          <w:noProof/>
        </w:rPr>
        <w:t xml:space="preserve">(Meulenberg </w:t>
      </w:r>
      <w:r w:rsidR="005E5C82" w:rsidRPr="005E5C82">
        <w:rPr>
          <w:i/>
          <w:noProof/>
        </w:rPr>
        <w:t>et al.</w:t>
      </w:r>
      <w:r w:rsidR="005E5C82" w:rsidRPr="005E5C82">
        <w:rPr>
          <w:noProof/>
        </w:rPr>
        <w:t>, 1997)</w:t>
      </w:r>
      <w:r w:rsidR="005E5C82">
        <w:fldChar w:fldCharType="end"/>
      </w:r>
      <w:r w:rsidR="005E5C82">
        <w:t>.</w:t>
      </w:r>
      <w:r w:rsidR="00712FBE">
        <w:t xml:space="preserve"> </w:t>
      </w:r>
      <w:bookmarkStart w:id="0" w:name="_GoBack"/>
      <w:bookmarkEnd w:id="0"/>
    </w:p>
    <w:sectPr w:rsidR="004A3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D7A"/>
    <w:multiLevelType w:val="hybridMultilevel"/>
    <w:tmpl w:val="2D684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06791"/>
    <w:rsid w:val="000117FF"/>
    <w:rsid w:val="00011BB1"/>
    <w:rsid w:val="0001644A"/>
    <w:rsid w:val="0004463E"/>
    <w:rsid w:val="0004655E"/>
    <w:rsid w:val="00052A2C"/>
    <w:rsid w:val="00053050"/>
    <w:rsid w:val="00053A59"/>
    <w:rsid w:val="000552E5"/>
    <w:rsid w:val="00066374"/>
    <w:rsid w:val="00081477"/>
    <w:rsid w:val="000820B9"/>
    <w:rsid w:val="0008756C"/>
    <w:rsid w:val="00090EAE"/>
    <w:rsid w:val="000A45D1"/>
    <w:rsid w:val="000B69AC"/>
    <w:rsid w:val="000B75C7"/>
    <w:rsid w:val="000C4873"/>
    <w:rsid w:val="000D0172"/>
    <w:rsid w:val="000D6E18"/>
    <w:rsid w:val="000F6D14"/>
    <w:rsid w:val="0010465C"/>
    <w:rsid w:val="00104F33"/>
    <w:rsid w:val="00112611"/>
    <w:rsid w:val="0012215C"/>
    <w:rsid w:val="0012501D"/>
    <w:rsid w:val="001360BB"/>
    <w:rsid w:val="001408F6"/>
    <w:rsid w:val="001409C2"/>
    <w:rsid w:val="0015272F"/>
    <w:rsid w:val="00153D62"/>
    <w:rsid w:val="0015716C"/>
    <w:rsid w:val="0017381B"/>
    <w:rsid w:val="001801D9"/>
    <w:rsid w:val="00186ECA"/>
    <w:rsid w:val="00190399"/>
    <w:rsid w:val="001916E1"/>
    <w:rsid w:val="001A2A4B"/>
    <w:rsid w:val="001B0675"/>
    <w:rsid w:val="001B0E0C"/>
    <w:rsid w:val="001C573F"/>
    <w:rsid w:val="001C7035"/>
    <w:rsid w:val="001E5BF0"/>
    <w:rsid w:val="001E61B9"/>
    <w:rsid w:val="001E6C6B"/>
    <w:rsid w:val="001E7E68"/>
    <w:rsid w:val="00203C5B"/>
    <w:rsid w:val="00204412"/>
    <w:rsid w:val="00204DD5"/>
    <w:rsid w:val="0022534A"/>
    <w:rsid w:val="00227153"/>
    <w:rsid w:val="00230634"/>
    <w:rsid w:val="00234990"/>
    <w:rsid w:val="00235C7C"/>
    <w:rsid w:val="00244E39"/>
    <w:rsid w:val="00251337"/>
    <w:rsid w:val="00256C37"/>
    <w:rsid w:val="0025734E"/>
    <w:rsid w:val="00262A75"/>
    <w:rsid w:val="00265641"/>
    <w:rsid w:val="00266F7A"/>
    <w:rsid w:val="002777FC"/>
    <w:rsid w:val="00277C41"/>
    <w:rsid w:val="00277CBC"/>
    <w:rsid w:val="00280D6C"/>
    <w:rsid w:val="00281713"/>
    <w:rsid w:val="002B202B"/>
    <w:rsid w:val="002C6AB5"/>
    <w:rsid w:val="002E4A9F"/>
    <w:rsid w:val="002E7E8A"/>
    <w:rsid w:val="00303892"/>
    <w:rsid w:val="003168A5"/>
    <w:rsid w:val="0032265D"/>
    <w:rsid w:val="00331AE2"/>
    <w:rsid w:val="0034367E"/>
    <w:rsid w:val="00350A5E"/>
    <w:rsid w:val="003551EF"/>
    <w:rsid w:val="00362F5B"/>
    <w:rsid w:val="003662EC"/>
    <w:rsid w:val="0037585A"/>
    <w:rsid w:val="0038055A"/>
    <w:rsid w:val="003A726B"/>
    <w:rsid w:val="003A7E82"/>
    <w:rsid w:val="003A7F2C"/>
    <w:rsid w:val="003B07A1"/>
    <w:rsid w:val="003B3C0F"/>
    <w:rsid w:val="003C7FC1"/>
    <w:rsid w:val="003D163D"/>
    <w:rsid w:val="003E1F89"/>
    <w:rsid w:val="003E3E38"/>
    <w:rsid w:val="003E6C62"/>
    <w:rsid w:val="003F515F"/>
    <w:rsid w:val="003F62C9"/>
    <w:rsid w:val="00432BE0"/>
    <w:rsid w:val="0043545B"/>
    <w:rsid w:val="00443A6A"/>
    <w:rsid w:val="0045021F"/>
    <w:rsid w:val="00456F12"/>
    <w:rsid w:val="004661DD"/>
    <w:rsid w:val="00483606"/>
    <w:rsid w:val="00484255"/>
    <w:rsid w:val="0048655D"/>
    <w:rsid w:val="004A3624"/>
    <w:rsid w:val="004B3DD1"/>
    <w:rsid w:val="004D4F1A"/>
    <w:rsid w:val="004D632C"/>
    <w:rsid w:val="004E3735"/>
    <w:rsid w:val="004E74DB"/>
    <w:rsid w:val="00501FE2"/>
    <w:rsid w:val="00524E6A"/>
    <w:rsid w:val="0053381C"/>
    <w:rsid w:val="0055178A"/>
    <w:rsid w:val="0056346D"/>
    <w:rsid w:val="005673D9"/>
    <w:rsid w:val="0057620E"/>
    <w:rsid w:val="005A4B07"/>
    <w:rsid w:val="005B025A"/>
    <w:rsid w:val="005B27E4"/>
    <w:rsid w:val="005E5C82"/>
    <w:rsid w:val="005F1E11"/>
    <w:rsid w:val="005F6B20"/>
    <w:rsid w:val="00607063"/>
    <w:rsid w:val="00612F99"/>
    <w:rsid w:val="00620563"/>
    <w:rsid w:val="006355CC"/>
    <w:rsid w:val="006457DD"/>
    <w:rsid w:val="00656171"/>
    <w:rsid w:val="006567C0"/>
    <w:rsid w:val="00656955"/>
    <w:rsid w:val="006640BF"/>
    <w:rsid w:val="0066692B"/>
    <w:rsid w:val="00676E2E"/>
    <w:rsid w:val="00691B4E"/>
    <w:rsid w:val="006A02CE"/>
    <w:rsid w:val="006A65F8"/>
    <w:rsid w:val="006B2C3A"/>
    <w:rsid w:val="006B3FC7"/>
    <w:rsid w:val="006C007D"/>
    <w:rsid w:val="006C192A"/>
    <w:rsid w:val="006E60B2"/>
    <w:rsid w:val="006F29B0"/>
    <w:rsid w:val="006F3175"/>
    <w:rsid w:val="006F511C"/>
    <w:rsid w:val="006F6DE1"/>
    <w:rsid w:val="0070143E"/>
    <w:rsid w:val="00712FBE"/>
    <w:rsid w:val="007365FF"/>
    <w:rsid w:val="00740454"/>
    <w:rsid w:val="00740D07"/>
    <w:rsid w:val="00744C60"/>
    <w:rsid w:val="00744FC4"/>
    <w:rsid w:val="00751082"/>
    <w:rsid w:val="007524ED"/>
    <w:rsid w:val="00777EA7"/>
    <w:rsid w:val="007859C7"/>
    <w:rsid w:val="007861EA"/>
    <w:rsid w:val="00792ED3"/>
    <w:rsid w:val="00796C61"/>
    <w:rsid w:val="007A41C0"/>
    <w:rsid w:val="007B1AB2"/>
    <w:rsid w:val="007B2F4C"/>
    <w:rsid w:val="007D2F58"/>
    <w:rsid w:val="007E0D87"/>
    <w:rsid w:val="007E27E5"/>
    <w:rsid w:val="007F62B0"/>
    <w:rsid w:val="00800C1D"/>
    <w:rsid w:val="00811F82"/>
    <w:rsid w:val="00820A61"/>
    <w:rsid w:val="00830426"/>
    <w:rsid w:val="008308C9"/>
    <w:rsid w:val="008368AF"/>
    <w:rsid w:val="00863A0C"/>
    <w:rsid w:val="0088404E"/>
    <w:rsid w:val="00884159"/>
    <w:rsid w:val="00890D99"/>
    <w:rsid w:val="0089737B"/>
    <w:rsid w:val="008A1B66"/>
    <w:rsid w:val="008B7B37"/>
    <w:rsid w:val="008C32F2"/>
    <w:rsid w:val="008C692C"/>
    <w:rsid w:val="008C6F96"/>
    <w:rsid w:val="008D0EAA"/>
    <w:rsid w:val="008D3F56"/>
    <w:rsid w:val="008E657E"/>
    <w:rsid w:val="008F35D7"/>
    <w:rsid w:val="008F3B97"/>
    <w:rsid w:val="008F4E3F"/>
    <w:rsid w:val="00902572"/>
    <w:rsid w:val="00912A59"/>
    <w:rsid w:val="00913873"/>
    <w:rsid w:val="0091471A"/>
    <w:rsid w:val="00923281"/>
    <w:rsid w:val="0093389E"/>
    <w:rsid w:val="00954403"/>
    <w:rsid w:val="00960623"/>
    <w:rsid w:val="00962F39"/>
    <w:rsid w:val="0098153F"/>
    <w:rsid w:val="0098566A"/>
    <w:rsid w:val="00986469"/>
    <w:rsid w:val="00993B87"/>
    <w:rsid w:val="009A6057"/>
    <w:rsid w:val="009B1DCB"/>
    <w:rsid w:val="009D3330"/>
    <w:rsid w:val="009D66CF"/>
    <w:rsid w:val="009E39FD"/>
    <w:rsid w:val="009F2D3F"/>
    <w:rsid w:val="009F574E"/>
    <w:rsid w:val="00A007D6"/>
    <w:rsid w:val="00A02A26"/>
    <w:rsid w:val="00A148E7"/>
    <w:rsid w:val="00A16FB1"/>
    <w:rsid w:val="00A3251D"/>
    <w:rsid w:val="00A45F7C"/>
    <w:rsid w:val="00A617D9"/>
    <w:rsid w:val="00A97DC4"/>
    <w:rsid w:val="00AA27F5"/>
    <w:rsid w:val="00AF1A54"/>
    <w:rsid w:val="00AF2DCE"/>
    <w:rsid w:val="00AF5864"/>
    <w:rsid w:val="00B16E90"/>
    <w:rsid w:val="00B56868"/>
    <w:rsid w:val="00B77B87"/>
    <w:rsid w:val="00B818A9"/>
    <w:rsid w:val="00BA6E83"/>
    <w:rsid w:val="00BA736C"/>
    <w:rsid w:val="00BB2FE6"/>
    <w:rsid w:val="00BC1A0E"/>
    <w:rsid w:val="00BC3020"/>
    <w:rsid w:val="00BC639A"/>
    <w:rsid w:val="00BD6687"/>
    <w:rsid w:val="00BD7A88"/>
    <w:rsid w:val="00C03BA1"/>
    <w:rsid w:val="00C13503"/>
    <w:rsid w:val="00C20335"/>
    <w:rsid w:val="00C24BBA"/>
    <w:rsid w:val="00C3451D"/>
    <w:rsid w:val="00C47F5A"/>
    <w:rsid w:val="00C538A1"/>
    <w:rsid w:val="00C72D33"/>
    <w:rsid w:val="00C75D16"/>
    <w:rsid w:val="00C76767"/>
    <w:rsid w:val="00C84067"/>
    <w:rsid w:val="00C95CA7"/>
    <w:rsid w:val="00C96583"/>
    <w:rsid w:val="00C97AD1"/>
    <w:rsid w:val="00CA151E"/>
    <w:rsid w:val="00CA3310"/>
    <w:rsid w:val="00CB6033"/>
    <w:rsid w:val="00CB79A1"/>
    <w:rsid w:val="00CC0DF5"/>
    <w:rsid w:val="00CD4A8A"/>
    <w:rsid w:val="00CE6208"/>
    <w:rsid w:val="00CE62F9"/>
    <w:rsid w:val="00CF33FF"/>
    <w:rsid w:val="00D059FB"/>
    <w:rsid w:val="00D26269"/>
    <w:rsid w:val="00D33180"/>
    <w:rsid w:val="00D343E1"/>
    <w:rsid w:val="00D62D4A"/>
    <w:rsid w:val="00D642DC"/>
    <w:rsid w:val="00D745B7"/>
    <w:rsid w:val="00DA6762"/>
    <w:rsid w:val="00DB1B6C"/>
    <w:rsid w:val="00DB481A"/>
    <w:rsid w:val="00DE53C4"/>
    <w:rsid w:val="00DE76D7"/>
    <w:rsid w:val="00E14415"/>
    <w:rsid w:val="00E15ECF"/>
    <w:rsid w:val="00E367AE"/>
    <w:rsid w:val="00E46194"/>
    <w:rsid w:val="00E54BB0"/>
    <w:rsid w:val="00E61465"/>
    <w:rsid w:val="00E64588"/>
    <w:rsid w:val="00E67DD5"/>
    <w:rsid w:val="00E97F60"/>
    <w:rsid w:val="00EA2D3E"/>
    <w:rsid w:val="00EB4251"/>
    <w:rsid w:val="00EC39C4"/>
    <w:rsid w:val="00ED32CA"/>
    <w:rsid w:val="00EF0528"/>
    <w:rsid w:val="00EF0F60"/>
    <w:rsid w:val="00EF4548"/>
    <w:rsid w:val="00F073C9"/>
    <w:rsid w:val="00F27800"/>
    <w:rsid w:val="00F3066B"/>
    <w:rsid w:val="00F3068C"/>
    <w:rsid w:val="00F55309"/>
    <w:rsid w:val="00F675C4"/>
    <w:rsid w:val="00FA02F0"/>
    <w:rsid w:val="00FA5F2C"/>
    <w:rsid w:val="00FB78C6"/>
    <w:rsid w:val="00FC51C2"/>
    <w:rsid w:val="00FC536D"/>
    <w:rsid w:val="00FE0425"/>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2E"/>
    <w:pPr>
      <w:jc w:val="both"/>
    </w:pPr>
  </w:style>
  <w:style w:type="paragraph" w:styleId="Heading1">
    <w:name w:val="heading 1"/>
    <w:basedOn w:val="ListParagraph"/>
    <w:next w:val="Normal"/>
    <w:link w:val="Heading1Char"/>
    <w:uiPriority w:val="9"/>
    <w:qFormat/>
    <w:rsid w:val="005338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5673D9"/>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89"/>
    <w:pPr>
      <w:ind w:left="720"/>
      <w:contextualSpacing/>
    </w:pPr>
  </w:style>
  <w:style w:type="character" w:customStyle="1" w:styleId="Heading1Char">
    <w:name w:val="Heading 1 Char"/>
    <w:basedOn w:val="DefaultParagraphFont"/>
    <w:link w:val="Heading1"/>
    <w:uiPriority w:val="9"/>
    <w:rsid w:val="0053381C"/>
    <w:rPr>
      <w:b/>
    </w:rPr>
  </w:style>
  <w:style w:type="character" w:customStyle="1" w:styleId="Heading2Char">
    <w:name w:val="Heading 2 Char"/>
    <w:basedOn w:val="DefaultParagraphFont"/>
    <w:link w:val="Heading2"/>
    <w:uiPriority w:val="9"/>
    <w:rsid w:val="005673D9"/>
    <w:rPr>
      <w:i/>
    </w:rPr>
  </w:style>
  <w:style w:type="paragraph" w:styleId="BalloonText">
    <w:name w:val="Balloon Text"/>
    <w:basedOn w:val="Normal"/>
    <w:link w:val="BalloonTextChar"/>
    <w:uiPriority w:val="99"/>
    <w:semiHidden/>
    <w:unhideWhenUsed/>
    <w:rsid w:val="00986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469"/>
    <w:rPr>
      <w:rFonts w:ascii="Segoe UI" w:hAnsi="Segoe UI" w:cs="Segoe UI"/>
      <w:sz w:val="18"/>
      <w:szCs w:val="18"/>
    </w:rPr>
  </w:style>
  <w:style w:type="table" w:styleId="PlainTable2">
    <w:name w:val="Plain Table 2"/>
    <w:basedOn w:val="TableNormal"/>
    <w:uiPriority w:val="42"/>
    <w:rsid w:val="009E39F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280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280D6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763">
      <w:bodyDiv w:val="1"/>
      <w:marLeft w:val="0"/>
      <w:marRight w:val="0"/>
      <w:marTop w:val="0"/>
      <w:marBottom w:val="0"/>
      <w:divBdr>
        <w:top w:val="none" w:sz="0" w:space="0" w:color="auto"/>
        <w:left w:val="none" w:sz="0" w:space="0" w:color="auto"/>
        <w:bottom w:val="none" w:sz="0" w:space="0" w:color="auto"/>
        <w:right w:val="none" w:sz="0" w:space="0" w:color="auto"/>
      </w:divBdr>
    </w:div>
    <w:div w:id="1121538237">
      <w:bodyDiv w:val="1"/>
      <w:marLeft w:val="0"/>
      <w:marRight w:val="0"/>
      <w:marTop w:val="0"/>
      <w:marBottom w:val="0"/>
      <w:divBdr>
        <w:top w:val="none" w:sz="0" w:space="0" w:color="auto"/>
        <w:left w:val="none" w:sz="0" w:space="0" w:color="auto"/>
        <w:bottom w:val="none" w:sz="0" w:space="0" w:color="auto"/>
        <w:right w:val="none" w:sz="0" w:space="0" w:color="auto"/>
      </w:divBdr>
    </w:div>
    <w:div w:id="16129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44F46-9E71-4531-A51B-3B7B5D00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3479</TotalTime>
  <Pages>4</Pages>
  <Words>21916</Words>
  <Characters>124927</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43</cp:revision>
  <dcterms:created xsi:type="dcterms:W3CDTF">2018-05-27T08:50:00Z</dcterms:created>
  <dcterms:modified xsi:type="dcterms:W3CDTF">2018-07-19T14:22:00Z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http://www.zotero.org/styles/harvard1</vt:lpwstr>
  </property>
</Properties>
</file>