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2F83E" w14:textId="77777777" w:rsidR="004B4E41" w:rsidRPr="00277D92" w:rsidRDefault="004B4E41" w:rsidP="00277D92">
      <w:pPr>
        <w:pStyle w:val="Heading1"/>
      </w:pPr>
      <w:r w:rsidRPr="00277D92">
        <w:t>Bacterial Isolates</w:t>
      </w:r>
    </w:p>
    <w:p w14:paraId="324A3878" w14:textId="6F51DB19" w:rsidR="00480382" w:rsidRDefault="00633BBE" w:rsidP="005A02F8">
      <w:r w:rsidRPr="00633BBE">
        <w:t>8</w:t>
      </w:r>
      <w:r>
        <w:t xml:space="preserve"> sets of bacterial isolates</w:t>
      </w:r>
      <w:r w:rsidR="005A02F8">
        <w:t xml:space="preserve"> (Table A)</w:t>
      </w:r>
      <w:r>
        <w:t xml:space="preserve"> were </w:t>
      </w:r>
      <w:r w:rsidR="005A02F8">
        <w:t>selected</w:t>
      </w:r>
      <w:r w:rsidR="001301D6">
        <w:t xml:space="preserve">, sourced principally from the Nash’s Field experimental site at </w:t>
      </w:r>
      <w:proofErr w:type="spellStart"/>
      <w:r w:rsidR="001301D6">
        <w:t>Silwood</w:t>
      </w:r>
      <w:proofErr w:type="spellEnd"/>
      <w:r w:rsidR="001301D6">
        <w:t xml:space="preserve"> Park.</w:t>
      </w:r>
      <w:r w:rsidR="009A2547">
        <w:t xml:space="preserve"> Plots N and P</w:t>
      </w:r>
      <w:r w:rsidR="00422BC2">
        <w:t xml:space="preserve"> (see Appendix X)</w:t>
      </w:r>
      <w:r w:rsidR="009A2547">
        <w:t xml:space="preserve"> of Nash’s Field have since 1991 been treated thr</w:t>
      </w:r>
      <w:r w:rsidR="00EC7971">
        <w:t>ice yearly</w:t>
      </w:r>
      <w:r w:rsidR="009A2547">
        <w:t xml:space="preserve"> with metaldehyde</w:t>
      </w:r>
      <w:r w:rsidR="00DA3963">
        <w:t xml:space="preserve"> at </w:t>
      </w:r>
      <w:r w:rsidR="00DA3963" w:rsidRPr="00DA3963">
        <w:t>960 g</w:t>
      </w:r>
      <w:r w:rsidR="00DA3963">
        <w:t>.</w:t>
      </w:r>
      <w:r w:rsidR="00DA3963" w:rsidRPr="00DA3963">
        <w:t>ha</w:t>
      </w:r>
      <w:r w:rsidR="00DA3963" w:rsidRPr="00DA3963">
        <w:rPr>
          <w:vertAlign w:val="superscript"/>
        </w:rPr>
        <w:t>-1</w:t>
      </w:r>
      <w:r w:rsidR="00DA3963" w:rsidRPr="00DA3963">
        <w:t xml:space="preserve"> </w:t>
      </w:r>
      <w:r w:rsidR="00EC7971">
        <w:t xml:space="preserve">as part of herbivore exclusion experiments </w:t>
      </w:r>
      <w:r w:rsidR="00EC7971">
        <w:fldChar w:fldCharType="begin" w:fldLock="1"/>
      </w:r>
      <w:r w:rsidR="00422BC2">
        <w:instrText>ADDIN CSL_CITATION { "citationItems" : [ { "id" : "ITEM-1", "itemData" : { "DOI" : "10.1111/j.1461-0248.2011.01694.x", "ISBN" : "1461-023X", "ISSN" : "1461023X", "PMID" : "22017580", "abstract" : "The importance of invertebrate herbivores in regulating plant communities remains unclear, due to the absence of long-term exclusion experiments. An experiment in an English grassland involving long-term exclusions of insect and mollusc herbivores, along with rabbit fencing, showed strong, but opposing, effects of the invertebrate herbivores. Plant species richness declined and biomass increased following insect exclusion, due to increased dominance by a grass species, whereas mollusc exclusion led to increased herbs abundance. The two herbivores had a compensatory interaction: molluscs had no effects in the absence of insects and large insect effects depended on the absence of molluscs. The effects of invertebrate exclusion became apparent only after 8 years, and would have been seriously underestimated in shorter studies. Our results suggest that theorists and conservation managers need to shift from their historic focus on vertebrate herbivory, to a recognition that invertebrates can be equally important drivers of plant community structure.", "author" : [ { "dropping-particle" : "", "family" : "Allan", "given" : "Eric", "non-dropping-particle" : "", "parse-names" : false, "suffix" : "" }, { "dropping-particle" : "", "family" : "Crawley", "given" : "Michael J.", "non-dropping-particle" : "", "parse-names" : false, "suffix" : "" } ], "container-title" : "Ecology Letters", "id" : "ITEM-1", "issue" : "12", "issued" : { "date-parts" : [ [ "2011" ] ] }, "page" : "1246-1253", "title" : "Contrasting effects of insect and molluscan herbivores on plant diversity in a long-term field experiment", "type" : "article-journal", "volume" : "14" }, "uris" : [ "http://www.mendeley.com/documents/?uuid=0a49612d-7491-472b-a685-6947174d4c3e" ] } ], "mendeley" : { "formattedCitation" : "(Allan and Crawley, 2011)", "plainTextFormattedCitation" : "(Allan and Crawley, 2011)", "previouslyFormattedCitation" : "(Allan and Crawley, 2011)" }, "properties" : { "noteIndex" : 0 }, "schema" : "https://github.com/citation-style-language/schema/raw/master/csl-citation.json" }</w:instrText>
      </w:r>
      <w:r w:rsidR="00EC7971">
        <w:fldChar w:fldCharType="separate"/>
      </w:r>
      <w:r w:rsidR="00EC7971" w:rsidRPr="00EC7971">
        <w:rPr>
          <w:noProof/>
        </w:rPr>
        <w:t>(Allan and Crawley, 2011)</w:t>
      </w:r>
      <w:r w:rsidR="00EC7971">
        <w:fldChar w:fldCharType="end"/>
      </w:r>
      <w:r w:rsidR="00EC7971">
        <w:t xml:space="preserve">, while bacteria were isolated and sequenced </w:t>
      </w:r>
      <w:r w:rsidR="00422BC2">
        <w:t xml:space="preserve">in 2016 for an earlier study </w:t>
      </w:r>
      <w:r w:rsidR="00422BC2">
        <w:fldChar w:fldCharType="begin" w:fldLock="1"/>
      </w:r>
      <w:r w:rsidR="00620BE0">
        <w:instrText>ADDIN CSL_CITATION { "citationItems" : [ { "id" : "ITEM-1", "itemData" : { "author" : [ { "dropping-particle" : "", "family" : "Mombrikotb", "given" : "Shorok Bashir", "non-dropping-particle" : "", "parse-names" : false, "suffix" : "" } ], "id" : "ITEM-1", "issued" : { "date-parts" : [ [ "2016" ] ] }, "title" : "The contribution of environmental selection on microbial community structure , function and biogeography .", "type" : "article-journal" }, "uris" : [ "http://www.mendeley.com/documents/?uuid=1b611cd1-b200-47be-a24d-246de5f2de77" ] } ], "mendeley" : { "formattedCitation" : "(Mombrikotb, 2016)", "plainTextFormattedCitation" : "(Mombrikotb, 2016)", "previouslyFormattedCitation" : "(Mombrikotb, 2016)" }, "properties" : { "noteIndex" : 0 }, "schema" : "https://github.com/citation-style-language/schema/raw/master/csl-citation.json" }</w:instrText>
      </w:r>
      <w:r w:rsidR="00422BC2">
        <w:fldChar w:fldCharType="separate"/>
      </w:r>
      <w:r w:rsidR="00422BC2" w:rsidRPr="00422BC2">
        <w:rPr>
          <w:noProof/>
        </w:rPr>
        <w:t>(Mombrikotb, 2016)</w:t>
      </w:r>
      <w:r w:rsidR="00422BC2">
        <w:fldChar w:fldCharType="end"/>
      </w:r>
      <w:r w:rsidR="00422BC2">
        <w:t>.</w:t>
      </w:r>
      <w:r w:rsidR="003F3A0D">
        <w:t xml:space="preserve"> Isolates</w:t>
      </w:r>
      <w:r w:rsidR="00DD017E">
        <w:t xml:space="preserve"> were</w:t>
      </w:r>
      <w:r w:rsidR="006E2E48">
        <w:t xml:space="preserve"> stored on </w:t>
      </w:r>
      <w:proofErr w:type="spellStart"/>
      <w:r w:rsidR="006E2E48">
        <w:t>CryoBeads</w:t>
      </w:r>
      <w:proofErr w:type="spellEnd"/>
      <w:r w:rsidR="006E2E48">
        <w:t xml:space="preserve"> in a standard </w:t>
      </w:r>
      <w:r w:rsidR="00E85F71">
        <w:t>Brucella Broth with Glycerol</w:t>
      </w:r>
      <w:r w:rsidR="006E2E48">
        <w:t xml:space="preserve"> solution</w:t>
      </w:r>
      <w:r w:rsidR="00E85F71">
        <w:t xml:space="preserve"> (</w:t>
      </w:r>
      <w:r w:rsidR="00F661E5">
        <w:t>H</w:t>
      </w:r>
      <w:bookmarkStart w:id="0" w:name="_GoBack"/>
      <w:bookmarkEnd w:id="0"/>
      <w:r w:rsidR="00E85F71">
        <w:t xml:space="preserve">ardy Diagnostics, </w:t>
      </w:r>
      <w:r w:rsidR="00E85F71" w:rsidRPr="00E85F71">
        <w:t>CB12</w:t>
      </w:r>
      <w:r w:rsidR="00E85F71">
        <w:t>)</w:t>
      </w:r>
      <w:r w:rsidR="006E2E48">
        <w:t xml:space="preserve"> at -80°C until needed for experiments, when they</w:t>
      </w:r>
      <w:r w:rsidR="003F3A0D">
        <w:t xml:space="preserve"> were cultured</w:t>
      </w:r>
      <w:r w:rsidR="003971AF">
        <w:t xml:space="preserve"> overnight on a rotary shaker</w:t>
      </w:r>
      <w:r w:rsidR="003F3A0D">
        <w:t xml:space="preserve"> in a standard R2A broth</w:t>
      </w:r>
      <w:r w:rsidR="003971AF">
        <w:t xml:space="preserve"> at room temperature</w:t>
      </w:r>
      <w:r w:rsidR="0037127E">
        <w:t xml:space="preserve"> (25.9 – 26.6 °C over a 48h period)</w:t>
      </w:r>
      <w:r w:rsidR="003F3A0D">
        <w:t xml:space="preserve"> prior to experiments.</w:t>
      </w:r>
      <w:r w:rsidR="00DD017E">
        <w:t xml:space="preserve"> Soil communities were frozen in a 60</w:t>
      </w:r>
      <w:r w:rsidR="00FF5CAE">
        <w:t xml:space="preserve">% glycerol solution immediately after extraction and defrosted on an individual basis for overnight culturing. </w:t>
      </w:r>
    </w:p>
    <w:tbl>
      <w:tblPr>
        <w:tblStyle w:val="ListTable1Light-Accent3"/>
        <w:tblW w:w="0" w:type="auto"/>
        <w:tblLook w:val="06A0" w:firstRow="1" w:lastRow="0" w:firstColumn="1" w:lastColumn="0" w:noHBand="1" w:noVBand="1"/>
      </w:tblPr>
      <w:tblGrid>
        <w:gridCol w:w="1665"/>
        <w:gridCol w:w="1879"/>
        <w:gridCol w:w="2947"/>
        <w:gridCol w:w="1238"/>
        <w:gridCol w:w="1297"/>
      </w:tblGrid>
      <w:tr w:rsidR="00A01539" w:rsidRPr="00A01539" w14:paraId="5FDA8BF7" w14:textId="77777777" w:rsidTr="00F80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14:paraId="6465142E" w14:textId="77777777" w:rsidR="00A01539" w:rsidRPr="00A01539" w:rsidRDefault="00A01539" w:rsidP="005A02F8">
            <w:pPr>
              <w:rPr>
                <w:sz w:val="16"/>
              </w:rPr>
            </w:pPr>
            <w:r w:rsidRPr="00A01539">
              <w:rPr>
                <w:sz w:val="16"/>
              </w:rPr>
              <w:t>Strain</w:t>
            </w:r>
          </w:p>
        </w:tc>
        <w:tc>
          <w:tcPr>
            <w:tcW w:w="1879" w:type="dxa"/>
          </w:tcPr>
          <w:p w14:paraId="14C41895" w14:textId="77777777" w:rsidR="00A01539" w:rsidRPr="00A01539" w:rsidRDefault="00A01539" w:rsidP="005A02F8">
            <w:pPr>
              <w:cnfStyle w:val="100000000000" w:firstRow="1" w:lastRow="0" w:firstColumn="0" w:lastColumn="0" w:oddVBand="0" w:evenVBand="0" w:oddHBand="0" w:evenHBand="0" w:firstRowFirstColumn="0" w:firstRowLastColumn="0" w:lastRowFirstColumn="0" w:lastRowLastColumn="0"/>
              <w:rPr>
                <w:sz w:val="16"/>
              </w:rPr>
            </w:pPr>
            <w:r w:rsidRPr="00A01539">
              <w:rPr>
                <w:sz w:val="16"/>
              </w:rPr>
              <w:t>Species</w:t>
            </w:r>
          </w:p>
        </w:tc>
        <w:tc>
          <w:tcPr>
            <w:tcW w:w="2947" w:type="dxa"/>
          </w:tcPr>
          <w:p w14:paraId="7CE6F98B" w14:textId="3E3CC203" w:rsidR="00A01539" w:rsidRPr="00A01539" w:rsidRDefault="00A01539" w:rsidP="005A02F8">
            <w:pPr>
              <w:cnfStyle w:val="100000000000" w:firstRow="1" w:lastRow="0" w:firstColumn="0" w:lastColumn="0" w:oddVBand="0" w:evenVBand="0" w:oddHBand="0" w:evenHBand="0" w:firstRowFirstColumn="0" w:firstRowLastColumn="0" w:lastRowFirstColumn="0" w:lastRowLastColumn="0"/>
              <w:rPr>
                <w:sz w:val="16"/>
              </w:rPr>
            </w:pPr>
            <w:r>
              <w:rPr>
                <w:sz w:val="16"/>
              </w:rPr>
              <w:t>Species Notes</w:t>
            </w:r>
          </w:p>
        </w:tc>
        <w:tc>
          <w:tcPr>
            <w:tcW w:w="1238" w:type="dxa"/>
          </w:tcPr>
          <w:p w14:paraId="41EFC6DF" w14:textId="1EF01F21" w:rsidR="00A01539" w:rsidRPr="00A01539" w:rsidRDefault="00A01539" w:rsidP="005A02F8">
            <w:pPr>
              <w:cnfStyle w:val="100000000000" w:firstRow="1" w:lastRow="0" w:firstColumn="0" w:lastColumn="0" w:oddVBand="0" w:evenVBand="0" w:oddHBand="0" w:evenHBand="0" w:firstRowFirstColumn="0" w:firstRowLastColumn="0" w:lastRowFirstColumn="0" w:lastRowLastColumn="0"/>
              <w:rPr>
                <w:sz w:val="16"/>
              </w:rPr>
            </w:pPr>
            <w:r w:rsidRPr="00A01539">
              <w:rPr>
                <w:sz w:val="16"/>
              </w:rPr>
              <w:t>Source</w:t>
            </w:r>
          </w:p>
        </w:tc>
        <w:tc>
          <w:tcPr>
            <w:tcW w:w="1297" w:type="dxa"/>
          </w:tcPr>
          <w:p w14:paraId="26AD4270" w14:textId="77777777" w:rsidR="00A01539" w:rsidRPr="00A01539" w:rsidRDefault="00A01539" w:rsidP="005A02F8">
            <w:pPr>
              <w:cnfStyle w:val="100000000000" w:firstRow="1" w:lastRow="0" w:firstColumn="0" w:lastColumn="0" w:oddVBand="0" w:evenVBand="0" w:oddHBand="0" w:evenHBand="0" w:firstRowFirstColumn="0" w:firstRowLastColumn="0" w:lastRowFirstColumn="0" w:lastRowLastColumn="0"/>
              <w:rPr>
                <w:sz w:val="16"/>
              </w:rPr>
            </w:pPr>
            <w:r w:rsidRPr="00A01539">
              <w:rPr>
                <w:sz w:val="16"/>
              </w:rPr>
              <w:t>Exposure History</w:t>
            </w:r>
          </w:p>
        </w:tc>
      </w:tr>
      <w:tr w:rsidR="00A01539" w:rsidRPr="00A01539" w14:paraId="502C3FD0" w14:textId="77777777" w:rsidTr="00F80DAA">
        <w:tc>
          <w:tcPr>
            <w:cnfStyle w:val="001000000000" w:firstRow="0" w:lastRow="0" w:firstColumn="1" w:lastColumn="0" w:oddVBand="0" w:evenVBand="0" w:oddHBand="0" w:evenHBand="0" w:firstRowFirstColumn="0" w:firstRowLastColumn="0" w:lastRowFirstColumn="0" w:lastRowLastColumn="0"/>
            <w:tcW w:w="1665" w:type="dxa"/>
          </w:tcPr>
          <w:p w14:paraId="5E38754B" w14:textId="77777777" w:rsidR="00A01539" w:rsidRPr="00A01539" w:rsidRDefault="00A01539" w:rsidP="005A02F8">
            <w:pPr>
              <w:rPr>
                <w:sz w:val="16"/>
              </w:rPr>
            </w:pPr>
            <w:r w:rsidRPr="00A01539">
              <w:rPr>
                <w:sz w:val="16"/>
              </w:rPr>
              <w:t>SBM_R2A_LUF4_5</w:t>
            </w:r>
          </w:p>
        </w:tc>
        <w:tc>
          <w:tcPr>
            <w:tcW w:w="1879" w:type="dxa"/>
          </w:tcPr>
          <w:p w14:paraId="36F8B409" w14:textId="77777777" w:rsidR="00A01539" w:rsidRPr="00A01539" w:rsidRDefault="00A01539" w:rsidP="005A02F8">
            <w:pPr>
              <w:cnfStyle w:val="000000000000" w:firstRow="0" w:lastRow="0" w:firstColumn="0" w:lastColumn="0" w:oddVBand="0" w:evenVBand="0" w:oddHBand="0" w:evenHBand="0" w:firstRowFirstColumn="0" w:firstRowLastColumn="0" w:lastRowFirstColumn="0" w:lastRowLastColumn="0"/>
              <w:rPr>
                <w:i/>
                <w:sz w:val="16"/>
              </w:rPr>
            </w:pPr>
            <w:proofErr w:type="spellStart"/>
            <w:r w:rsidRPr="00A01539">
              <w:rPr>
                <w:i/>
                <w:sz w:val="16"/>
              </w:rPr>
              <w:t>Luteibacter</w:t>
            </w:r>
            <w:proofErr w:type="spellEnd"/>
            <w:r w:rsidRPr="00A01539">
              <w:rPr>
                <w:i/>
                <w:sz w:val="16"/>
              </w:rPr>
              <w:t xml:space="preserve"> </w:t>
            </w:r>
            <w:proofErr w:type="spellStart"/>
            <w:r w:rsidRPr="00A01539">
              <w:rPr>
                <w:i/>
                <w:sz w:val="16"/>
              </w:rPr>
              <w:t>rhizovicinus</w:t>
            </w:r>
            <w:proofErr w:type="spellEnd"/>
          </w:p>
        </w:tc>
        <w:tc>
          <w:tcPr>
            <w:tcW w:w="2947" w:type="dxa"/>
          </w:tcPr>
          <w:p w14:paraId="5B403C87" w14:textId="52420A39" w:rsidR="00A01539" w:rsidRPr="00A01539" w:rsidRDefault="00503FA4" w:rsidP="005A02F8">
            <w:pPr>
              <w:cnfStyle w:val="000000000000" w:firstRow="0" w:lastRow="0" w:firstColumn="0" w:lastColumn="0" w:oddVBand="0" w:evenVBand="0" w:oddHBand="0" w:evenHBand="0" w:firstRowFirstColumn="0" w:firstRowLastColumn="0" w:lastRowFirstColumn="0" w:lastRowLastColumn="0"/>
              <w:rPr>
                <w:sz w:val="16"/>
              </w:rPr>
            </w:pPr>
            <w:r>
              <w:rPr>
                <w:sz w:val="16"/>
              </w:rPr>
              <w:t>First isolated from rhizosphere</w:t>
            </w:r>
          </w:p>
        </w:tc>
        <w:tc>
          <w:tcPr>
            <w:tcW w:w="1238" w:type="dxa"/>
          </w:tcPr>
          <w:p w14:paraId="7E1F856C" w14:textId="4400516B" w:rsidR="00A01539" w:rsidRPr="00A01539" w:rsidRDefault="00A01539" w:rsidP="005A02F8">
            <w:pPr>
              <w:cnfStyle w:val="000000000000" w:firstRow="0" w:lastRow="0" w:firstColumn="0" w:lastColumn="0" w:oddVBand="0" w:evenVBand="0" w:oddHBand="0" w:evenHBand="0" w:firstRowFirstColumn="0" w:firstRowLastColumn="0" w:lastRowFirstColumn="0" w:lastRowLastColumn="0"/>
              <w:rPr>
                <w:sz w:val="16"/>
              </w:rPr>
            </w:pPr>
            <w:r w:rsidRPr="00A01539">
              <w:rPr>
                <w:sz w:val="16"/>
              </w:rPr>
              <w:t>Nash’s Field</w:t>
            </w:r>
          </w:p>
        </w:tc>
        <w:tc>
          <w:tcPr>
            <w:tcW w:w="1297" w:type="dxa"/>
          </w:tcPr>
          <w:p w14:paraId="1A4E7D5E" w14:textId="77777777" w:rsidR="00A01539" w:rsidRPr="00A01539" w:rsidRDefault="00A01539" w:rsidP="005A02F8">
            <w:pPr>
              <w:cnfStyle w:val="000000000000" w:firstRow="0" w:lastRow="0" w:firstColumn="0" w:lastColumn="0" w:oddVBand="0" w:evenVBand="0" w:oddHBand="0" w:evenHBand="0" w:firstRowFirstColumn="0" w:firstRowLastColumn="0" w:lastRowFirstColumn="0" w:lastRowLastColumn="0"/>
              <w:rPr>
                <w:sz w:val="16"/>
              </w:rPr>
            </w:pPr>
            <w:r w:rsidRPr="00A01539">
              <w:rPr>
                <w:sz w:val="16"/>
              </w:rPr>
              <w:t>Control</w:t>
            </w:r>
          </w:p>
        </w:tc>
      </w:tr>
      <w:tr w:rsidR="00A01539" w:rsidRPr="00A01539" w14:paraId="5A8252BD" w14:textId="77777777" w:rsidTr="00F80DAA">
        <w:tc>
          <w:tcPr>
            <w:cnfStyle w:val="001000000000" w:firstRow="0" w:lastRow="0" w:firstColumn="1" w:lastColumn="0" w:oddVBand="0" w:evenVBand="0" w:oddHBand="0" w:evenHBand="0" w:firstRowFirstColumn="0" w:firstRowLastColumn="0" w:lastRowFirstColumn="0" w:lastRowLastColumn="0"/>
            <w:tcW w:w="1665" w:type="dxa"/>
            <w:shd w:val="clear" w:color="auto" w:fill="F2F2F2" w:themeFill="background1" w:themeFillShade="F2"/>
          </w:tcPr>
          <w:p w14:paraId="4C98DF09" w14:textId="77777777" w:rsidR="00A01539" w:rsidRPr="00A01539" w:rsidRDefault="00A01539" w:rsidP="005A02F8">
            <w:pPr>
              <w:rPr>
                <w:sz w:val="16"/>
              </w:rPr>
            </w:pPr>
            <w:r w:rsidRPr="00A01539">
              <w:rPr>
                <w:sz w:val="16"/>
              </w:rPr>
              <w:t>R2A_KUB5_13</w:t>
            </w:r>
          </w:p>
        </w:tc>
        <w:tc>
          <w:tcPr>
            <w:tcW w:w="1879" w:type="dxa"/>
            <w:shd w:val="clear" w:color="auto" w:fill="F2F2F2" w:themeFill="background1" w:themeFillShade="F2"/>
          </w:tcPr>
          <w:p w14:paraId="1FB13942" w14:textId="77777777" w:rsidR="00A01539" w:rsidRPr="00A01539" w:rsidRDefault="00A01539" w:rsidP="005A02F8">
            <w:pPr>
              <w:cnfStyle w:val="000000000000" w:firstRow="0" w:lastRow="0" w:firstColumn="0" w:lastColumn="0" w:oddVBand="0" w:evenVBand="0" w:oddHBand="0" w:evenHBand="0" w:firstRowFirstColumn="0" w:firstRowLastColumn="0" w:lastRowFirstColumn="0" w:lastRowLastColumn="0"/>
              <w:rPr>
                <w:i/>
                <w:sz w:val="16"/>
              </w:rPr>
            </w:pPr>
            <w:proofErr w:type="spellStart"/>
            <w:r w:rsidRPr="00A01539">
              <w:rPr>
                <w:i/>
                <w:sz w:val="16"/>
              </w:rPr>
              <w:t>Variovorax</w:t>
            </w:r>
            <w:proofErr w:type="spellEnd"/>
            <w:r w:rsidRPr="00A01539">
              <w:rPr>
                <w:i/>
                <w:sz w:val="16"/>
              </w:rPr>
              <w:t xml:space="preserve"> paradoxus</w:t>
            </w:r>
          </w:p>
        </w:tc>
        <w:tc>
          <w:tcPr>
            <w:tcW w:w="2947" w:type="dxa"/>
            <w:shd w:val="clear" w:color="auto" w:fill="F2F2F2" w:themeFill="background1" w:themeFillShade="F2"/>
          </w:tcPr>
          <w:p w14:paraId="368C9CC3" w14:textId="2B347FC7" w:rsidR="00A01539" w:rsidRPr="00A01539" w:rsidRDefault="006F46CE" w:rsidP="005A02F8">
            <w:pPr>
              <w:cnfStyle w:val="000000000000" w:firstRow="0" w:lastRow="0" w:firstColumn="0" w:lastColumn="0" w:oddVBand="0" w:evenVBand="0" w:oddHBand="0" w:evenHBand="0" w:firstRowFirstColumn="0" w:firstRowLastColumn="0" w:lastRowFirstColumn="0" w:lastRowLastColumn="0"/>
              <w:rPr>
                <w:sz w:val="16"/>
              </w:rPr>
            </w:pPr>
            <w:r>
              <w:rPr>
                <w:sz w:val="16"/>
              </w:rPr>
              <w:t>Strains capable of metabolising a wide</w:t>
            </w:r>
          </w:p>
        </w:tc>
        <w:tc>
          <w:tcPr>
            <w:tcW w:w="1238" w:type="dxa"/>
            <w:shd w:val="clear" w:color="auto" w:fill="F2F2F2" w:themeFill="background1" w:themeFillShade="F2"/>
          </w:tcPr>
          <w:p w14:paraId="6CEE5C69" w14:textId="4A5EEBE5" w:rsidR="00A01539" w:rsidRPr="00A01539" w:rsidRDefault="00A01539" w:rsidP="005A02F8">
            <w:pPr>
              <w:cnfStyle w:val="000000000000" w:firstRow="0" w:lastRow="0" w:firstColumn="0" w:lastColumn="0" w:oddVBand="0" w:evenVBand="0" w:oddHBand="0" w:evenHBand="0" w:firstRowFirstColumn="0" w:firstRowLastColumn="0" w:lastRowFirstColumn="0" w:lastRowLastColumn="0"/>
              <w:rPr>
                <w:sz w:val="16"/>
              </w:rPr>
            </w:pPr>
            <w:r w:rsidRPr="00A01539">
              <w:rPr>
                <w:sz w:val="16"/>
              </w:rPr>
              <w:t>Nash’s Field</w:t>
            </w:r>
          </w:p>
        </w:tc>
        <w:tc>
          <w:tcPr>
            <w:tcW w:w="1297" w:type="dxa"/>
            <w:shd w:val="clear" w:color="auto" w:fill="F2F2F2" w:themeFill="background1" w:themeFillShade="F2"/>
          </w:tcPr>
          <w:p w14:paraId="0F5C1445" w14:textId="77777777" w:rsidR="00A01539" w:rsidRPr="00A01539" w:rsidRDefault="00A01539" w:rsidP="005A02F8">
            <w:pPr>
              <w:cnfStyle w:val="000000000000" w:firstRow="0" w:lastRow="0" w:firstColumn="0" w:lastColumn="0" w:oddVBand="0" w:evenVBand="0" w:oddHBand="0" w:evenHBand="0" w:firstRowFirstColumn="0" w:firstRowLastColumn="0" w:lastRowFirstColumn="0" w:lastRowLastColumn="0"/>
              <w:rPr>
                <w:sz w:val="16"/>
              </w:rPr>
            </w:pPr>
            <w:r w:rsidRPr="00A01539">
              <w:rPr>
                <w:sz w:val="16"/>
              </w:rPr>
              <w:t>Control</w:t>
            </w:r>
          </w:p>
        </w:tc>
      </w:tr>
      <w:tr w:rsidR="00A01539" w:rsidRPr="00A01539" w14:paraId="5D856273" w14:textId="77777777" w:rsidTr="00F80DAA">
        <w:tc>
          <w:tcPr>
            <w:cnfStyle w:val="001000000000" w:firstRow="0" w:lastRow="0" w:firstColumn="1" w:lastColumn="0" w:oddVBand="0" w:evenVBand="0" w:oddHBand="0" w:evenHBand="0" w:firstRowFirstColumn="0" w:firstRowLastColumn="0" w:lastRowFirstColumn="0" w:lastRowLastColumn="0"/>
            <w:tcW w:w="1665" w:type="dxa"/>
            <w:shd w:val="clear" w:color="auto" w:fill="F2F2F2" w:themeFill="background1" w:themeFillShade="F2"/>
          </w:tcPr>
          <w:p w14:paraId="54ACF4ED" w14:textId="77777777" w:rsidR="00A01539" w:rsidRPr="00A01539" w:rsidRDefault="00A01539" w:rsidP="005A02F8">
            <w:pPr>
              <w:rPr>
                <w:sz w:val="16"/>
              </w:rPr>
            </w:pPr>
            <w:r w:rsidRPr="00A01539">
              <w:rPr>
                <w:sz w:val="16"/>
              </w:rPr>
              <w:t>R2A_NUF1_3</w:t>
            </w:r>
          </w:p>
        </w:tc>
        <w:tc>
          <w:tcPr>
            <w:tcW w:w="1879" w:type="dxa"/>
            <w:shd w:val="clear" w:color="auto" w:fill="F2F2F2" w:themeFill="background1" w:themeFillShade="F2"/>
          </w:tcPr>
          <w:p w14:paraId="0A3D00E4" w14:textId="77777777" w:rsidR="00A01539" w:rsidRPr="00A01539" w:rsidRDefault="00A01539" w:rsidP="005A02F8">
            <w:pPr>
              <w:cnfStyle w:val="000000000000" w:firstRow="0" w:lastRow="0" w:firstColumn="0" w:lastColumn="0" w:oddVBand="0" w:evenVBand="0" w:oddHBand="0" w:evenHBand="0" w:firstRowFirstColumn="0" w:firstRowLastColumn="0" w:lastRowFirstColumn="0" w:lastRowLastColumn="0"/>
              <w:rPr>
                <w:i/>
                <w:sz w:val="16"/>
              </w:rPr>
            </w:pPr>
            <w:proofErr w:type="spellStart"/>
            <w:r w:rsidRPr="00A01539">
              <w:rPr>
                <w:i/>
                <w:sz w:val="16"/>
              </w:rPr>
              <w:t>Variovorax</w:t>
            </w:r>
            <w:proofErr w:type="spellEnd"/>
            <w:r w:rsidRPr="00A01539">
              <w:rPr>
                <w:i/>
                <w:sz w:val="16"/>
              </w:rPr>
              <w:t xml:space="preserve"> paradoxus</w:t>
            </w:r>
          </w:p>
        </w:tc>
        <w:tc>
          <w:tcPr>
            <w:tcW w:w="2947" w:type="dxa"/>
            <w:shd w:val="clear" w:color="auto" w:fill="F2F2F2" w:themeFill="background1" w:themeFillShade="F2"/>
          </w:tcPr>
          <w:p w14:paraId="40D03DD2" w14:textId="727386D3" w:rsidR="00A01539" w:rsidRPr="00A01539" w:rsidRDefault="00F80DAA" w:rsidP="005A02F8">
            <w:pPr>
              <w:cnfStyle w:val="000000000000" w:firstRow="0" w:lastRow="0" w:firstColumn="0" w:lastColumn="0" w:oddVBand="0" w:evenVBand="0" w:oddHBand="0" w:evenHBand="0" w:firstRowFirstColumn="0" w:firstRowLastColumn="0" w:lastRowFirstColumn="0" w:lastRowLastColumn="0"/>
              <w:rPr>
                <w:sz w:val="16"/>
              </w:rPr>
            </w:pPr>
            <w:r>
              <w:rPr>
                <w:sz w:val="16"/>
              </w:rPr>
              <w:t>r</w:t>
            </w:r>
            <w:r w:rsidR="006F46CE">
              <w:rPr>
                <w:sz w:val="16"/>
              </w:rPr>
              <w:t xml:space="preserve">ange of </w:t>
            </w:r>
            <w:r>
              <w:rPr>
                <w:sz w:val="16"/>
              </w:rPr>
              <w:t>pollutants.</w:t>
            </w:r>
          </w:p>
        </w:tc>
        <w:tc>
          <w:tcPr>
            <w:tcW w:w="1238" w:type="dxa"/>
            <w:shd w:val="clear" w:color="auto" w:fill="F2F2F2" w:themeFill="background1" w:themeFillShade="F2"/>
          </w:tcPr>
          <w:p w14:paraId="6157E7AB" w14:textId="4B66C63F" w:rsidR="00A01539" w:rsidRPr="00A01539" w:rsidRDefault="00A01539" w:rsidP="005A02F8">
            <w:pPr>
              <w:cnfStyle w:val="000000000000" w:firstRow="0" w:lastRow="0" w:firstColumn="0" w:lastColumn="0" w:oddVBand="0" w:evenVBand="0" w:oddHBand="0" w:evenHBand="0" w:firstRowFirstColumn="0" w:firstRowLastColumn="0" w:lastRowFirstColumn="0" w:lastRowLastColumn="0"/>
              <w:rPr>
                <w:sz w:val="16"/>
              </w:rPr>
            </w:pPr>
            <w:r w:rsidRPr="00A01539">
              <w:rPr>
                <w:sz w:val="16"/>
              </w:rPr>
              <w:t xml:space="preserve">Nash’s Field </w:t>
            </w:r>
          </w:p>
        </w:tc>
        <w:tc>
          <w:tcPr>
            <w:tcW w:w="1297" w:type="dxa"/>
            <w:shd w:val="clear" w:color="auto" w:fill="F2F2F2" w:themeFill="background1" w:themeFillShade="F2"/>
          </w:tcPr>
          <w:p w14:paraId="045F77D9" w14:textId="77777777" w:rsidR="00A01539" w:rsidRPr="00A01539" w:rsidRDefault="00A01539" w:rsidP="005A02F8">
            <w:pPr>
              <w:cnfStyle w:val="000000000000" w:firstRow="0" w:lastRow="0" w:firstColumn="0" w:lastColumn="0" w:oddVBand="0" w:evenVBand="0" w:oddHBand="0" w:evenHBand="0" w:firstRowFirstColumn="0" w:firstRowLastColumn="0" w:lastRowFirstColumn="0" w:lastRowLastColumn="0"/>
              <w:rPr>
                <w:sz w:val="16"/>
              </w:rPr>
            </w:pPr>
            <w:r w:rsidRPr="00A01539">
              <w:rPr>
                <w:sz w:val="16"/>
              </w:rPr>
              <w:t>Metaldehyde</w:t>
            </w:r>
          </w:p>
        </w:tc>
      </w:tr>
      <w:tr w:rsidR="00A01539" w:rsidRPr="00A01539" w14:paraId="3F69CB10" w14:textId="77777777" w:rsidTr="00F80DAA">
        <w:tc>
          <w:tcPr>
            <w:cnfStyle w:val="001000000000" w:firstRow="0" w:lastRow="0" w:firstColumn="1" w:lastColumn="0" w:oddVBand="0" w:evenVBand="0" w:oddHBand="0" w:evenHBand="0" w:firstRowFirstColumn="0" w:firstRowLastColumn="0" w:lastRowFirstColumn="0" w:lastRowLastColumn="0"/>
            <w:tcW w:w="1665" w:type="dxa"/>
          </w:tcPr>
          <w:p w14:paraId="611EAC78" w14:textId="77777777" w:rsidR="00A01539" w:rsidRPr="00A01539" w:rsidRDefault="00A01539" w:rsidP="005A02F8">
            <w:pPr>
              <w:rPr>
                <w:sz w:val="16"/>
              </w:rPr>
            </w:pPr>
            <w:bookmarkStart w:id="1" w:name="_Hlk520236517"/>
            <w:r w:rsidRPr="00A01539">
              <w:rPr>
                <w:sz w:val="16"/>
              </w:rPr>
              <w:t>R2A_KUE4_4</w:t>
            </w:r>
          </w:p>
        </w:tc>
        <w:tc>
          <w:tcPr>
            <w:tcW w:w="1879" w:type="dxa"/>
          </w:tcPr>
          <w:p w14:paraId="70CB5780" w14:textId="4CF5FDAB" w:rsidR="00A01539" w:rsidRPr="00A01539" w:rsidRDefault="00A01539" w:rsidP="005A02F8">
            <w:pPr>
              <w:cnfStyle w:val="000000000000" w:firstRow="0" w:lastRow="0" w:firstColumn="0" w:lastColumn="0" w:oddVBand="0" w:evenVBand="0" w:oddHBand="0" w:evenHBand="0" w:firstRowFirstColumn="0" w:firstRowLastColumn="0" w:lastRowFirstColumn="0" w:lastRowLastColumn="0"/>
              <w:rPr>
                <w:i/>
                <w:sz w:val="16"/>
              </w:rPr>
            </w:pPr>
            <w:r w:rsidRPr="00A01539">
              <w:rPr>
                <w:i/>
                <w:sz w:val="16"/>
              </w:rPr>
              <w:t xml:space="preserve">Bacillus </w:t>
            </w:r>
            <w:r w:rsidR="00F460F2">
              <w:rPr>
                <w:i/>
                <w:sz w:val="16"/>
              </w:rPr>
              <w:t>simplex</w:t>
            </w:r>
          </w:p>
        </w:tc>
        <w:tc>
          <w:tcPr>
            <w:tcW w:w="2947" w:type="dxa"/>
          </w:tcPr>
          <w:p w14:paraId="32AC897B" w14:textId="4DCE1485" w:rsidR="00A01539" w:rsidRPr="00A01539" w:rsidRDefault="00FA54C1" w:rsidP="005A02F8">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Strains capable of </w:t>
            </w:r>
            <w:r w:rsidR="009C0E16">
              <w:rPr>
                <w:sz w:val="16"/>
              </w:rPr>
              <w:t>biosorption of heavy metals and radionuclides</w:t>
            </w:r>
          </w:p>
        </w:tc>
        <w:tc>
          <w:tcPr>
            <w:tcW w:w="1238" w:type="dxa"/>
          </w:tcPr>
          <w:p w14:paraId="43E8B685" w14:textId="0FE08074" w:rsidR="00A01539" w:rsidRPr="00A01539" w:rsidRDefault="00A01539" w:rsidP="005A02F8">
            <w:pPr>
              <w:cnfStyle w:val="000000000000" w:firstRow="0" w:lastRow="0" w:firstColumn="0" w:lastColumn="0" w:oddVBand="0" w:evenVBand="0" w:oddHBand="0" w:evenHBand="0" w:firstRowFirstColumn="0" w:firstRowLastColumn="0" w:lastRowFirstColumn="0" w:lastRowLastColumn="0"/>
              <w:rPr>
                <w:sz w:val="16"/>
              </w:rPr>
            </w:pPr>
            <w:r w:rsidRPr="00A01539">
              <w:rPr>
                <w:sz w:val="16"/>
              </w:rPr>
              <w:t xml:space="preserve">Nash’s Field </w:t>
            </w:r>
          </w:p>
        </w:tc>
        <w:tc>
          <w:tcPr>
            <w:tcW w:w="1297" w:type="dxa"/>
          </w:tcPr>
          <w:p w14:paraId="51AEF13E" w14:textId="77777777" w:rsidR="00A01539" w:rsidRPr="00A01539" w:rsidRDefault="00A01539" w:rsidP="005A02F8">
            <w:pPr>
              <w:cnfStyle w:val="000000000000" w:firstRow="0" w:lastRow="0" w:firstColumn="0" w:lastColumn="0" w:oddVBand="0" w:evenVBand="0" w:oddHBand="0" w:evenHBand="0" w:firstRowFirstColumn="0" w:firstRowLastColumn="0" w:lastRowFirstColumn="0" w:lastRowLastColumn="0"/>
              <w:rPr>
                <w:sz w:val="16"/>
              </w:rPr>
            </w:pPr>
            <w:r w:rsidRPr="00A01539">
              <w:rPr>
                <w:sz w:val="16"/>
              </w:rPr>
              <w:t>Control</w:t>
            </w:r>
          </w:p>
        </w:tc>
      </w:tr>
      <w:tr w:rsidR="00A01539" w:rsidRPr="00A01539" w14:paraId="5BAF1903" w14:textId="77777777" w:rsidTr="00F80DAA">
        <w:tc>
          <w:tcPr>
            <w:cnfStyle w:val="001000000000" w:firstRow="0" w:lastRow="0" w:firstColumn="1" w:lastColumn="0" w:oddVBand="0" w:evenVBand="0" w:oddHBand="0" w:evenHBand="0" w:firstRowFirstColumn="0" w:firstRowLastColumn="0" w:lastRowFirstColumn="0" w:lastRowLastColumn="0"/>
            <w:tcW w:w="1665" w:type="dxa"/>
          </w:tcPr>
          <w:p w14:paraId="58A00219" w14:textId="77777777" w:rsidR="00A01539" w:rsidRPr="00A01539" w:rsidRDefault="00A01539" w:rsidP="005A02F8">
            <w:pPr>
              <w:rPr>
                <w:sz w:val="16"/>
              </w:rPr>
            </w:pPr>
            <w:r w:rsidRPr="00A01539">
              <w:rPr>
                <w:sz w:val="16"/>
              </w:rPr>
              <w:t>R2A_NUE1_1</w:t>
            </w:r>
          </w:p>
        </w:tc>
        <w:tc>
          <w:tcPr>
            <w:tcW w:w="1879" w:type="dxa"/>
          </w:tcPr>
          <w:p w14:paraId="0D7D5865" w14:textId="61BBE4FE" w:rsidR="00A01539" w:rsidRPr="00A01539" w:rsidRDefault="00A01539" w:rsidP="005A02F8">
            <w:pPr>
              <w:cnfStyle w:val="000000000000" w:firstRow="0" w:lastRow="0" w:firstColumn="0" w:lastColumn="0" w:oddVBand="0" w:evenVBand="0" w:oddHBand="0" w:evenHBand="0" w:firstRowFirstColumn="0" w:firstRowLastColumn="0" w:lastRowFirstColumn="0" w:lastRowLastColumn="0"/>
              <w:rPr>
                <w:i/>
                <w:sz w:val="16"/>
              </w:rPr>
            </w:pPr>
            <w:r w:rsidRPr="00A01539">
              <w:rPr>
                <w:i/>
                <w:sz w:val="16"/>
              </w:rPr>
              <w:t xml:space="preserve">Bacillus </w:t>
            </w:r>
            <w:r w:rsidR="00F460F2">
              <w:rPr>
                <w:i/>
                <w:sz w:val="16"/>
              </w:rPr>
              <w:t>simplex</w:t>
            </w:r>
          </w:p>
        </w:tc>
        <w:tc>
          <w:tcPr>
            <w:tcW w:w="2947" w:type="dxa"/>
          </w:tcPr>
          <w:p w14:paraId="781EA9A3" w14:textId="77777777" w:rsidR="00A01539" w:rsidRPr="00A01539" w:rsidRDefault="00A01539" w:rsidP="005A02F8">
            <w:pPr>
              <w:cnfStyle w:val="000000000000" w:firstRow="0" w:lastRow="0" w:firstColumn="0" w:lastColumn="0" w:oddVBand="0" w:evenVBand="0" w:oddHBand="0" w:evenHBand="0" w:firstRowFirstColumn="0" w:firstRowLastColumn="0" w:lastRowFirstColumn="0" w:lastRowLastColumn="0"/>
              <w:rPr>
                <w:sz w:val="16"/>
              </w:rPr>
            </w:pPr>
          </w:p>
        </w:tc>
        <w:tc>
          <w:tcPr>
            <w:tcW w:w="1238" w:type="dxa"/>
          </w:tcPr>
          <w:p w14:paraId="1CB4CFF8" w14:textId="2022F506" w:rsidR="00A01539" w:rsidRPr="00A01539" w:rsidRDefault="00A01539" w:rsidP="005A02F8">
            <w:pPr>
              <w:cnfStyle w:val="000000000000" w:firstRow="0" w:lastRow="0" w:firstColumn="0" w:lastColumn="0" w:oddVBand="0" w:evenVBand="0" w:oddHBand="0" w:evenHBand="0" w:firstRowFirstColumn="0" w:firstRowLastColumn="0" w:lastRowFirstColumn="0" w:lastRowLastColumn="0"/>
              <w:rPr>
                <w:sz w:val="16"/>
              </w:rPr>
            </w:pPr>
            <w:r w:rsidRPr="00A01539">
              <w:rPr>
                <w:sz w:val="16"/>
              </w:rPr>
              <w:t xml:space="preserve">Nash’s Field </w:t>
            </w:r>
          </w:p>
        </w:tc>
        <w:tc>
          <w:tcPr>
            <w:tcW w:w="1297" w:type="dxa"/>
          </w:tcPr>
          <w:p w14:paraId="5F9B1630" w14:textId="77777777" w:rsidR="00A01539" w:rsidRPr="00A01539" w:rsidRDefault="00A01539" w:rsidP="005A02F8">
            <w:pPr>
              <w:cnfStyle w:val="000000000000" w:firstRow="0" w:lastRow="0" w:firstColumn="0" w:lastColumn="0" w:oddVBand="0" w:evenVBand="0" w:oddHBand="0" w:evenHBand="0" w:firstRowFirstColumn="0" w:firstRowLastColumn="0" w:lastRowFirstColumn="0" w:lastRowLastColumn="0"/>
              <w:rPr>
                <w:sz w:val="16"/>
              </w:rPr>
            </w:pPr>
            <w:r w:rsidRPr="00A01539">
              <w:rPr>
                <w:sz w:val="16"/>
              </w:rPr>
              <w:t>Metaldehyde</w:t>
            </w:r>
          </w:p>
        </w:tc>
      </w:tr>
      <w:bookmarkEnd w:id="1"/>
      <w:tr w:rsidR="00A01539" w:rsidRPr="00A01539" w14:paraId="025C9217" w14:textId="77777777" w:rsidTr="00A91D53">
        <w:tc>
          <w:tcPr>
            <w:cnfStyle w:val="001000000000" w:firstRow="0" w:lastRow="0" w:firstColumn="1" w:lastColumn="0" w:oddVBand="0" w:evenVBand="0" w:oddHBand="0" w:evenHBand="0" w:firstRowFirstColumn="0" w:firstRowLastColumn="0" w:lastRowFirstColumn="0" w:lastRowLastColumn="0"/>
            <w:tcW w:w="1665" w:type="dxa"/>
            <w:shd w:val="clear" w:color="auto" w:fill="F2F2F2" w:themeFill="background1" w:themeFillShade="F2"/>
          </w:tcPr>
          <w:p w14:paraId="675F5F4E" w14:textId="77777777" w:rsidR="00A01539" w:rsidRPr="00A01539" w:rsidRDefault="00A01539" w:rsidP="005A02F8">
            <w:pPr>
              <w:rPr>
                <w:sz w:val="16"/>
              </w:rPr>
            </w:pPr>
            <w:r w:rsidRPr="00A01539">
              <w:rPr>
                <w:sz w:val="16"/>
              </w:rPr>
              <w:t>R2A_KUE4_10</w:t>
            </w:r>
          </w:p>
        </w:tc>
        <w:tc>
          <w:tcPr>
            <w:tcW w:w="1879" w:type="dxa"/>
            <w:shd w:val="clear" w:color="auto" w:fill="F2F2F2" w:themeFill="background1" w:themeFillShade="F2"/>
          </w:tcPr>
          <w:p w14:paraId="50D81DA9" w14:textId="77777777" w:rsidR="00A01539" w:rsidRPr="00A01539" w:rsidRDefault="00A01539" w:rsidP="005A02F8">
            <w:pPr>
              <w:cnfStyle w:val="000000000000" w:firstRow="0" w:lastRow="0" w:firstColumn="0" w:lastColumn="0" w:oddVBand="0" w:evenVBand="0" w:oddHBand="0" w:evenHBand="0" w:firstRowFirstColumn="0" w:firstRowLastColumn="0" w:lastRowFirstColumn="0" w:lastRowLastColumn="0"/>
              <w:rPr>
                <w:i/>
                <w:sz w:val="16"/>
              </w:rPr>
            </w:pPr>
            <w:r w:rsidRPr="00A01539">
              <w:rPr>
                <w:i/>
                <w:sz w:val="16"/>
              </w:rPr>
              <w:t xml:space="preserve">Stenotrophomonas </w:t>
            </w:r>
            <w:proofErr w:type="spellStart"/>
            <w:r w:rsidRPr="00A01539">
              <w:rPr>
                <w:i/>
                <w:sz w:val="16"/>
              </w:rPr>
              <w:t>acidaminiphila</w:t>
            </w:r>
            <w:proofErr w:type="spellEnd"/>
          </w:p>
        </w:tc>
        <w:tc>
          <w:tcPr>
            <w:tcW w:w="2947" w:type="dxa"/>
            <w:shd w:val="clear" w:color="auto" w:fill="F2F2F2" w:themeFill="background1" w:themeFillShade="F2"/>
          </w:tcPr>
          <w:p w14:paraId="1064BD11" w14:textId="216E9E36" w:rsidR="00A01539" w:rsidRPr="00A01539" w:rsidRDefault="00DD017E" w:rsidP="005A02F8">
            <w:pPr>
              <w:cnfStyle w:val="000000000000" w:firstRow="0" w:lastRow="0" w:firstColumn="0" w:lastColumn="0" w:oddVBand="0" w:evenVBand="0" w:oddHBand="0" w:evenHBand="0" w:firstRowFirstColumn="0" w:firstRowLastColumn="0" w:lastRowFirstColumn="0" w:lastRowLastColumn="0"/>
              <w:rPr>
                <w:sz w:val="16"/>
              </w:rPr>
            </w:pPr>
            <w:r>
              <w:rPr>
                <w:sz w:val="16"/>
              </w:rPr>
              <w:t>First isolated from a waste acid-treating anaerobic bioreactor.</w:t>
            </w:r>
          </w:p>
        </w:tc>
        <w:tc>
          <w:tcPr>
            <w:tcW w:w="1238" w:type="dxa"/>
            <w:shd w:val="clear" w:color="auto" w:fill="F2F2F2" w:themeFill="background1" w:themeFillShade="F2"/>
          </w:tcPr>
          <w:p w14:paraId="0DF6AC92" w14:textId="4B5ED6D6" w:rsidR="00A01539" w:rsidRPr="00A01539" w:rsidRDefault="00A01539" w:rsidP="005A02F8">
            <w:pPr>
              <w:cnfStyle w:val="000000000000" w:firstRow="0" w:lastRow="0" w:firstColumn="0" w:lastColumn="0" w:oddVBand="0" w:evenVBand="0" w:oddHBand="0" w:evenHBand="0" w:firstRowFirstColumn="0" w:firstRowLastColumn="0" w:lastRowFirstColumn="0" w:lastRowLastColumn="0"/>
              <w:rPr>
                <w:sz w:val="16"/>
              </w:rPr>
            </w:pPr>
            <w:r w:rsidRPr="00A01539">
              <w:rPr>
                <w:sz w:val="16"/>
              </w:rPr>
              <w:t xml:space="preserve">Nash’s Field </w:t>
            </w:r>
          </w:p>
        </w:tc>
        <w:tc>
          <w:tcPr>
            <w:tcW w:w="1297" w:type="dxa"/>
            <w:shd w:val="clear" w:color="auto" w:fill="F2F2F2" w:themeFill="background1" w:themeFillShade="F2"/>
          </w:tcPr>
          <w:p w14:paraId="4B471E27" w14:textId="77777777" w:rsidR="00A01539" w:rsidRPr="00A01539" w:rsidRDefault="00A01539" w:rsidP="005A02F8">
            <w:pPr>
              <w:cnfStyle w:val="000000000000" w:firstRow="0" w:lastRow="0" w:firstColumn="0" w:lastColumn="0" w:oddVBand="0" w:evenVBand="0" w:oddHBand="0" w:evenHBand="0" w:firstRowFirstColumn="0" w:firstRowLastColumn="0" w:lastRowFirstColumn="0" w:lastRowLastColumn="0"/>
              <w:rPr>
                <w:sz w:val="16"/>
              </w:rPr>
            </w:pPr>
            <w:r w:rsidRPr="00A01539">
              <w:rPr>
                <w:sz w:val="16"/>
              </w:rPr>
              <w:t>Control</w:t>
            </w:r>
          </w:p>
        </w:tc>
      </w:tr>
      <w:tr w:rsidR="00A01539" w:rsidRPr="00A01539" w14:paraId="46F47DAE" w14:textId="77777777" w:rsidTr="00F80DAA">
        <w:tc>
          <w:tcPr>
            <w:cnfStyle w:val="001000000000" w:firstRow="0" w:lastRow="0" w:firstColumn="1" w:lastColumn="0" w:oddVBand="0" w:evenVBand="0" w:oddHBand="0" w:evenHBand="0" w:firstRowFirstColumn="0" w:firstRowLastColumn="0" w:lastRowFirstColumn="0" w:lastRowLastColumn="0"/>
            <w:tcW w:w="1665" w:type="dxa"/>
          </w:tcPr>
          <w:p w14:paraId="345D409E" w14:textId="77777777" w:rsidR="00A01539" w:rsidRPr="00A01539" w:rsidRDefault="00A01539" w:rsidP="005A02F8">
            <w:pPr>
              <w:rPr>
                <w:sz w:val="16"/>
              </w:rPr>
            </w:pPr>
            <w:r w:rsidRPr="00DD017E">
              <w:rPr>
                <w:i/>
                <w:sz w:val="16"/>
              </w:rPr>
              <w:t>E. coli</w:t>
            </w:r>
            <w:r w:rsidRPr="00A01539">
              <w:rPr>
                <w:sz w:val="16"/>
              </w:rPr>
              <w:t xml:space="preserve"> OP50</w:t>
            </w:r>
          </w:p>
        </w:tc>
        <w:tc>
          <w:tcPr>
            <w:tcW w:w="1879" w:type="dxa"/>
          </w:tcPr>
          <w:p w14:paraId="7884B315" w14:textId="77777777" w:rsidR="00A01539" w:rsidRPr="00A01539" w:rsidRDefault="00A01539" w:rsidP="005A02F8">
            <w:pPr>
              <w:cnfStyle w:val="000000000000" w:firstRow="0" w:lastRow="0" w:firstColumn="0" w:lastColumn="0" w:oddVBand="0" w:evenVBand="0" w:oddHBand="0" w:evenHBand="0" w:firstRowFirstColumn="0" w:firstRowLastColumn="0" w:lastRowFirstColumn="0" w:lastRowLastColumn="0"/>
              <w:rPr>
                <w:i/>
                <w:sz w:val="16"/>
              </w:rPr>
            </w:pPr>
            <w:r w:rsidRPr="00A01539">
              <w:rPr>
                <w:i/>
                <w:sz w:val="16"/>
              </w:rPr>
              <w:t>Escherichia coli</w:t>
            </w:r>
          </w:p>
        </w:tc>
        <w:tc>
          <w:tcPr>
            <w:tcW w:w="2947" w:type="dxa"/>
          </w:tcPr>
          <w:p w14:paraId="74BF3F6E" w14:textId="4FAC8524" w:rsidR="00A01539" w:rsidRPr="00DD017E" w:rsidRDefault="00DD017E" w:rsidP="005A02F8">
            <w:pPr>
              <w:cnfStyle w:val="000000000000" w:firstRow="0" w:lastRow="0" w:firstColumn="0" w:lastColumn="0" w:oddVBand="0" w:evenVBand="0" w:oddHBand="0" w:evenHBand="0" w:firstRowFirstColumn="0" w:firstRowLastColumn="0" w:lastRowFirstColumn="0" w:lastRowLastColumn="0"/>
              <w:rPr>
                <w:sz w:val="16"/>
              </w:rPr>
            </w:pPr>
            <w:r>
              <w:rPr>
                <w:sz w:val="16"/>
              </w:rPr>
              <w:t>Included as an example of a well-studied lab model species</w:t>
            </w:r>
          </w:p>
        </w:tc>
        <w:tc>
          <w:tcPr>
            <w:tcW w:w="1238" w:type="dxa"/>
          </w:tcPr>
          <w:p w14:paraId="15D71AA0" w14:textId="03B5E92E" w:rsidR="00A01539" w:rsidRPr="00A01539" w:rsidRDefault="00A01539" w:rsidP="005A02F8">
            <w:pPr>
              <w:cnfStyle w:val="000000000000" w:firstRow="0" w:lastRow="0" w:firstColumn="0" w:lastColumn="0" w:oddVBand="0" w:evenVBand="0" w:oddHBand="0" w:evenHBand="0" w:firstRowFirstColumn="0" w:firstRowLastColumn="0" w:lastRowFirstColumn="0" w:lastRowLastColumn="0"/>
              <w:rPr>
                <w:sz w:val="16"/>
              </w:rPr>
            </w:pPr>
            <w:r w:rsidRPr="00A01539">
              <w:rPr>
                <w:i/>
                <w:sz w:val="16"/>
              </w:rPr>
              <w:t>C. elegans</w:t>
            </w:r>
            <w:r w:rsidRPr="00A01539">
              <w:rPr>
                <w:sz w:val="16"/>
              </w:rPr>
              <w:t xml:space="preserve"> feeder </w:t>
            </w:r>
          </w:p>
        </w:tc>
        <w:tc>
          <w:tcPr>
            <w:tcW w:w="1297" w:type="dxa"/>
          </w:tcPr>
          <w:p w14:paraId="78253879" w14:textId="77777777" w:rsidR="00A01539" w:rsidRPr="00A01539" w:rsidRDefault="00A01539" w:rsidP="005A02F8">
            <w:pPr>
              <w:cnfStyle w:val="000000000000" w:firstRow="0" w:lastRow="0" w:firstColumn="0" w:lastColumn="0" w:oddVBand="0" w:evenVBand="0" w:oddHBand="0" w:evenHBand="0" w:firstRowFirstColumn="0" w:firstRowLastColumn="0" w:lastRowFirstColumn="0" w:lastRowLastColumn="0"/>
              <w:rPr>
                <w:sz w:val="16"/>
              </w:rPr>
            </w:pPr>
            <w:r w:rsidRPr="00A01539">
              <w:rPr>
                <w:sz w:val="16"/>
              </w:rPr>
              <w:t>Control</w:t>
            </w:r>
          </w:p>
        </w:tc>
      </w:tr>
      <w:tr w:rsidR="00A01539" w:rsidRPr="00A01539" w14:paraId="604D204D" w14:textId="77777777" w:rsidTr="00A91D53">
        <w:tc>
          <w:tcPr>
            <w:cnfStyle w:val="001000000000" w:firstRow="0" w:lastRow="0" w:firstColumn="1" w:lastColumn="0" w:oddVBand="0" w:evenVBand="0" w:oddHBand="0" w:evenHBand="0" w:firstRowFirstColumn="0" w:firstRowLastColumn="0" w:lastRowFirstColumn="0" w:lastRowLastColumn="0"/>
            <w:tcW w:w="1665" w:type="dxa"/>
            <w:shd w:val="clear" w:color="auto" w:fill="F2F2F2" w:themeFill="background1" w:themeFillShade="F2"/>
          </w:tcPr>
          <w:p w14:paraId="068F6391" w14:textId="77777777" w:rsidR="00A01539" w:rsidRPr="00A01539" w:rsidRDefault="00A01539" w:rsidP="005A02F8">
            <w:pPr>
              <w:rPr>
                <w:b w:val="0"/>
                <w:bCs w:val="0"/>
                <w:sz w:val="16"/>
              </w:rPr>
            </w:pPr>
            <w:r w:rsidRPr="00A01539">
              <w:rPr>
                <w:sz w:val="16"/>
              </w:rPr>
              <w:t xml:space="preserve">Nash’s </w:t>
            </w:r>
          </w:p>
          <w:p w14:paraId="2C8662A4" w14:textId="7F374643" w:rsidR="00A01539" w:rsidRPr="00A01539" w:rsidRDefault="00A01539" w:rsidP="005A02F8">
            <w:pPr>
              <w:rPr>
                <w:sz w:val="16"/>
              </w:rPr>
            </w:pPr>
            <w:r w:rsidRPr="00A01539">
              <w:rPr>
                <w:sz w:val="16"/>
              </w:rPr>
              <w:t>Field Community</w:t>
            </w:r>
          </w:p>
        </w:tc>
        <w:tc>
          <w:tcPr>
            <w:tcW w:w="1879" w:type="dxa"/>
            <w:shd w:val="clear" w:color="auto" w:fill="F2F2F2" w:themeFill="background1" w:themeFillShade="F2"/>
          </w:tcPr>
          <w:p w14:paraId="3A82ECAB" w14:textId="77777777" w:rsidR="00A01539" w:rsidRPr="00A01539" w:rsidRDefault="00A01539" w:rsidP="005A02F8">
            <w:pPr>
              <w:cnfStyle w:val="000000000000" w:firstRow="0" w:lastRow="0" w:firstColumn="0" w:lastColumn="0" w:oddVBand="0" w:evenVBand="0" w:oddHBand="0" w:evenHBand="0" w:firstRowFirstColumn="0" w:firstRowLastColumn="0" w:lastRowFirstColumn="0" w:lastRowLastColumn="0"/>
              <w:rPr>
                <w:sz w:val="16"/>
              </w:rPr>
            </w:pPr>
            <w:r w:rsidRPr="00A01539">
              <w:rPr>
                <w:sz w:val="16"/>
              </w:rPr>
              <w:t>Multiple</w:t>
            </w:r>
          </w:p>
        </w:tc>
        <w:tc>
          <w:tcPr>
            <w:tcW w:w="2947" w:type="dxa"/>
            <w:shd w:val="clear" w:color="auto" w:fill="F2F2F2" w:themeFill="background1" w:themeFillShade="F2"/>
          </w:tcPr>
          <w:p w14:paraId="33387048" w14:textId="2241F532" w:rsidR="00A01539" w:rsidRPr="00A01539" w:rsidRDefault="00DD017E" w:rsidP="005A02F8">
            <w:pPr>
              <w:cnfStyle w:val="000000000000" w:firstRow="0" w:lastRow="0" w:firstColumn="0" w:lastColumn="0" w:oddVBand="0" w:evenVBand="0" w:oddHBand="0" w:evenHBand="0" w:firstRowFirstColumn="0" w:firstRowLastColumn="0" w:lastRowFirstColumn="0" w:lastRowLastColumn="0"/>
              <w:rPr>
                <w:sz w:val="16"/>
              </w:rPr>
            </w:pPr>
            <w:r w:rsidRPr="00DD017E">
              <w:rPr>
                <w:sz w:val="16"/>
                <w:highlight w:val="yellow"/>
              </w:rPr>
              <w:t>???</w:t>
            </w:r>
          </w:p>
        </w:tc>
        <w:tc>
          <w:tcPr>
            <w:tcW w:w="1238" w:type="dxa"/>
            <w:shd w:val="clear" w:color="auto" w:fill="F2F2F2" w:themeFill="background1" w:themeFillShade="F2"/>
          </w:tcPr>
          <w:p w14:paraId="4BBE33B6" w14:textId="67F1683A" w:rsidR="00A01539" w:rsidRPr="00A01539" w:rsidRDefault="00A01539" w:rsidP="005A02F8">
            <w:pPr>
              <w:cnfStyle w:val="000000000000" w:firstRow="0" w:lastRow="0" w:firstColumn="0" w:lastColumn="0" w:oddVBand="0" w:evenVBand="0" w:oddHBand="0" w:evenHBand="0" w:firstRowFirstColumn="0" w:firstRowLastColumn="0" w:lastRowFirstColumn="0" w:lastRowLastColumn="0"/>
              <w:rPr>
                <w:sz w:val="16"/>
              </w:rPr>
            </w:pPr>
            <w:r w:rsidRPr="00A01539">
              <w:rPr>
                <w:sz w:val="16"/>
              </w:rPr>
              <w:t>Nash’s Field</w:t>
            </w:r>
          </w:p>
        </w:tc>
        <w:tc>
          <w:tcPr>
            <w:tcW w:w="1297" w:type="dxa"/>
            <w:shd w:val="clear" w:color="auto" w:fill="F2F2F2" w:themeFill="background1" w:themeFillShade="F2"/>
          </w:tcPr>
          <w:p w14:paraId="5AD2B3EB" w14:textId="77777777" w:rsidR="00A01539" w:rsidRPr="00A01539" w:rsidRDefault="00A01539" w:rsidP="005A02F8">
            <w:pPr>
              <w:cnfStyle w:val="000000000000" w:firstRow="0" w:lastRow="0" w:firstColumn="0" w:lastColumn="0" w:oddVBand="0" w:evenVBand="0" w:oddHBand="0" w:evenHBand="0" w:firstRowFirstColumn="0" w:firstRowLastColumn="0" w:lastRowFirstColumn="0" w:lastRowLastColumn="0"/>
              <w:rPr>
                <w:sz w:val="16"/>
              </w:rPr>
            </w:pPr>
            <w:r w:rsidRPr="00A01539">
              <w:rPr>
                <w:sz w:val="16"/>
              </w:rPr>
              <w:t>Control</w:t>
            </w:r>
          </w:p>
        </w:tc>
      </w:tr>
    </w:tbl>
    <w:p w14:paraId="09DD1353" w14:textId="77777777" w:rsidR="00633BBE" w:rsidRPr="00620BE0" w:rsidRDefault="00812877" w:rsidP="005A02F8">
      <w:pPr>
        <w:rPr>
          <w:i/>
          <w:sz w:val="18"/>
        </w:rPr>
      </w:pPr>
      <w:r w:rsidRPr="00620BE0">
        <w:rPr>
          <w:i/>
          <w:sz w:val="18"/>
        </w:rPr>
        <w:t xml:space="preserve">Table </w:t>
      </w:r>
      <w:r w:rsidR="005A02F8" w:rsidRPr="00620BE0">
        <w:rPr>
          <w:i/>
          <w:sz w:val="18"/>
        </w:rPr>
        <w:t>A</w:t>
      </w:r>
      <w:r w:rsidRPr="00620BE0">
        <w:rPr>
          <w:i/>
          <w:sz w:val="18"/>
        </w:rPr>
        <w:t xml:space="preserve">: Bacterial species, strains, and sources. </w:t>
      </w:r>
    </w:p>
    <w:p w14:paraId="50D78480" w14:textId="7CA47297" w:rsidR="00B506ED" w:rsidRDefault="00B506ED" w:rsidP="00277D92">
      <w:pPr>
        <w:pStyle w:val="Heading1"/>
      </w:pPr>
      <w:r>
        <w:t>Stressor Selection</w:t>
      </w:r>
    </w:p>
    <w:p w14:paraId="4BCCFA6C" w14:textId="1892EBC6" w:rsidR="00B506ED" w:rsidRDefault="00B506ED" w:rsidP="00B506ED">
      <w:r>
        <w:t>Stressors were selected across a diverse range of functional group</w:t>
      </w:r>
      <w:r w:rsidR="00985F5C">
        <w:t>s (see Table 1)</w:t>
      </w:r>
      <w:r>
        <w:t xml:space="preserve"> in order to assemble a panel that had some but not all mechanisms of action in common amongst the stressors. </w:t>
      </w:r>
    </w:p>
    <w:p w14:paraId="0D6485A3" w14:textId="47348935" w:rsidR="00B506ED" w:rsidRDefault="00B506ED" w:rsidP="00B506ED">
      <w:r>
        <w:t xml:space="preserve">Nickel </w:t>
      </w:r>
      <w:r w:rsidRPr="00B506ED">
        <w:t>(</w:t>
      </w:r>
      <w:r w:rsidRPr="00B506ED">
        <w:rPr>
          <w:vertAlign w:val="subscript"/>
        </w:rPr>
        <w:t>28</w:t>
      </w:r>
      <w:r w:rsidRPr="00B506ED">
        <w:t>Ni)</w:t>
      </w:r>
      <w:r>
        <w:t xml:space="preserve"> and Copper (</w:t>
      </w:r>
      <w:r w:rsidRPr="00B506ED">
        <w:rPr>
          <w:vertAlign w:val="subscript"/>
        </w:rPr>
        <w:t>29</w:t>
      </w:r>
      <w:r>
        <w:t xml:space="preserve">Cu) are heavy metals, common pollutants with a wide range of industrial applications. Copper is an essential </w:t>
      </w:r>
      <w:r w:rsidR="00207425">
        <w:t xml:space="preserve">respiratory nutrient across all kingdoms of life </w:t>
      </w:r>
      <w:r w:rsidR="00207425">
        <w:fldChar w:fldCharType="begin" w:fldLock="1"/>
      </w:r>
      <w:r w:rsidR="00207425">
        <w:instrText>ADDIN CSL_CITATION { "citationItems" : [ { "id" : "ITEM-1", "itemData" : { "DOI" : "10.1038/356301a0", "ISBN" : "0028-0836 (Print)\\r0028-0836 (Linking)", "ISSN" : "00280836", "PMID" : "1312679", "abstract" : "Many of the membrane-associated oxidases that catalyse respiratory reduction of O2 to water simultaneously couple this exergonic reaction to the translocation of protons across the inner mitochondrial membrane, or the cell membrane in prokaryotes, a process by which metabolic energy is conserved for subsequent synthesis of ATP. The molecular mechanism of O2 reduction and its linkage to H+ translocation are now emerging. The bimetallic haem iron-copper reaction centre in this family of enzymes is the critical structure for catalysis of both these processes.", "author" : [ { "dropping-particle" : "", "family" : "Babcock", "given" : "Gerald T.", "non-dropping-particle" : "", "parse-names" : false, "suffix" : "" }, { "dropping-particle" : "", "family" : "Wikstr\u00f6m", "given" : "M\u00e5rten", "non-dropping-particle" : "", "parse-names" : false, "suffix" : "" } ], "container-title" : "Nature", "id" : "ITEM-1", "issue" : "6367", "issued" : { "date-parts" : [ [ "1992" ] ] }, "page" : "301-309", "title" : "Oxygen activation and the conservation of energy in cell respiration", "type" : "article-journal", "volume" : "356" }, "uris" : [ "http://www.mendeley.com/documents/?uuid=acdcb801-2bac-4199-bfb6-47b5eb0673ee" ] } ], "mendeley" : { "formattedCitation" : "(Babcock and Wikstr\u00f6m, 1992)", "plainTextFormattedCitation" : "(Babcock and Wikstr\u00f6m, 1992)", "previouslyFormattedCitation" : "(Babcock and Wikstr\u00f6m, 1992)" }, "properties" : { "noteIndex" : 0 }, "schema" : "https://github.com/citation-style-language/schema/raw/master/csl-citation.json" }</w:instrText>
      </w:r>
      <w:r w:rsidR="00207425">
        <w:fldChar w:fldCharType="separate"/>
      </w:r>
      <w:r w:rsidR="00207425" w:rsidRPr="00207425">
        <w:rPr>
          <w:noProof/>
        </w:rPr>
        <w:t>(Babcock and Wikström, 1992)</w:t>
      </w:r>
      <w:r w:rsidR="00207425">
        <w:fldChar w:fldCharType="end"/>
      </w:r>
      <w:r w:rsidR="00207425">
        <w:t xml:space="preserve">, while nickel is occasionally so in bacteria and fungi </w:t>
      </w:r>
      <w:r w:rsidR="00207425">
        <w:fldChar w:fldCharType="begin" w:fldLock="1"/>
      </w:r>
      <w:r w:rsidR="00207425">
        <w:instrText>ADDIN CSL_CITATION { "citationItems" : [ { "id" : "ITEM-1", "itemData" : { "DOI" : "10.1039/c5mt90013a", "ISSN" : "1756591X", "abstract" : "Editorial de la revista", "author" : [ { "dropping-particle" : "", "family" : "Zamble", "given" : "D. B.", "non-dropping-particle" : "", "parse-names" : false, "suffix" : "" } ], "container-title" : "Metallomics", "id" : "ITEM-1", "issue" : "4", "issued" : { "date-parts" : [ [ "2015" ] ] }, "page" : "588-589", "publisher" : "Royal Society of Chemistry", "title" : "Nickel in biology", "type" : "article-journal", "volume" : "7" }, "uris" : [ "http://www.mendeley.com/documents/?uuid=846880bb-407f-4749-be2f-045c9928e355" ] } ], "mendeley" : { "formattedCitation" : "(Zamble, 2015)", "plainTextFormattedCitation" : "(Zamble, 2015)", "previouslyFormattedCitation" : "(Zamble, 2015)" }, "properties" : { "noteIndex" : 0 }, "schema" : "https://github.com/citation-style-language/schema/raw/master/csl-citation.json" }</w:instrText>
      </w:r>
      <w:r w:rsidR="00207425">
        <w:fldChar w:fldCharType="separate"/>
      </w:r>
      <w:r w:rsidR="00207425" w:rsidRPr="00207425">
        <w:rPr>
          <w:noProof/>
        </w:rPr>
        <w:t>(Zamble, 2015)</w:t>
      </w:r>
      <w:r w:rsidR="00207425">
        <w:fldChar w:fldCharType="end"/>
      </w:r>
      <w:r w:rsidR="00207425">
        <w:t xml:space="preserve">. Bacterial resistance to these stressors is thus often nuanced, with a requirement to balance availably in the cell as nutrients with their potential for </w:t>
      </w:r>
      <w:r w:rsidR="007C2A15">
        <w:t xml:space="preserve">damage. </w:t>
      </w:r>
      <w:r w:rsidR="00207425">
        <w:t xml:space="preserve"> </w:t>
      </w:r>
      <w:r w:rsidR="007C2A15">
        <w:t>Copper is a prolific</w:t>
      </w:r>
      <w:r w:rsidR="00207425">
        <w:t xml:space="preserve"> generat</w:t>
      </w:r>
      <w:r w:rsidR="007C2A15">
        <w:t>or</w:t>
      </w:r>
      <w:r w:rsidR="00207425">
        <w:t xml:space="preserve"> of Reactive Oxygen Species (ROS) </w:t>
      </w:r>
      <w:r w:rsidR="00207425">
        <w:fldChar w:fldCharType="begin" w:fldLock="1"/>
      </w:r>
      <w:r w:rsidR="007C2A15">
        <w:instrText>ADDIN CSL_CITATION { "citationItems" : [ { "id" : "ITEM-1", "itemData" : { "DOI" : "10.1016/S0378-4274(01)00483-0", "ISSN" : "03784274", "PMID" : "12052641", "abstract" : "The metal ions carcinogenic to humans are As, Be, Cd, Cr and Ni, and the candidates also include Co, Cu, Fe and Pt. A range of molecular mechanisms was proposed for these metals, reflecting their diverse chemical properties. The oxidative concept in metal carcinogenesis proposes that some complexes of the above metals (Co, Cr, Cu, Fe, Ni) formed in vivo undergo redox cycling, yielding reactive oxygen species and/or high valence metal ions which oxidize DNA. Some of the products of oxidative DNA damage, including 8-oxoguanine and strand breaks, induce mutations, which may lead to neoplastic transformation. The establishment of metal-binding modes in the cell nucleus and of their reactivity is crucial for the understanding of molecular events in metal carcinogenesis. We have proposed the binding sites for Ni(II) and Cu(II) in core histones (H3, H2A) and sperm protamines (HP2) and, using molecular models, provided evidence for the generation of promutagenic oxidative DNA damage by the bound metals. \u00a9 2002 Elsevier Science Ireland Ltd. All rights reserved.", "author" : [ { "dropping-particle" : "", "family" : "Bal", "given" : "Wojciech", "non-dropping-particle" : "", "parse-names" : false, "suffix" : "" }, { "dropping-particle" : "", "family" : "Kasprzak", "given" : "Kazimierz S.", "non-dropping-particle" : "", "parse-names" : false, "suffix" : "" } ], "container-title" : "Toxicology Letters", "id" : "ITEM-1", "issue" : "1-3", "issued" : { "date-parts" : [ [ "2002" ] ] }, "page" : "55-62", "title" : "Induction of oxidative DNA damage by carcinogenic metals", "type" : "article-journal", "volume" : "127" }, "uris" : [ "http://www.mendeley.com/documents/?uuid=d7780eb8-5a20-4e0d-a58b-173091855026" ] } ], "mendeley" : { "formattedCitation" : "(Bal and Kasprzak, 2002)", "plainTextFormattedCitation" : "(Bal and Kasprzak, 2002)", "previouslyFormattedCitation" : "(Bal and Kasprzak, 2002)" }, "properties" : { "noteIndex" : 0 }, "schema" : "https://github.com/citation-style-language/schema/raw/master/csl-citation.json" }</w:instrText>
      </w:r>
      <w:r w:rsidR="00207425">
        <w:fldChar w:fldCharType="separate"/>
      </w:r>
      <w:r w:rsidR="00207425" w:rsidRPr="00207425">
        <w:rPr>
          <w:noProof/>
        </w:rPr>
        <w:t>(Bal and Kasprzak, 2002)</w:t>
      </w:r>
      <w:r w:rsidR="00207425">
        <w:fldChar w:fldCharType="end"/>
      </w:r>
      <w:r w:rsidR="007C2A15">
        <w:t xml:space="preserve">, and damages vital biosynthesis enzymes </w:t>
      </w:r>
      <w:r w:rsidR="007C2A15">
        <w:fldChar w:fldCharType="begin" w:fldLock="1"/>
      </w:r>
      <w:r w:rsidR="007C2A15">
        <w:instrText>ADDIN CSL_CITATION { "citationItems" : [ { "id" : "ITEM-1", "itemData" : { "author" : [ { "dropping-particle" : "", "family" : "Macomber", "given" : "Lee", "non-dropping-particle" : "", "parse-names" : false, "suffix" : "" }, { "dropping-particle" : "", "family" : "Imlay", "given" : "James A", "non-dropping-particle" : "", "parse-names" : false, "suffix" : "" } ], "id" : "ITEM-1", "issue" : "20", "issued" : { "date-parts" : [ [ "2009" ] ] }, "page" : "8344-8349", "title" : "The iron-sulfur clusters of dehydratases are primary intracellular targets of copper toxicity", "type" : "article-journal", "volume" : "106" }, "uris" : [ "http://www.mendeley.com/documents/?uuid=b17e7f99-f3b3-4706-a522-d4b817948a79" ] } ], "mendeley" : { "formattedCitation" : "(Macomber and Imlay, 2009)", "plainTextFormattedCitation" : "(Macomber and Imlay, 2009)", "previouslyFormattedCitation" : "(Macomber and Imlay, 2009)" }, "properties" : { "noteIndex" : 0 }, "schema" : "https://github.com/citation-style-language/schema/raw/master/csl-citation.json" }</w:instrText>
      </w:r>
      <w:r w:rsidR="007C2A15">
        <w:fldChar w:fldCharType="separate"/>
      </w:r>
      <w:r w:rsidR="007C2A15" w:rsidRPr="007C2A15">
        <w:rPr>
          <w:noProof/>
        </w:rPr>
        <w:t>(Macomber and Imlay, 2009)</w:t>
      </w:r>
      <w:r w:rsidR="007C2A15">
        <w:fldChar w:fldCharType="end"/>
      </w:r>
      <w:r w:rsidR="007C2A15">
        <w:t xml:space="preserve">, while nickel is a weak ROS generator that can unbalance iron and zinc homeostasis in the cell </w:t>
      </w:r>
      <w:r w:rsidR="007C2A15">
        <w:fldChar w:fldCharType="begin" w:fldLock="1"/>
      </w:r>
      <w:r w:rsidR="00985F5C">
        <w:instrText>ADDIN CSL_CITATION { "citationItems" : [ { "id" : "ITEM-1", "itemData" : { "DOI" : "10.1007/s00253-006-0422-6", "ISBN" : "0175-7598 (Print)\\r0175-7598 (Linking)", "ISSN" : "01757598", "PMID" : "16614860", "abstract" : "Aldolases are a specific group of lyases that catalyze the reversible stereoselective addition of a donor compound (nucleophile) onto an acceptor compound (electrophile). Whereas most aldolases are specific for their donor compound in the aldolization reaction, they often tolerate a wide range of aldehydes as acceptor compounds. C-C bonding by aldolases creates stereocenters in the resulting aldol products. This makes aldolases interesting tools for asymmetric syntheses of rare sugars or sugar-derived compounds as iminocyclitols, statins, epothilones, and sialic acids. Besides the well-known fructose 1,6-bisphosphate aldolase, other aldolases of microbial origin have attracted the interest of synthetic bio-organic chemists in recent years. These are either other dihydroxyacetone phosphate aldolases or aldolases depending on pyruvate/phosphoenolpyruvate, glycine, or acetaldehyde as donor substrate. Recently, an aldolase that accepts dihydroxyacetone or hydroxyacetone as a donor was described. A further enlargement of the arsenal of available chemoenzymatic tools can be achieved through screening for novel aldolase activities and directed evolution of existing aldolases to alter their substrate- or stereospecifities. We give an update of work on aldolases, with an emphasis on microbial aldolases.", "author" : [ { "dropping-particle" : "", "family" : "Samland", "given" : "Anne K.", "non-dropping-particle" : "", "parse-names" : false, "suffix" : "" }, { "dropping-particle" : "", "family" : "Sprenger", "given" : "Georg A.", "non-dropping-particle" : "", "parse-names" : false, "suffix" : "" } ], "container-title" : "Applied Microbiology and Biotechnology", "id" : "ITEM-1", "issue" : "3", "issued" : { "date-parts" : [ [ "2006" ] ] }, "page" : "253-264", "title" : "Microbial aldolases as C-C bonding enzymes - Unknown treasures and new developments", "type" : "article-journal", "volume" : "71" }, "uris" : [ "http://www.mendeley.com/documents/?uuid=55c5b7e6-61df-4591-ab5a-ef5e4b6ca00f" ] } ], "mendeley" : { "formattedCitation" : "(Samland and Sprenger, 2006)", "plainTextFormattedCitation" : "(Samland and Sprenger, 2006)", "previouslyFormattedCitation" : "(Samland and Sprenger, 2006)" }, "properties" : { "noteIndex" : 0 }, "schema" : "https://github.com/citation-style-language/schema/raw/master/csl-citation.json" }</w:instrText>
      </w:r>
      <w:r w:rsidR="007C2A15">
        <w:fldChar w:fldCharType="separate"/>
      </w:r>
      <w:r w:rsidR="007C2A15" w:rsidRPr="007C2A15">
        <w:rPr>
          <w:noProof/>
        </w:rPr>
        <w:t>(Samland and Sprenger, 2006)</w:t>
      </w:r>
      <w:r w:rsidR="007C2A15">
        <w:fldChar w:fldCharType="end"/>
      </w:r>
      <w:r w:rsidR="007C2A15">
        <w:t>.</w:t>
      </w:r>
      <w:r w:rsidR="00207425">
        <w:t xml:space="preserve"> </w:t>
      </w:r>
      <w:r w:rsidR="009944F8">
        <w:t xml:space="preserve">Copper and nickel are resisted through similar pathways </w:t>
      </w:r>
      <w:r w:rsidR="00985F5C">
        <w:fldChar w:fldCharType="begin" w:fldLock="1"/>
      </w:r>
      <w:r w:rsidR="00985F5C">
        <w:instrText>ADDIN CSL_CITATION { "citationItems" : [ { "id" : "ITEM-1", "itemData" : { "DOI" : "10.1016/j.micres.2010.03.004", "ISBN" : "0944-5013", "ISSN" : "09445013", "PMID" : "20630730", "abstract" : "Metal tolerance has been found to vary among Acidithiobacillus ferrooxidans strains and this can impact the efficiency of biomining practices. To explain observed strain variability for differences in metal tolerance we examined the effects of Cu \\n 2+ and Ni \\n 2+ concentrations (1-200mM) on cytoplasmic membrane properties of two A. ferrooxidans type strains (ATCC 23270 and 19859) and four strains isolated from AMD water around Sudbury, Ontario, Canada. Growth rate, membrane fluidity and phase, determined from the fluorescence polarization of 1,6-diphenyl-1,3,5-hexatriene (DPH), and fatty acid profiles indicated that three different modes of adaptation were present and could separate between strains showing moderate, or high metal tolerance from more sensitive strains. To compensate for the membrane ordering effects of the metals, significant remodelling of the membrane was used to either maintain homeoviscous adaptation in the moderately tolerant strains or to increase membrane fluidity in the sensitive strains. Shifts in the gel-to-liquid crystalline transition temperature in the moderately tolerant strains led to multiple phase transitions, increasing the potential for phase separation and compromised membrane integrity. The metal-tolerant strain however, was able to tolerate increases in membrane order without significant compensation via fatty acid composition. Our multivariate analyses show a common adaptive response which involves changes in the abundant 16:0 and 18:1 fatty acids. However, fatty acid composition and membrane properties showed no difference in response to either copper or nickel suggesting that adaptive response was non-specific and tolerance dependent. We demonstrate that strain variation can be evaluated using differences in membrane properties as intrinsic determinants of metal susceptibility. ?? 2010 Elsevier GmbH.", "author" : [ { "dropping-particle" : "", "family" : "Mykytczuk", "given" : "N C S", "non-dropping-particle" : "", "parse-names" : false, "suffix" : "" }, { "dropping-particle" : "", "family" : "Trevors", "given" : "J T", "non-dropping-particle" : "", "parse-names" : false, "suffix" : "" }, { "dropping-particle" : "", "family" : "Ferroni", "given" : "G D", "non-dropping-particle" : "", "parse-names" : false, "suffix" : "" }, { "dropping-particle" : "", "family" : "Leduc", "given" : "L G", "non-dropping-particle" : "", "parse-names" : false, "suffix" : "" } ], "container-title" : "Microbiological Research", "id" : "ITEM-1", "issue" : "3", "issued" : { "date-parts" : [ [ "2011" ] ] }, "page" : "186-206", "publisher" : "Elsevier GmbH.", "title" : "Cytoplasmic membrane response to copper and nickel in Acidithiobacillus ferrooxidans", "type" : "article-journal", "volume" : "166" }, "uris" : [ "http://www.mendeley.com/documents/?uuid=e0940c6f-6c90-4695-bfbd-99ba1b942cf4" ] } ], "mendeley" : { "formattedCitation" : "(Mykytczuk &lt;i&gt;et al.&lt;/i&gt;, 2011)", "plainTextFormattedCitation" : "(Mykytczuk et al., 2011)", "previouslyFormattedCitation" : "(Mykytczuk &lt;i&gt;et al.&lt;/i&gt;, 2011)" }, "properties" : { "noteIndex" : 0 }, "schema" : "https://github.com/citation-style-language/schema/raw/master/csl-citation.json" }</w:instrText>
      </w:r>
      <w:r w:rsidR="00985F5C">
        <w:fldChar w:fldCharType="separate"/>
      </w:r>
      <w:r w:rsidR="00985F5C" w:rsidRPr="00985F5C">
        <w:rPr>
          <w:noProof/>
        </w:rPr>
        <w:t xml:space="preserve">(Mykytczuk </w:t>
      </w:r>
      <w:r w:rsidR="00985F5C" w:rsidRPr="00985F5C">
        <w:rPr>
          <w:i/>
          <w:noProof/>
        </w:rPr>
        <w:t>et al.</w:t>
      </w:r>
      <w:r w:rsidR="00985F5C" w:rsidRPr="00985F5C">
        <w:rPr>
          <w:noProof/>
        </w:rPr>
        <w:t>, 2011)</w:t>
      </w:r>
      <w:r w:rsidR="00985F5C">
        <w:fldChar w:fldCharType="end"/>
      </w:r>
      <w:r w:rsidR="00985F5C">
        <w:t xml:space="preserve">, including active efflux and membrane modification. Copper is also resisted through chelation and rapid repair of damaged enzymes </w:t>
      </w:r>
      <w:r w:rsidR="00985F5C">
        <w:fldChar w:fldCharType="begin" w:fldLock="1"/>
      </w:r>
      <w:r w:rsidR="00985F5C">
        <w:instrText>ADDIN CSL_CITATION { "citationItems" : [ { "id" : "ITEM-1", "itemData" : { "author" : [ { "dropping-particle" : "", "family" : "Macomber", "given" : "Lee", "non-dropping-particle" : "", "parse-names" : false, "suffix" : "" }, { "dropping-particle" : "", "family" : "Imlay", "given" : "James A", "non-dropping-particle" : "", "parse-names" : false, "suffix" : "" } ], "id" : "ITEM-1", "issue" : "20", "issued" : { "date-parts" : [ [ "2009" ] ] }, "page" : "8344-8349", "title" : "The iron-sulfur clusters of dehydratases are primary intracellular targets of copper toxicity", "type" : "article-journal", "volume" : "106" }, "uris" : [ "http://www.mendeley.com/documents/?uuid=b17e7f99-f3b3-4706-a522-d4b817948a79" ] } ], "mendeley" : { "formattedCitation" : "(Macomber and Imlay, 2009)", "plainTextFormattedCitation" : "(Macomber and Imlay, 2009)", "previouslyFormattedCitation" : "(Macomber and Imlay, 2009)" }, "properties" : { "noteIndex" : 0 }, "schema" : "https://github.com/citation-style-language/schema/raw/master/csl-citation.json" }</w:instrText>
      </w:r>
      <w:r w:rsidR="00985F5C">
        <w:fldChar w:fldCharType="separate"/>
      </w:r>
      <w:r w:rsidR="00985F5C" w:rsidRPr="00985F5C">
        <w:rPr>
          <w:noProof/>
        </w:rPr>
        <w:t>(Macomber and Imlay, 2009)</w:t>
      </w:r>
      <w:r w:rsidR="00985F5C">
        <w:fldChar w:fldCharType="end"/>
      </w:r>
      <w:r w:rsidR="00985F5C">
        <w:t xml:space="preserve">, while nickel can be sequestered inside the cell </w:t>
      </w:r>
      <w:r w:rsidR="00985F5C">
        <w:fldChar w:fldCharType="begin" w:fldLock="1"/>
      </w:r>
      <w:r w:rsidR="00C75DCD">
        <w:instrText>ADDIN CSL_CITATION { "citationItems" : [ { "id" : "ITEM-1", "itemData" : { "author" : [ { "dropping-particle" : "", "family" : "Nishimura", "given" : "Ken", "non-dropping-particle" : "", "parse-names" : false, "suffix" : "" }, { "dropping-particle" : "", "family" : "Igarashi", "given" : "Kazuei", "non-dropping-particle" : "", "parse-names" : false, "suffix" : "" }, { "dropping-particle" : "", "family" : "Kakinuma", "given" : "Yoshimi", "non-dropping-particle" : "", "parse-names" : false, "suffix" : "" } ], "id" : "ITEM-1", "issue" : "7", "issued" : { "date-parts" : [ [ "1998" ] ] }, "page" : "1-4", "title" : "Proton Gradient-Driven Nickel Uptake by Vacuolar Membrane Vesicles of Saccharomyces cerevisiae Proton Gradient-Driven Nickel Uptake by Vacuolar Membrane Vesicles of Saccharomyces cerevisiae", "type" : "article-journal", "volume" : "180" }, "uris" : [ "http://www.mendeley.com/documents/?uuid=defa1f36-a40d-4173-b0e7-2eefb88feeda" ] } ], "mendeley" : { "formattedCitation" : "(Nishimura, Igarashi and Kakinuma, 1998)", "plainTextFormattedCitation" : "(Nishimura, Igarashi and Kakinuma, 1998)", "previouslyFormattedCitation" : "(Nishimura, Igarashi and Kakinuma, 1998)" }, "properties" : { "noteIndex" : 0 }, "schema" : "https://github.com/citation-style-language/schema/raw/master/csl-citation.json" }</w:instrText>
      </w:r>
      <w:r w:rsidR="00985F5C">
        <w:fldChar w:fldCharType="separate"/>
      </w:r>
      <w:r w:rsidR="00985F5C" w:rsidRPr="00985F5C">
        <w:rPr>
          <w:noProof/>
        </w:rPr>
        <w:t>(Nishimura, Igarashi and Kakinuma, 1998)</w:t>
      </w:r>
      <w:r w:rsidR="00985F5C">
        <w:fldChar w:fldCharType="end"/>
      </w:r>
      <w:r w:rsidR="00985F5C">
        <w:t>.</w:t>
      </w:r>
    </w:p>
    <w:p w14:paraId="55D2F9DE" w14:textId="27FF66BF" w:rsidR="00A34CBF" w:rsidRDefault="00985F5C" w:rsidP="00A34CBF">
      <w:r>
        <w:t>Chloramphenicol and ampicillin are broad spectrum antibacterial agents, used in decreasing amounts in healthcare applications due to their severe side effect</w:t>
      </w:r>
      <w:r w:rsidR="00111ECE">
        <w:t>s and growing resistance,</w:t>
      </w:r>
      <w:r>
        <w:t xml:space="preserve"> but nevertheless well-studied environmental pollutants.</w:t>
      </w:r>
      <w:r w:rsidR="00C75DCD">
        <w:t xml:space="preserve"> First isolated from </w:t>
      </w:r>
      <w:r w:rsidR="00C75DCD" w:rsidRPr="00C75DCD">
        <w:rPr>
          <w:i/>
        </w:rPr>
        <w:t>Streptomyces</w:t>
      </w:r>
      <w:r w:rsidR="00C75DCD">
        <w:rPr>
          <w:i/>
        </w:rPr>
        <w:t xml:space="preserve"> </w:t>
      </w:r>
      <w:proofErr w:type="spellStart"/>
      <w:r w:rsidR="00C75DCD">
        <w:rPr>
          <w:i/>
        </w:rPr>
        <w:t>venezuelae</w:t>
      </w:r>
      <w:proofErr w:type="spellEnd"/>
      <w:r w:rsidR="00C75DCD" w:rsidRPr="00C75DCD">
        <w:t>, a</w:t>
      </w:r>
      <w:r w:rsidR="00C75DCD">
        <w:t xml:space="preserve"> soil-dwelling bacterium, chloramphenicol is a broad-spectrum antibiotic to which resistance in the wild and areas under antibiotic pollution is particularly common </w:t>
      </w:r>
      <w:r w:rsidR="00C75DCD">
        <w:fldChar w:fldCharType="begin" w:fldLock="1"/>
      </w:r>
      <w:r w:rsidR="004F6765">
        <w:instrText>ADDIN CSL_CITATION { "citationItems" : [ { "id" : "ITEM-1", "itemData" : { "DOI" : "10.1038/nrmicro2312", "ISBN" : "1740-1534 (Electronic)\\r1740-1526 (Linking)", "ISSN" : "17401526", "PMID" : "20190823", "abstract" : "Antibiotic-resistant pathogens are profoundly important to human health, but the environmental reservoirs of resistance determinants are poorly understood. The origins of antibiotic resistance in the environment is relevant to human health because of the increasing importance of zoonotic diseases as well as the need for predicting emerging resistant pathogens. This Review explores the presence and spread of antibiotic resistance in non-agricultural, non-clinical environments and demonstrates the need for more intensive investigation on this subject.", "author" : [ { "dropping-particle" : "", "family" : "Allen", "given" : "Heather K.", "non-dropping-particle" : "", "parse-names" : false, "suffix" : "" }, { "dropping-particle" : "", "family" : "Donato", "given" : "Justin", "non-dropping-particle" : "", "parse-names" : false, "suffix" : "" }, { "dropping-particle" : "", "family" : "Wang", "given" : "Helena Huimi", "non-dropping-particle" : "", "parse-names" : false, "suffix" : "" }, { "dropping-particle" : "", "family" : "Cloud-Hansen", "given" : "Karen A.", "non-dropping-particle" : "", "parse-names" : false, "suffix" : "" }, { "dropping-particle" : "", "family" : "Davies", "given" : "Julian", "non-dropping-particle" : "", "parse-names" : false, "suffix" : "" }, { "dropping-particle" : "", "family" : "Handelsman", "given" : "Jo", "non-dropping-particle" : "", "parse-names" : false, "suffix" : "" } ], "container-title" : "Nature Reviews Microbiology", "id" : "ITEM-1", "issue" : "4", "issued" : { "date-parts" : [ [ "2010" ] ] }, "page" : "251-259", "publisher" : "Nature Publishing Group", "title" : "Call of the wild: Antibiotic resistance genes in natural environments", "type" : "article-journal", "volume" : "8" }, "uris" : [ "http://www.mendeley.com/documents/?uuid=2e9c7531-9641-44e5-9be5-51b517e17d62" ] } ], "mendeley" : { "formattedCitation" : "(Allen &lt;i&gt;et al.&lt;/i&gt;, 2010)", "plainTextFormattedCitation" : "(Allen et al., 2010)", "previouslyFormattedCitation" : "(Allen &lt;i&gt;et al.&lt;/i&gt;, 2010)" }, "properties" : { "noteIndex" : 0 }, "schema" : "https://github.com/citation-style-language/schema/raw/master/csl-citation.json" }</w:instrText>
      </w:r>
      <w:r w:rsidR="00C75DCD">
        <w:fldChar w:fldCharType="separate"/>
      </w:r>
      <w:r w:rsidR="00C75DCD" w:rsidRPr="00C75DCD">
        <w:rPr>
          <w:noProof/>
        </w:rPr>
        <w:t xml:space="preserve">(Allen </w:t>
      </w:r>
      <w:r w:rsidR="00C75DCD" w:rsidRPr="00C75DCD">
        <w:rPr>
          <w:i/>
          <w:noProof/>
        </w:rPr>
        <w:t>et al.</w:t>
      </w:r>
      <w:r w:rsidR="00C75DCD" w:rsidRPr="00C75DCD">
        <w:rPr>
          <w:noProof/>
        </w:rPr>
        <w:t>, 2010)</w:t>
      </w:r>
      <w:r w:rsidR="00C75DCD">
        <w:fldChar w:fldCharType="end"/>
      </w:r>
      <w:r w:rsidR="00C75DCD">
        <w:t>. Ampicillin</w:t>
      </w:r>
      <w:r w:rsidR="00111ECE">
        <w:t xml:space="preserve">, a </w:t>
      </w:r>
      <w:r w:rsidR="00C75DCD">
        <w:t>widespread</w:t>
      </w:r>
      <w:r w:rsidR="004F6765">
        <w:t>, broad-spectrum</w:t>
      </w:r>
      <w:r w:rsidR="00C75DCD">
        <w:t xml:space="preserve"> antibiotic from the </w:t>
      </w:r>
      <w:r w:rsidR="00111ECE">
        <w:t xml:space="preserve">penicillin family </w:t>
      </w:r>
      <w:r w:rsidR="004F6765">
        <w:t xml:space="preserve">is also widely resisted </w:t>
      </w:r>
      <w:r w:rsidR="004F6765">
        <w:fldChar w:fldCharType="begin" w:fldLock="1"/>
      </w:r>
      <w:r w:rsidR="004F6765">
        <w:instrText>ADDIN CSL_CITATION { "citationItems" : [ { "id" : "ITEM-1", "itemData" : { "DOI" : "10.1093/jac/43.5.699", "ISSN" : "14602091", "author" : [ { "dropping-particle" : "", "family" : "Ruiz", "given" : "J.", "non-dropping-particle" : "", "parse-names" : false, "suffix" : "" }, { "dropping-particle" : "", "family" : "Capitano", "given" : "Liliana", "non-dropping-particle" : "", "parse-names" : false, "suffix" : "" }, { "dropping-particle" : "", "family" : "Nu\u00f1ez", "given" : "Laura", "non-dropping-particle" : "", "parse-names" : false, "suffix" : "" }, { "dropping-particle" : "", "family" : "Castro", "given" : "Dolores", "non-dropping-particle" : "", "parse-names" : false, "suffix" : "" }, { "dropping-particle" : "", "family" : "Sierra", "given" : "Josep M.", "non-dropping-particle" : "", "parse-names" : false, "suffix" : "" }, { "dropping-particle" : "", "family" : "Hatha", "given" : "Mohamed", "non-dropping-particle" : "", "parse-names" : false, "suffix" : "" }, { "dropping-particle" : "", "family" : "Borrego", "given" : "Juan J.", "non-dropping-particle" : "", "parse-names" : false, "suffix" : "" }, { "dropping-particle" : "", "family" : "Vila", "given" : "Jordi", "non-dropping-particle" : "", "parse-names" : false, "suffix" : "" } ], "container-title" : "Journal of Antimicrobial Chemotherapy", "id" : "ITEM-1", "issue" : "5", "issued" : { "date-parts" : [ [ "1999", "5", "1" ] ] }, "page" : "699-702", "publisher" : "Oxford University Press", "title" : "Mechanisms of resistance to ampicillin, chloramphenicol and quinolones in multiresistant Salmonella typhimurium strains isolated from fish", "type" : "article-journal", "volume" : "43" }, "uris" : [ "http://www.mendeley.com/documents/?uuid=1979ea22-cc2b-3cff-8b6e-0295add9b5e0" ] } ], "mendeley" : { "formattedCitation" : "(Ruiz &lt;i&gt;et al.&lt;/i&gt;, 1999)", "plainTextFormattedCitation" : "(Ruiz et al., 1999)", "previouslyFormattedCitation" : "(Ruiz &lt;i&gt;et al.&lt;/i&gt;, 1999)" }, "properties" : { "noteIndex" : 0 }, "schema" : "https://github.com/citation-style-language/schema/raw/master/csl-citation.json" }</w:instrText>
      </w:r>
      <w:r w:rsidR="004F6765">
        <w:fldChar w:fldCharType="separate"/>
      </w:r>
      <w:r w:rsidR="004F6765" w:rsidRPr="004F6765">
        <w:rPr>
          <w:noProof/>
        </w:rPr>
        <w:t xml:space="preserve">(Ruiz </w:t>
      </w:r>
      <w:r w:rsidR="004F6765" w:rsidRPr="004F6765">
        <w:rPr>
          <w:i/>
          <w:noProof/>
        </w:rPr>
        <w:t>et al.</w:t>
      </w:r>
      <w:r w:rsidR="004F6765" w:rsidRPr="004F6765">
        <w:rPr>
          <w:noProof/>
        </w:rPr>
        <w:t>, 1999)</w:t>
      </w:r>
      <w:r w:rsidR="004F6765">
        <w:fldChar w:fldCharType="end"/>
      </w:r>
      <w:r w:rsidR="004F6765">
        <w:t xml:space="preserve">. Chloramphenicol acts bacteriostatically by inhibiting protein synthesis in the 50S ribosomal subunit, while ampicillin </w:t>
      </w:r>
      <w:r w:rsidR="00ED4AAA">
        <w:t xml:space="preserve">inhibits cell wall synthesis. Drug interaction studies have shown that chloramphenicol is negatively antagonistic towards ampicillin due to their competing modes of action </w:t>
      </w:r>
      <w:r w:rsidR="00ED4AAA">
        <w:fldChar w:fldCharType="begin" w:fldLock="1"/>
      </w:r>
      <w:r w:rsidR="00C96752">
        <w:instrText>ADDIN CSL_CITATION { "citationItems" : [ { "id" : "ITEM-1", "itemData" : { "DOI" : "10.1016/B978-0-7020-6285-8.00137-4", "ISBN" : "9780702062858", "author" : [ { "dropping-particle" : "", "family" : "Bambeke", "given" : "Fran\u00e7oise", "non-dropping-particle" : "van", "parse-names" : false, "suffix" : "" }, { "dropping-particle" : "", "family" : "Mingeot-Leclercq", "given" : "Marie-Paule", "non-dropping-particle" : "", "parse-names" : false, "suffix" : "" }, { "dropping-particle" : "", "family" : "Glupczynski", "given" : "Youri", "non-dropping-particle" : "", "parse-names" : false, "suffix" : "" }, { "dropping-particle" : "", "family" : "Tulkens", "given" : "Paul M.", "non-dropping-particle" : "", "parse-names" : false, "suffix" : "" } ], "container-title" : "Infectious Diseases", "id" : "ITEM-1", "issued" : { "date-parts" : [ [ "2017", "1", "1" ] ] }, "page" : "1162-1180.e1", "publisher" : "Elsevier", "title" : "Mechanisms of Action", "type" : "article-journal" }, "uris" : [ "http://www.mendeley.com/documents/?uuid=0cc8f9d2-5b11-32d5-9c7d-d67a198ebe9b" ] } ], "mendeley" : { "formattedCitation" : "(van Bambeke &lt;i&gt;et al.&lt;/i&gt;, 2017)", "plainTextFormattedCitation" : "(van Bambeke et al., 2017)", "previouslyFormattedCitation" : "(van Bambeke &lt;i&gt;et al.&lt;/i&gt;, 2017)" }, "properties" : { "noteIndex" : 0 }, "schema" : "https://github.com/citation-style-language/schema/raw/master/csl-citation.json" }</w:instrText>
      </w:r>
      <w:r w:rsidR="00ED4AAA">
        <w:fldChar w:fldCharType="separate"/>
      </w:r>
      <w:r w:rsidR="00ED4AAA" w:rsidRPr="00ED4AAA">
        <w:rPr>
          <w:noProof/>
        </w:rPr>
        <w:t xml:space="preserve">(van Bambeke </w:t>
      </w:r>
      <w:r w:rsidR="00ED4AAA" w:rsidRPr="00ED4AAA">
        <w:rPr>
          <w:i/>
          <w:noProof/>
        </w:rPr>
        <w:t>et al.</w:t>
      </w:r>
      <w:r w:rsidR="00ED4AAA" w:rsidRPr="00ED4AAA">
        <w:rPr>
          <w:noProof/>
        </w:rPr>
        <w:t>, 2017)</w:t>
      </w:r>
      <w:r w:rsidR="00ED4AAA">
        <w:fldChar w:fldCharType="end"/>
      </w:r>
      <w:r w:rsidR="00ED4AAA">
        <w:t xml:space="preserve">. </w:t>
      </w:r>
      <w:r w:rsidR="00A34CBF">
        <w:t xml:space="preserve">It has been suggested that many of the genes that provide resistance to common antibiotics </w:t>
      </w:r>
      <w:r w:rsidR="00A34CBF">
        <w:lastRenderedPageBreak/>
        <w:t xml:space="preserve">including chloramphenicol also provide tolerance to environmental stress in non-pathogenic species </w:t>
      </w:r>
      <w:r w:rsidR="00A34CBF">
        <w:fldChar w:fldCharType="begin" w:fldLock="1"/>
      </w:r>
      <w:r w:rsidR="00A34CBF">
        <w:instrText>ADDIN CSL_CITATION { "citationItems" : [ { "id" : "ITEM-1", "itemData" : { "DOI" : "10.1128/AEM.01086-06", "ISBN" : "0099-2240 (Print)\\r0099-2240 (Linking)", "ISSN" : "00992240", "PMID" : "17114320", "abstract" : "Environmental bacteria persist in various habitats, yet little is known about the genes that contribute to growth and survival in their respective ecological niches. Signature-tagged mutagenesis (STM) of Shewanella oneidensis MR-1 coupled with a screen involving incubations of mutant strains in anoxic aquifer sediments allowed us to identify 47 genes that enhance fitness in sediments. Gene functions inferred from annotations provide us with insight into physiological and ecological processes that environmental bacteria use while growing in sediment ecosystems. Identification of the mexF gene and other potential membrane efflux components by STM demonstrated that homologues of multidrug resistance genes present in pathogens are required for sediment fitness of nonpathogenic bacteria. Further studies with a mexF deletion mutant demonstrated that the multidrug resistance pump encoded by mexF is required for resistance to antibiotics, including chloramphenicol and tetracycline. Chloramphenicol-adapted cultures exhibited mutations in the gene encoding a TetR family regulatory protein, indicating a role for this protein in regulating expression of the mexEF operon. The relative importance of mexF for sediment fitness suggests that antibiotic efflux may be a required process for bacteria living in sediment systems.", "author" : [ { "dropping-particle" : "", "family" : "Groh", "given" : "Jennifer L.", "non-dropping-particle" : "", "parse-names" : false, "suffix" : "" }, { "dropping-particle" : "", "family" : "Luo", "given" : "Qingwei", "non-dropping-particle" : "", "parse-names" : false, "suffix" : "" }, { "dropping-particle" : "", "family" : "Ballard", "given" : "Jimmy D.", "non-dropping-particle" : "", "parse-names" : false, "suffix" : "" }, { "dropping-particle" : "", "family" : "Krumholz", "given" : "Lee R.", "non-dropping-particle" : "", "parse-names" : false, "suffix" : "" } ], "container-title" : "Applied and Environmental Microbiology", "id" : "ITEM-1", "issue" : "2", "issued" : { "date-parts" : [ [ "2007" ] ] }, "page" : "492-498", "title" : "Genes that enhance the ecological fitness of Shewanella oneidensis MR-1 in sediments reveal the value of antibiotic resistance", "type" : "article-journal", "volume" : "73" }, "uris" : [ "http://www.mendeley.com/documents/?uuid=b53ac5d1-f006-41ce-a2a9-9e880f2389c6" ] } ], "mendeley" : { "formattedCitation" : "(Groh &lt;i&gt;et al.&lt;/i&gt;, 2007)", "plainTextFormattedCitation" : "(Groh et al., 2007)", "previouslyFormattedCitation" : "(Groh &lt;i&gt;et al.&lt;/i&gt;, 2007)" }, "properties" : { "noteIndex" : 0 }, "schema" : "https://github.com/citation-style-language/schema/raw/master/csl-citation.json" }</w:instrText>
      </w:r>
      <w:r w:rsidR="00A34CBF">
        <w:fldChar w:fldCharType="separate"/>
      </w:r>
      <w:r w:rsidR="00A34CBF" w:rsidRPr="00362F5B">
        <w:rPr>
          <w:noProof/>
        </w:rPr>
        <w:t xml:space="preserve">(Groh </w:t>
      </w:r>
      <w:r w:rsidR="00A34CBF" w:rsidRPr="00362F5B">
        <w:rPr>
          <w:i/>
          <w:noProof/>
        </w:rPr>
        <w:t>et al.</w:t>
      </w:r>
      <w:r w:rsidR="00A34CBF" w:rsidRPr="00362F5B">
        <w:rPr>
          <w:noProof/>
        </w:rPr>
        <w:t>, 2007)</w:t>
      </w:r>
      <w:r w:rsidR="00A34CBF">
        <w:fldChar w:fldCharType="end"/>
      </w:r>
      <w:r w:rsidR="00A34CBF">
        <w:t xml:space="preserve">. Research has also found that exposure to ROS from heavy metals, including copper, can co-select for chloramphenicol resistance </w:t>
      </w:r>
      <w:r w:rsidR="00A34CBF">
        <w:fldChar w:fldCharType="begin" w:fldLock="1"/>
      </w:r>
      <w:r w:rsidR="00A34CBF">
        <w:instrText>ADDIN CSL_CITATION { "citationItems" : [ { "id" : "ITEM-1", "itemData" : { "DOI" : "10.1111/j.1462-2920.2009.01973.x", "ISBN" : "1462-2912", "ISSN" : "14622912", "PMID" : "19555372", "abstract" : "Microbiological metal toxicity involves redox reactions between metal species and cellular molecules, and therefore, we hypothesized that antioxidant systems might be chromosomal determinants affecting the susceptibility of bacteria to metal toxicity. Here, survival was quantified in metal ion-exposed planktonic cultures of several Escherichia coli strains, each bearing a mutation in a gene important for redox homeostasis. This characterized approximately 250 gene-metal combinations and identified that sodA, sodB, gor, trxA, gshA, grxA and marR have distinct roles in safeguarding or sensitizing cells to different toxic metal ions (Cr(2)O(7)(2-), Co(2+), Cu(2+), Ag(+), Zn(2+), AsO(2)(-), SeO(3)(2-) or TeO(3)(2-)). To shed light on these observations, fluorescent sensors for reactive oxygen species (ROS) and reduced thiol (RSH) quantification were used to ascertain that different metal ions exert oxidative toxicity through disparate modes-of-action. These oxidative mechanisms of metal toxicity were categorized as involving ROS and thiol-disulfide chemistry together (AsO(2)(-), SeO(3)(2-)), ROS predominantly (Cu(2+), Cr(2)O(7)(2-)) or thiol-disulfide chemistry predominantly (Ag(+), Co(2+), Zn(2+), TeO(3)(2-)). Corresponding to this, promoter-luxCDABE fusions showed that toxic doses of different metal ions up- or downregulate the transcription of gene sets marking distinct pathways of cellular oxidative stress. Altogether, our findings suggest that different metal ions are lethal to cells through discrete pathways of oxidative biochemistry, and moreover, indicate that chromosomally encoded antioxidant systems may have metal ion-specific physiological roles as determinants of bacterial metal tolerance.", "author" : [ { "dropping-particle" : "", "family" : "Harrison", "given" : "Joe J", "non-dropping-particle" : "", "parse-names" : false, "suffix" : "" }, { "dropping-particle" : "", "family" : "Tremaroli", "given" : "Valentina", "non-dropping-particle" : "", "parse-names" : false, "suffix" : "" }, { "dropping-particle" : "", "family" : "Stan", "given" : "Michelle A", "non-dropping-particle" : "", "parse-names" : false, "suffix" : "" }, { "dropping-particle" : "", "family" : "Chan", "given" : "Catherine S", "non-dropping-particle" : "", "parse-names" : false, "suffix" : "" }, { "dropping-particle" : "", "family" : "Vacchi-Suzzi", "given" : "Caterina", "non-dropping-particle" : "", "parse-names" : false, "suffix" : "" }, { "dropping-particle" : "", "family" : "Heyne", "given" : "Belinda J", "non-dropping-particle" : "", "parse-names" : false, "suffix" : "" }, { "dropping-particle" : "", "family" : "Parsek", "given" : "Matthew R", "non-dropping-particle" : "", "parse-names" : false, "suffix" : "" }, { "dropping-particle" : "", "family" : "Ceri", "given" : "Howard", "non-dropping-particle" : "", "parse-names" : false, "suffix" : "" }, { "dropping-particle" : "", "family" : "Turner", "given" : "Raymond J", "non-dropping-particle" : "", "parse-names" : false, "suffix" : "" } ], "container-title" : "Environmental Microbiology", "id" : "ITEM-1", "issue" : "10", "issued" : { "date-parts" : [ [ "2009" ] ] }, "page" : "2491-2509", "title" : "Chromosomal antioxidant genes have metal ion-specific roles as determinants of bacterial metal tolerance", "type" : "article-journal", "volume" : "11" }, "uris" : [ "http://www.mendeley.com/documents/?uuid=cc28d7a2-b8e6-4146-bf18-b6d796e3a0f4" ] } ], "mendeley" : { "formattedCitation" : "(Harrison &lt;i&gt;et al.&lt;/i&gt;, 2009)", "plainTextFormattedCitation" : "(Harrison et al., 2009)", "previouslyFormattedCitation" : "(Harrison &lt;i&gt;et al.&lt;/i&gt;, 2009)" }, "properties" : { "noteIndex" : 0 }, "schema" : "https://github.com/citation-style-language/schema/raw/master/csl-citation.json" }</w:instrText>
      </w:r>
      <w:r w:rsidR="00A34CBF">
        <w:fldChar w:fldCharType="separate"/>
      </w:r>
      <w:r w:rsidR="00A34CBF" w:rsidRPr="00362F5B">
        <w:rPr>
          <w:noProof/>
        </w:rPr>
        <w:t xml:space="preserve">(Harrison </w:t>
      </w:r>
      <w:r w:rsidR="00A34CBF" w:rsidRPr="00362F5B">
        <w:rPr>
          <w:i/>
          <w:noProof/>
        </w:rPr>
        <w:t>et al.</w:t>
      </w:r>
      <w:r w:rsidR="00A34CBF" w:rsidRPr="00362F5B">
        <w:rPr>
          <w:noProof/>
        </w:rPr>
        <w:t>, 2009)</w:t>
      </w:r>
      <w:r w:rsidR="00A34CBF">
        <w:fldChar w:fldCharType="end"/>
      </w:r>
      <w:r w:rsidR="00A34CBF">
        <w:t>.</w:t>
      </w:r>
    </w:p>
    <w:p w14:paraId="0AC1A7F0" w14:textId="4B8AD895" w:rsidR="00985F5C" w:rsidRDefault="00A34CBF" w:rsidP="00B506ED">
      <w:r>
        <w:t xml:space="preserve">Metaldehyde and atrazine are two distinct chemical pesticides; the first a molluscicide, the second a herbicide. Atrazine, a triazine pesticide </w:t>
      </w:r>
      <w:r w:rsidRPr="00A34CBF">
        <w:t>has been banned in the EU since 2004 (EU, 2004), but has remained the most commonly used herbicide in the US</w:t>
      </w:r>
      <w:r>
        <w:t xml:space="preserve">, and acts on plants by </w:t>
      </w:r>
      <w:r w:rsidRPr="00A34CBF">
        <w:t>disrupting photosynthesis (Shimabukuro and Swanson, 1969)</w:t>
      </w:r>
      <w:r w:rsidR="00CE2B38">
        <w:t xml:space="preserve">, while metaldehyde is </w:t>
      </w:r>
      <w:r w:rsidR="00CE2B38" w:rsidRPr="00CE2B38">
        <w:t>rapidly converted within the body of molluscs to aldehyde, which damages mucus producing cells, causing excessive mucus production, dehydration, and eventual death (</w:t>
      </w:r>
      <w:proofErr w:type="spellStart"/>
      <w:r w:rsidR="00CE2B38" w:rsidRPr="00CE2B38">
        <w:t>Triebskorn</w:t>
      </w:r>
      <w:proofErr w:type="spellEnd"/>
      <w:r w:rsidR="00CE2B38" w:rsidRPr="00CE2B38">
        <w:t>, Christensen and Heim, 1998)</w:t>
      </w:r>
      <w:r w:rsidR="00CE2B38">
        <w:t xml:space="preserve">. </w:t>
      </w:r>
      <w:r w:rsidR="00CE2B38" w:rsidRPr="00CE2B38">
        <w:t>Atrazine</w:t>
      </w:r>
      <w:r w:rsidR="00CE2B38">
        <w:t xml:space="preserve"> </w:t>
      </w:r>
      <w:r w:rsidR="00CE2B38" w:rsidRPr="00CE2B38">
        <w:t>has been shown to be both a food source (</w:t>
      </w:r>
      <w:proofErr w:type="spellStart"/>
      <w:r w:rsidR="00CE2B38" w:rsidRPr="00CE2B38">
        <w:t>Wackett</w:t>
      </w:r>
      <w:proofErr w:type="spellEnd"/>
      <w:r w:rsidR="00CE2B38" w:rsidRPr="00CE2B38">
        <w:t xml:space="preserve"> et al., 2002) and ROS stressor (Zhang et al., 2012) to various species of bacteria</w:t>
      </w:r>
      <w:r w:rsidR="00CE2B38">
        <w:t xml:space="preserve">, but information on metaldehyde’s effects on bacteria are limited: </w:t>
      </w:r>
      <w:r w:rsidR="00CE2B38" w:rsidRPr="00CE2B38">
        <w:t xml:space="preserve">one study has examined interactions between bacteria and metaldehyde (Thomas et al., 2017), showing only that </w:t>
      </w:r>
      <w:r w:rsidR="00CE2B38" w:rsidRPr="00CE2B38">
        <w:rPr>
          <w:i/>
        </w:rPr>
        <w:t>Variovorax</w:t>
      </w:r>
      <w:r w:rsidR="00CE2B38" w:rsidRPr="00CE2B38">
        <w:t xml:space="preserve"> and </w:t>
      </w:r>
      <w:r w:rsidR="00CE2B38" w:rsidRPr="00CE2B38">
        <w:rPr>
          <w:i/>
        </w:rPr>
        <w:t>Aceinetobacter</w:t>
      </w:r>
      <w:r w:rsidR="00CE2B38" w:rsidRPr="00CE2B38">
        <w:t xml:space="preserve"> strains can be isolated from metaldehyde-treated soil and can degrade the molluscicide.</w:t>
      </w:r>
    </w:p>
    <w:p w14:paraId="28A3B0D6" w14:textId="6D14FC1F" w:rsidR="00001019" w:rsidRPr="009D6560" w:rsidRDefault="00001019" w:rsidP="00B506ED">
      <w:r>
        <w:t xml:space="preserve">Tebuconazole </w:t>
      </w:r>
      <w:r w:rsidR="00B74827">
        <w:t>is a triazole fungicide that acts</w:t>
      </w:r>
      <w:r w:rsidR="00C96752">
        <w:t xml:space="preserve"> against a broad range of pathogens</w:t>
      </w:r>
      <w:r w:rsidR="00B74827">
        <w:t xml:space="preserve"> by inhibiting fungi-specific</w:t>
      </w:r>
      <w:r w:rsidR="00C96752">
        <w:t xml:space="preserve"> membrane</w:t>
      </w:r>
      <w:r w:rsidR="00B74827">
        <w:t xml:space="preserve"> synthesis </w:t>
      </w:r>
      <w:r w:rsidR="00C96752">
        <w:t xml:space="preserve">pathways. Tebuconazole is known to be toxic to a range of non-target species </w:t>
      </w:r>
      <w:r w:rsidR="00C96752">
        <w:fldChar w:fldCharType="begin" w:fldLock="1"/>
      </w:r>
      <w:r w:rsidR="00C96752">
        <w:instrText>ADDIN CSL_CITATION { "citationItems" : [ { "id" : "ITEM-1", "itemData" : { "DOI" : "10.1080/03601230903404499", "ISSN" : "1532-4109", "abstract" : "The objective of this work was to isolate bacteria from soil historically exposed to tebuconazole and to evaluate the biodegradation of this fungicide by them. Tebuconazole is a commonly used systemic fungicide of the triazol group, which inhibits the sterol C-14 \u03b1-demethylation of 24-methylenedihydrolanosterol, a precursor of ergosterol, a cell membrane component in fungi. Microorganisms were isolated by different methods of soil sampling and the screening of degrading bacteria was performed in bioreactors cultivations, with some isolates showing the ability to degrade up to 42.76 mg L \u22121 of tebuconazole (51% of the initial concentration). These strains were identified by standard biochemical procedures as being Enterobacter sakazakii and Serratia sp. These bacteria present some important characteristics for potential uses on environmental bioremediation, considering that tebucanozale is an extremely recalcitrant chemical.", "author" : [ { "dropping-particle" : "", "family" : "Sehnem", "given" : "Nicole T", "non-dropping-particle" : "", "parse-names" : false, "suffix" : "" }, { "dropping-particle" : "", "family" : "Souza-Cruz", "given" : "Priscila", "non-dropping-particle" : "", "parse-names" : false, "suffix" : "" }, { "dropping-particle" : "", "family" : "Carmo Peralba", "given" : "Maria R", "non-dropping-particle" : "Do", "parse-names" : false, "suffix" : "" }, { "dropping-particle" : "", "family" : "Z\u00e1chia Ayub", "given" : "Marco A", "non-dropping-particle" : "", "parse-names" : false, "suffix" : "" }, { "dropping-particle" : "", "family" : "Souza-cruz", "given" : "Priscila", "non-dropping-particle" : "", "parse-names" : false, "suffix" : "" }, { "dropping-particle" : "DO", "family" : "Carmo R Peralba", "given" : "Maria", "non-dropping-particle" : "", "parse-names" : false, "suffix" : "" }, { "dropping-particle" : "", "family" : "Z", "given" : "Marco A", "non-dropping-particle" : "", "parse-names" : false, "suffix" : "" }, { "dropping-particle" : "", "family" : "Ayub", "given" : "Achia", "non-dropping-particle" : "", "parse-names" : false, "suffix" : "" } ], "container-title" : "Journal of Environmental Science and Health Part B", "id" : "ITEM-1", "issue" : "1", "issued" : { "date-parts" : [ [ "2010" ] ] }, "page" : "67-72", "title" : "Biodegradation Of Tebuconazole By Bacteria Isolated From Contaminated Soils", "type" : "article-journal", "volume" : "45" }, "uris" : [ "http://www.mendeley.com/documents/?uuid=8c53cf77-f42e-3546-8b9f-7bb06ae48670" ] } ], "mendeley" : { "formattedCitation" : "(Sehnem &lt;i&gt;et al.&lt;/i&gt;, 2010)", "plainTextFormattedCitation" : "(Sehnem et al., 2010)", "previouslyFormattedCitation" : "(Sehnem &lt;i&gt;et al.&lt;/i&gt;, 2010)" }, "properties" : { "noteIndex" : 0 }, "schema" : "https://github.com/citation-style-language/schema/raw/master/csl-citation.json" }</w:instrText>
      </w:r>
      <w:r w:rsidR="00C96752">
        <w:fldChar w:fldCharType="separate"/>
      </w:r>
      <w:r w:rsidR="00C96752" w:rsidRPr="00C96752">
        <w:rPr>
          <w:noProof/>
        </w:rPr>
        <w:t xml:space="preserve">(Sehnem </w:t>
      </w:r>
      <w:r w:rsidR="00C96752" w:rsidRPr="00C96752">
        <w:rPr>
          <w:i/>
          <w:noProof/>
        </w:rPr>
        <w:t>et al.</w:t>
      </w:r>
      <w:r w:rsidR="00C96752" w:rsidRPr="00C96752">
        <w:rPr>
          <w:noProof/>
        </w:rPr>
        <w:t>, 2010)</w:t>
      </w:r>
      <w:r w:rsidR="00C96752">
        <w:fldChar w:fldCharType="end"/>
      </w:r>
      <w:r w:rsidR="00C96752">
        <w:t xml:space="preserve">, but information on effects on bacteria is limited to the knowledge that some bacteria (not including any of the species used in this study) are capable of degrading tebuconazole </w:t>
      </w:r>
      <w:r w:rsidR="00C96752">
        <w:fldChar w:fldCharType="begin" w:fldLock="1"/>
      </w:r>
      <w:r w:rsidR="009D6560">
        <w:instrText>ADDIN CSL_CITATION { "citationItems" : [ { "id" : "ITEM-1", "itemData" : { "DOI" : "10.1080/03601230903404499", "ISSN" : "1532-4109", "abstract" : "The objective of this work was to isolate bacteria from soil historically exposed to tebuconazole and to evaluate the biodegradation of this fungicide by them. Tebuconazole is a commonly used systemic fungicide of the triazol group, which inhibits the sterol C-14 \u03b1-demethylation of 24-methylenedihydrolanosterol, a precursor of ergosterol, a cell membrane component in fungi. Microorganisms were isolated by different methods of soil sampling and the screening of degrading bacteria was performed in bioreactors cultivations, with some isolates showing the ability to degrade up to 42.76 mg L \u22121 of tebuconazole (51% of the initial concentration). These strains were identified by standard biochemical procedures as being Enterobacter sakazakii and Serratia sp. These bacteria present some important characteristics for potential uses on environmental bioremediation, considering that tebucanozale is an extremely recalcitrant chemical.", "author" : [ { "dropping-particle" : "", "family" : "Sehnem", "given" : "Nicole T", "non-dropping-particle" : "", "parse-names" : false, "suffix" : "" }, { "dropping-particle" : "", "family" : "Souza-Cruz", "given" : "Priscila", "non-dropping-particle" : "", "parse-names" : false, "suffix" : "" }, { "dropping-particle" : "", "family" : "Carmo Peralba", "given" : "Maria R", "non-dropping-particle" : "Do", "parse-names" : false, "suffix" : "" }, { "dropping-particle" : "", "family" : "Z\u00e1chia Ayub", "given" : "Marco A", "non-dropping-particle" : "", "parse-names" : false, "suffix" : "" }, { "dropping-particle" : "", "family" : "Souza-cruz", "given" : "Priscila", "non-dropping-particle" : "", "parse-names" : false, "suffix" : "" }, { "dropping-particle" : "DO", "family" : "Carmo R Peralba", "given" : "Maria", "non-dropping-particle" : "", "parse-names" : false, "suffix" : "" }, { "dropping-particle" : "", "family" : "Z", "given" : "Marco A", "non-dropping-particle" : "", "parse-names" : false, "suffix" : "" }, { "dropping-particle" : "", "family" : "Ayub", "given" : "Achia", "non-dropping-particle" : "", "parse-names" : false, "suffix" : "" } ], "container-title" : "Journal of Environmental Science and Health Part B", "id" : "ITEM-1", "issue" : "1", "issued" : { "date-parts" : [ [ "2010" ] ] }, "page" : "67-72", "title" : "Biodegradation Of Tebuconazole By Bacteria Isolated From Contaminated Soils", "type" : "article-journal", "volume" : "45" }, "uris" : [ "http://www.mendeley.com/documents/?uuid=8c53cf77-f42e-3546-8b9f-7bb06ae48670" ] } ], "mendeley" : { "formattedCitation" : "(Sehnem &lt;i&gt;et al.&lt;/i&gt;, 2010)", "plainTextFormattedCitation" : "(Sehnem et al., 2010)", "previouslyFormattedCitation" : "(Sehnem &lt;i&gt;et al.&lt;/i&gt;, 2010)" }, "properties" : { "noteIndex" : 0 }, "schema" : "https://github.com/citation-style-language/schema/raw/master/csl-citation.json" }</w:instrText>
      </w:r>
      <w:r w:rsidR="00C96752">
        <w:fldChar w:fldCharType="separate"/>
      </w:r>
      <w:r w:rsidR="00C96752" w:rsidRPr="00C96752">
        <w:rPr>
          <w:noProof/>
        </w:rPr>
        <w:t xml:space="preserve">(Sehnem </w:t>
      </w:r>
      <w:r w:rsidR="00C96752" w:rsidRPr="00C96752">
        <w:rPr>
          <w:i/>
          <w:noProof/>
        </w:rPr>
        <w:t>et al.</w:t>
      </w:r>
      <w:r w:rsidR="00C96752" w:rsidRPr="00C96752">
        <w:rPr>
          <w:noProof/>
        </w:rPr>
        <w:t>, 2010)</w:t>
      </w:r>
      <w:r w:rsidR="00C96752">
        <w:fldChar w:fldCharType="end"/>
      </w:r>
      <w:r w:rsidR="00C96752">
        <w:t>.</w:t>
      </w:r>
      <w:r w:rsidR="009530CC">
        <w:t xml:space="preserve"> Azoxystrobin is a </w:t>
      </w:r>
      <w:r w:rsidR="000B34CC">
        <w:t xml:space="preserve">systemic fungicide in heavy use due to its </w:t>
      </w:r>
      <w:r w:rsidR="009D6560">
        <w:t>broad-spectrum inhibition of respiration across major groups of</w:t>
      </w:r>
      <w:r w:rsidR="000B34CC">
        <w:t xml:space="preserve"> fungal pathogens</w:t>
      </w:r>
      <w:r w:rsidR="009D6560">
        <w:t xml:space="preserve">. Azoxystrobin has been shown to inhibit bacterial growth in mixed fungal-bacteria communities </w:t>
      </w:r>
      <w:r w:rsidR="009D6560">
        <w:fldChar w:fldCharType="begin" w:fldLock="1"/>
      </w:r>
      <w:r w:rsidR="002C7FEF">
        <w:instrText>ADDIN CSL_CITATION { "citationItems" : [ { "id" : "ITEM-1", "itemData" : { "DOI" : "10.1007/s10661-015-4827-5", "ISSN" : "1573-2959", "PMID" : "26343782", "abstract" : "The use of fungicides in crop protection still effectively eliminates fungal pathogens of plants. However, fungicides may dissipate to various elements of the environment and cause irreversible changes. Considering this problem, the aim of the presented study was to evaluate changes in soil biological activity in response to contamination with azoxystrobin. The study was carried out in the laboratory on samples of sandy loam with a pH of 7.0 in 1\u00a0Mol KCl dm(-3). Soil samples were treated with azoxystrobin in one of four doses: 0.075 (dose recommended by the manufacturer), 2.250, 11.25 and 22.50\u00a0mg\u00a0kg(-1) soil DM (dry matter of soil). The control soil sample did not contain fungicide. Bacteria were identified based on 16S rRNA gene sequencing, and fungi were identified by internal transcribed spacer (ITS) region sequencing. The study revealed that increased doses of azoxystrobin inhibited the growth of organotrophic bacteria, actinomycetes and fungi. The fungicide also caused changes in microbial biodiversity. The lowest values of the colony development (CD) index were recorded for fungi and the ecophysiological (EP) index for organotrophic bacteria. Azoxystrobin had an inhibitory effect on the activity of dehydrogenases, catalase, urease, acid phosphatase and alkaline phosphatase. Dehydrogenases were found to be most resistant to the effects of the fungicide, while alkaline phosphatase in the soil recovered the balance in the shortest time. Four species of bacteria from the genus Bacillus and two species of fungi from the genus Aphanoascus were isolated from the soil contaminated with the highest dose of azoxystrobin (22.50\u00a0mg\u00a0kg(-1)).", "author" : [ { "dropping-particle" : "", "family" : "Ba\u0107maga", "given" : "Ma\u0142gorzata", "non-dropping-particle" : "", "parse-names" : false, "suffix" : "" }, { "dropping-particle" : "", "family" : "Kucharski", "given" : "Jan", "non-dropping-particle" : "", "parse-names" : false, "suffix" : "" }, { "dropping-particle" : "", "family" : "Wyszkowska", "given" : "Jadwiga", "non-dropping-particle" : "", "parse-names" : false, "suffix" : "" } ], "container-title" : "Environmental monitoring and assessment", "id" : "ITEM-1", "issue" : "10", "issued" : { "date-parts" : [ [ "2015", "10" ] ] }, "page" : "615", "publisher" : "Springer", "title" : "Microbial and enzymatic activity of soil contaminated with azoxystrobin.", "type" : "article-journal", "volume" : "187" }, "uris" : [ "http://www.mendeley.com/documents/?uuid=f8b30013-a1a7-31b1-989c-a52c3be72eec" ] } ], "mendeley" : { "formattedCitation" : "(Ba\u0107maga, Kucharski and Wyszkowska, 2015)", "plainTextFormattedCitation" : "(Ba\u0107maga, Kucharski and Wyszkowska, 2015)", "previouslyFormattedCitation" : "(Ba\u0107maga, Kucharski and Wyszkowska, 2015)" }, "properties" : { "noteIndex" : 0 }, "schema" : "https://github.com/citation-style-language/schema/raw/master/csl-citation.json" }</w:instrText>
      </w:r>
      <w:r w:rsidR="009D6560">
        <w:fldChar w:fldCharType="separate"/>
      </w:r>
      <w:r w:rsidR="009D6560" w:rsidRPr="009D6560">
        <w:rPr>
          <w:noProof/>
        </w:rPr>
        <w:t>(Baćmaga, Kucharski and Wyszkowska, 2015)</w:t>
      </w:r>
      <w:r w:rsidR="009D6560">
        <w:fldChar w:fldCharType="end"/>
      </w:r>
      <w:r w:rsidR="009D6560">
        <w:t xml:space="preserve">, although the same study showed </w:t>
      </w:r>
      <w:r w:rsidR="009D6560">
        <w:rPr>
          <w:i/>
        </w:rPr>
        <w:t>Bacillus</w:t>
      </w:r>
      <w:r w:rsidR="009D6560">
        <w:t xml:space="preserve"> species were capable of growth in highly contaminated soil.</w:t>
      </w:r>
    </w:p>
    <w:p w14:paraId="013B1978" w14:textId="7DB935B6" w:rsidR="008A5D3E" w:rsidRDefault="008A5D3E" w:rsidP="00277D92">
      <w:pPr>
        <w:pStyle w:val="Heading1"/>
      </w:pPr>
      <w:proofErr w:type="spellStart"/>
      <w:r>
        <w:t>Rangefinding</w:t>
      </w:r>
      <w:proofErr w:type="spellEnd"/>
      <w:r w:rsidR="0072719D">
        <w:t xml:space="preserve"> and Concentration Calculations</w:t>
      </w:r>
    </w:p>
    <w:p w14:paraId="5F3EFAC6" w14:textId="55E30AF4" w:rsidR="001F7722" w:rsidRDefault="00210760" w:rsidP="008A5D3E">
      <w:r>
        <w:t xml:space="preserve">Initial dose-response exposures were conducted at concentrations above and below </w:t>
      </w:r>
      <w:r w:rsidR="00986EE5">
        <w:t xml:space="preserve">regulatory limits </w:t>
      </w:r>
      <w:r>
        <w:t>to obtain an overview of individual stressors’ effects on isolates. Eight 96-well microtiter plates were prepared,</w:t>
      </w:r>
      <w:r w:rsidR="00B9279F">
        <w:t xml:space="preserve"> with</w:t>
      </w:r>
      <w:r>
        <w:t xml:space="preserve"> </w:t>
      </w:r>
      <w:r w:rsidR="003971AF">
        <w:t xml:space="preserve">each well being aliquoted with 10 </w:t>
      </w:r>
      <w:proofErr w:type="spellStart"/>
      <w:r w:rsidR="003971AF">
        <w:t>μl</w:t>
      </w:r>
      <w:proofErr w:type="spellEnd"/>
      <w:r w:rsidR="003971AF">
        <w:t xml:space="preserve"> of 1-in-100 diluted overnight culture, 80 </w:t>
      </w:r>
      <w:proofErr w:type="spellStart"/>
      <w:r w:rsidR="003971AF">
        <w:t>μl</w:t>
      </w:r>
      <w:proofErr w:type="spellEnd"/>
      <w:r w:rsidR="003971AF">
        <w:t xml:space="preserve"> of R2A broth, and </w:t>
      </w:r>
      <w:r w:rsidR="00FB40A9">
        <w:t xml:space="preserve">10 </w:t>
      </w:r>
      <w:proofErr w:type="spellStart"/>
      <w:r w:rsidR="00FB40A9">
        <w:t>μl</w:t>
      </w:r>
      <w:proofErr w:type="spellEnd"/>
      <w:r w:rsidR="00FB40A9">
        <w:t xml:space="preserve"> of stressor stock at either 10</w:t>
      </w:r>
      <w:r w:rsidR="00FB40A9">
        <w:rPr>
          <w:vertAlign w:val="superscript"/>
        </w:rPr>
        <w:t>-1</w:t>
      </w:r>
      <w:r w:rsidR="00FB40A9">
        <w:t>, 1, 10</w:t>
      </w:r>
      <w:r w:rsidR="00FB40A9">
        <w:rPr>
          <w:vertAlign w:val="superscript"/>
        </w:rPr>
        <w:t>1</w:t>
      </w:r>
      <w:r w:rsidR="00FB40A9">
        <w:t xml:space="preserve"> or 10</w:t>
      </w:r>
      <w:r w:rsidR="00FB40A9">
        <w:rPr>
          <w:vertAlign w:val="superscript"/>
        </w:rPr>
        <w:t>2</w:t>
      </w:r>
      <w:r w:rsidR="00FB40A9">
        <w:t xml:space="preserve"> times the target final experimental concentration.</w:t>
      </w:r>
      <w:r w:rsidR="00032DC7">
        <w:t xml:space="preserve"> Each </w:t>
      </w:r>
      <w:r w:rsidR="00C75835">
        <w:t>well</w:t>
      </w:r>
      <w:r w:rsidR="00032DC7">
        <w:t xml:space="preserve"> of stressor concentration and isolate was replicated three times.</w:t>
      </w:r>
      <w:r w:rsidR="00E50EEA">
        <w:t xml:space="preserve"> Well OD was read using the cell count protocol below (</w:t>
      </w:r>
      <w:r w:rsidR="00AE0149">
        <w:t>3</w:t>
      </w:r>
      <w:r w:rsidR="00E50EEA">
        <w:t>). Data is available in Appendix X.</w:t>
      </w:r>
    </w:p>
    <w:p w14:paraId="7025EC7B" w14:textId="012DB3CA" w:rsidR="0072719D" w:rsidRDefault="0072719D" w:rsidP="008A5D3E">
      <w:r>
        <w:t xml:space="preserve">Final experimental concentrations were calculated based on </w:t>
      </w:r>
      <w:r w:rsidR="00986EE5">
        <w:t xml:space="preserve">well volumes and </w:t>
      </w:r>
      <w:r w:rsidR="007E1867">
        <w:t>regulatory limits. Calculations are available in Appendix X.</w:t>
      </w:r>
    </w:p>
    <w:p w14:paraId="419DA8A3" w14:textId="77777777" w:rsidR="00AE0149" w:rsidRDefault="00AE0149" w:rsidP="00AE0149">
      <w:pPr>
        <w:pStyle w:val="Heading1"/>
      </w:pPr>
      <w:r>
        <w:t>Cell Counts</w:t>
      </w:r>
    </w:p>
    <w:p w14:paraId="585B4C5B" w14:textId="77777777" w:rsidR="00AE0149" w:rsidRPr="00FB40A9" w:rsidRDefault="002B18A3" w:rsidP="008A5D3E">
      <w:r>
        <w:t xml:space="preserve">Microcosm optical density was used as a metric of cell count over time. </w:t>
      </w:r>
      <w:r w:rsidR="00AE0149">
        <w:t xml:space="preserve">Immediately after isolates were exposed to stressors, plates were placed in an automatically-fed </w:t>
      </w:r>
      <w:proofErr w:type="spellStart"/>
      <w:r w:rsidR="00AE0149">
        <w:t>BioTek</w:t>
      </w:r>
      <w:proofErr w:type="spellEnd"/>
      <w:r w:rsidR="00AE0149">
        <w:t xml:space="preserve"> Synergy 2 microplate reader for 48 hours, agitating the wells for 5 seconds then reading absorbance at 590 nm every hour. Optical density readings were converted into cell counts through the use of calibration curves generated by prior analysis performed on a BD </w:t>
      </w:r>
      <w:proofErr w:type="spellStart"/>
      <w:r w:rsidR="00AE0149">
        <w:t>Accuri</w:t>
      </w:r>
      <w:proofErr w:type="spellEnd"/>
      <w:r w:rsidR="00AE0149">
        <w:t xml:space="preserve"> C6 flow cytometer. </w:t>
      </w:r>
    </w:p>
    <w:p w14:paraId="418D226A" w14:textId="77777777" w:rsidR="004B4E41" w:rsidRDefault="00F03307" w:rsidP="00277D92">
      <w:pPr>
        <w:pStyle w:val="Heading1"/>
      </w:pPr>
      <w:r>
        <w:t xml:space="preserve">Stressor </w:t>
      </w:r>
      <w:r w:rsidR="006B4A3B">
        <w:t>Exposures</w:t>
      </w:r>
    </w:p>
    <w:p w14:paraId="5E6E10CD" w14:textId="52C24B2A" w:rsidR="00AC5D70" w:rsidRDefault="00924E8F" w:rsidP="005A02F8">
      <w:r w:rsidRPr="005A02F8">
        <w:t xml:space="preserve">Stressor combinations were formulated by use of a </w:t>
      </w:r>
      <w:r w:rsidR="00812877" w:rsidRPr="005A02F8">
        <w:t xml:space="preserve">Hamilton </w:t>
      </w:r>
      <w:proofErr w:type="spellStart"/>
      <w:r w:rsidR="00812877" w:rsidRPr="005A02F8">
        <w:t>MicroLab</w:t>
      </w:r>
      <w:proofErr w:type="spellEnd"/>
      <w:r w:rsidR="00812877" w:rsidRPr="005A02F8">
        <w:t xml:space="preserve"> </w:t>
      </w:r>
      <w:proofErr w:type="spellStart"/>
      <w:r w:rsidR="00812877" w:rsidRPr="005A02F8">
        <w:t>STARLet</w:t>
      </w:r>
      <w:proofErr w:type="spellEnd"/>
      <w:r w:rsidR="00285913">
        <w:t>,</w:t>
      </w:r>
      <w:r w:rsidR="00E5614C">
        <w:t xml:space="preserve"> </w:t>
      </w:r>
      <w:r w:rsidR="00285913">
        <w:t>f</w:t>
      </w:r>
      <w:r w:rsidR="00E5614C">
        <w:t>itted with</w:t>
      </w:r>
      <w:r w:rsidR="00285913">
        <w:t xml:space="preserve"> sterile </w:t>
      </w:r>
      <w:r w:rsidR="00812877" w:rsidRPr="005A02F8">
        <w:t xml:space="preserve"> </w:t>
      </w:r>
      <w:r w:rsidR="00285913">
        <w:t xml:space="preserve">conductive pipette tips. </w:t>
      </w:r>
      <w:r w:rsidR="00812877" w:rsidRPr="005A02F8">
        <w:t xml:space="preserve">255 combinations </w:t>
      </w:r>
      <w:r w:rsidR="005A02F8" w:rsidRPr="005A02F8">
        <w:t>of</w:t>
      </w:r>
      <w:r w:rsidR="00812877" w:rsidRPr="005A02F8">
        <w:t xml:space="preserve"> 8 stressors</w:t>
      </w:r>
      <w:r w:rsidR="005A02F8" w:rsidRPr="005A02F8">
        <w:t xml:space="preserve"> across 8 bacterial isolates</w:t>
      </w:r>
      <w:r w:rsidR="00812877" w:rsidRPr="005A02F8">
        <w:t xml:space="preserve"> were formulated</w:t>
      </w:r>
      <w:r w:rsidR="00386C98" w:rsidRPr="005A02F8">
        <w:t xml:space="preserve"> across 24 2uL 96-well plates</w:t>
      </w:r>
      <w:r w:rsidR="00181A92">
        <w:t xml:space="preserve">, with additional controls for a total of 2144 exposures per replicate. </w:t>
      </w:r>
      <w:r w:rsidR="005A02F8" w:rsidRPr="005A02F8">
        <w:t xml:space="preserve"> 10 μL doses of stressor solutions at environmentally relevant concentrations (Table </w:t>
      </w:r>
      <w:r w:rsidR="00B506ED">
        <w:t>1</w:t>
      </w:r>
      <w:r w:rsidR="005A02F8" w:rsidRPr="005A02F8">
        <w:t xml:space="preserve">) were added to the </w:t>
      </w:r>
      <w:r w:rsidR="005A02F8" w:rsidRPr="005A02F8">
        <w:lastRenderedPageBreak/>
        <w:t>wells, in addition to 10 μL of</w:t>
      </w:r>
      <w:r w:rsidR="0045518F">
        <w:t xml:space="preserve"> overnight</w:t>
      </w:r>
      <w:r w:rsidR="005A02F8" w:rsidRPr="005A02F8">
        <w:t xml:space="preserve"> bacterial culture</w:t>
      </w:r>
      <w:r w:rsidR="0045518F">
        <w:t xml:space="preserve"> diluted to 1 in 1000,</w:t>
      </w:r>
      <w:r w:rsidR="005A02F8" w:rsidRPr="005A02F8">
        <w:t xml:space="preserve"> and sufficient R2A broth to bring all well volumes up to 100 μL.</w:t>
      </w:r>
      <w:r w:rsidR="00AC5D70">
        <w:t xml:space="preserve"> Machine-readable worklists</w:t>
      </w:r>
      <w:r w:rsidR="00FC72AC">
        <w:t xml:space="preserve"> (Appendix Y)</w:t>
      </w:r>
      <w:r w:rsidR="00AC5D70">
        <w:t xml:space="preserve"> were generated</w:t>
      </w:r>
      <w:r w:rsidR="00FC72AC">
        <w:t xml:space="preserve"> from a combination input file</w:t>
      </w:r>
      <w:r w:rsidR="00AC5D70">
        <w:t xml:space="preserve"> for the </w:t>
      </w:r>
      <w:proofErr w:type="spellStart"/>
      <w:r w:rsidR="00AC5D70">
        <w:t>STARLet</w:t>
      </w:r>
      <w:proofErr w:type="spellEnd"/>
      <w:r w:rsidR="00AC5D70">
        <w:t xml:space="preserve"> using an R script</w:t>
      </w:r>
      <w:r w:rsidR="00FC72AC">
        <w:t xml:space="preserve"> (Appendix Z).</w:t>
      </w:r>
    </w:p>
    <w:p w14:paraId="49D031D8" w14:textId="77777777" w:rsidR="00F03307" w:rsidRDefault="00F03307" w:rsidP="00277D92">
      <w:pPr>
        <w:pStyle w:val="Heading1"/>
      </w:pPr>
      <w:r>
        <w:t>Statistical Analysis</w:t>
      </w:r>
    </w:p>
    <w:p w14:paraId="53150455" w14:textId="5457AAC1" w:rsidR="001364D7" w:rsidRDefault="006E2E48" w:rsidP="001364D7">
      <w:r>
        <w:t xml:space="preserve">I </w:t>
      </w:r>
      <w:r w:rsidR="001934D0">
        <w:t xml:space="preserve">processed and manipulated raw data using the </w:t>
      </w:r>
      <w:proofErr w:type="spellStart"/>
      <w:r w:rsidR="001934D0" w:rsidRPr="00A605FD">
        <w:rPr>
          <w:i/>
        </w:rPr>
        <w:t>tidyverse</w:t>
      </w:r>
      <w:proofErr w:type="spellEnd"/>
      <w:r w:rsidR="001934D0">
        <w:t xml:space="preserve"> family of packages </w:t>
      </w:r>
      <w:r w:rsidR="001934D0">
        <w:fldChar w:fldCharType="begin" w:fldLock="1"/>
      </w:r>
      <w:r w:rsidR="000261CD">
        <w:instrText>ADDIN CSL_CITATION { "citationItems" : [ { "id" : "ITEM-1", "itemData" : { "author" : [ { "dropping-particle" : "", "family" : "Wickham", "given" : "Hadley", "non-dropping-particle" : "", "parse-names" : false, "suffix" : "" } ], "id" : "ITEM-1", "issued" : { "date-parts" : [ [ "2017" ] ] }, "note" : "R package version 1.2.1", "title" : "tidyverse: Easily Install and Load the 'Tidyverse'", "type" : "article" }, "uris" : [ "http://www.mendeley.com/documents/?uuid=af2cab09-c875-4fa4-9e58-6f98c3e66857" ] } ], "mendeley" : { "formattedCitation" : "(Wickham, 2017)", "plainTextFormattedCitation" : "(Wickham, 2017)", "previouslyFormattedCitation" : "(Wickham, 2017)" }, "properties" : { "noteIndex" : 0 }, "schema" : "https://github.com/citation-style-language/schema/raw/master/csl-citation.json" }</w:instrText>
      </w:r>
      <w:r w:rsidR="001934D0">
        <w:fldChar w:fldCharType="separate"/>
      </w:r>
      <w:r w:rsidR="001934D0" w:rsidRPr="001934D0">
        <w:rPr>
          <w:noProof/>
        </w:rPr>
        <w:t>(Wickham, 2017)</w:t>
      </w:r>
      <w:r w:rsidR="001934D0">
        <w:fldChar w:fldCharType="end"/>
      </w:r>
      <w:r w:rsidR="000261CD">
        <w:t xml:space="preserve">. Optical density at 509 nm was models against time in hours using a logistic curve from the package </w:t>
      </w:r>
      <w:proofErr w:type="spellStart"/>
      <w:r w:rsidR="000261CD" w:rsidRPr="00A605FD">
        <w:rPr>
          <w:i/>
        </w:rPr>
        <w:t>growthcurver</w:t>
      </w:r>
      <w:proofErr w:type="spellEnd"/>
      <w:r w:rsidR="000261CD">
        <w:t xml:space="preserve"> </w:t>
      </w:r>
      <w:r w:rsidR="000261CD">
        <w:fldChar w:fldCharType="begin" w:fldLock="1"/>
      </w:r>
      <w:r w:rsidR="00207425">
        <w:instrText>ADDIN CSL_CITATION { "citationItems" : [ { "id" : "ITEM-1", "itemData" : { "DOI" : "10.1186/s12859-016-1016-7", "ISSN" : "1471-2105", "PMID" : "27094401", "abstract" : "BACKGROUND Plate readers can measure the growth curves of many microbial strains in a high-throughput fashion. The hundreds of absorbance readings collected simultaneously for hundreds of samples create technical hurdles for data analysis. RESULTS Growthcurver summarizes the growth characteristics of microbial growth curve experiments conducted in a plate reader. The data are fitted to a standard form of the logistic equation, and the parameters have clear interpretations on population-level characteristics, like doubling time, carrying capacity, and growth rate. CONCLUSIONS Growthcurver is an easy-to-use R package available for installation from the Comprehensive R Archive Network (CRAN). The source code is available under the GNU General Public License and can be obtained from Github (Sprouffske K, Growthcurver sourcecode, 2016).", "author" : [ { "dropping-particle" : "", "family" : "Sprouffske", "given" : "Kathleen", "non-dropping-particle" : "", "parse-names" : false, "suffix" : "" }, { "dropping-particle" : "", "family" : "Wagner", "given" : "Andreas", "non-dropping-particle" : "", "parse-names" : false, "suffix" : "" } ], "container-title" : "BMC bioinformatics", "id" : "ITEM-1", "issued" : { "date-parts" : [ [ "2016", "4", "19" ] ] }, "page" : "172", "publisher" : "BioMed Central", "title" : "Growthcurver: an R package for obtaining interpretable metrics from microbial growth curves.", "type" : "article-journal", "volume" : "17" }, "uris" : [ "http://www.mendeley.com/documents/?uuid=31bdc5e1-5985-3b73-919d-6fff9b63195c" ] } ], "mendeley" : { "formattedCitation" : "(Sprouffske and Wagner, 2016)", "plainTextFormattedCitation" : "(Sprouffske and Wagner, 2016)", "previouslyFormattedCitation" : "(Sprouffske and Wagner, 2016)" }, "properties" : { "noteIndex" : 0 }, "schema" : "https://github.com/citation-style-language/schema/raw/master/csl-citation.json" }</w:instrText>
      </w:r>
      <w:r w:rsidR="000261CD">
        <w:fldChar w:fldCharType="separate"/>
      </w:r>
      <w:r w:rsidR="000261CD" w:rsidRPr="000261CD">
        <w:rPr>
          <w:noProof/>
        </w:rPr>
        <w:t>(Sprouffske and Wagner, 2016)</w:t>
      </w:r>
      <w:r w:rsidR="000261CD">
        <w:fldChar w:fldCharType="end"/>
      </w:r>
      <w:r w:rsidR="000261CD">
        <w:t xml:space="preserve">. </w:t>
      </w:r>
      <w:r>
        <w:t xml:space="preserve">I </w:t>
      </w:r>
      <w:r w:rsidR="00F97902">
        <w:t>plotted growth data and logistic curve by well in order to visually inspect goodness of fit and exclude inappropriate data.</w:t>
      </w:r>
      <w:r w:rsidR="00072BE8">
        <w:t xml:space="preserve"> A null </w:t>
      </w:r>
      <w:r w:rsidR="002C7FEF">
        <w:t xml:space="preserve">additive model was assumed for all comparisons, consistent with the use of bacterial growth as a metric of response </w:t>
      </w:r>
      <w:r w:rsidR="002C7FEF">
        <w:fldChar w:fldCharType="begin" w:fldLock="1"/>
      </w:r>
      <w:r w:rsidR="002C7FEF">
        <w:instrText>ADDIN CSL_CITATION { "citationItems" : [ { "id" : "ITEM-1", "itemData" : { "DOI" : "10.1002/ece3.1465", "ISBN" : "00243590", "ISSN" : "20457758", "PMID" : "771", "abstract" : "This study was designed to test for synergism (increased stress) or antagonism (decreased stress) among multiple environmental stressors using additive, multiplicative, and simple comparative effects models. Model predictions were compared to empirical results of laboratory experiments measuring interactions among thermal stress, toxin exposure, and low food on reproduction and survival of two species of cladoceran zooplankton. Stress was defined operationally as a reduction in reproduction or survival relative to optimal conditions over a 7-d period. These experiments are particularly applicable to episodic stresses such as those associated with short-term heat waves. Toxin or low food in combination with 30\u26acC temperatures were generally more harmful than high temperature alone. However, most multiple stress effects were antagonistic, in that effects in combination were not as severe as predicted based on the sum or the product of their individual effects. In rare cases, interaction among stressors even diminished effects of the worst single stressor. Optimal conditions for reproduction and survival occurred at 25\u26acC, high food and 0 mg liter-1 toxin (a surfactant, sodium dodecyl sulfate). Suppressive effects of stressors examined individually ranked: high temperature (30 $^\\circ C) &gt;$ SDS (10 mg liter-1 \u2265 low food (\u223c 100 \u03bcg C liter $^{-1}) &gt;$ low temperature (20\u26acC). Daphnia pulex isolated from a pond which experiences high summer temperatures throughout was more tolerant of 30\u26acC conditions than Daphnia pulicaria isolated from a lake with a cold-water refuge. Differences were observed in individuals exposed as either adults or as 24-h neonates.", "author" : [ { "dropping-particle" : "", "family" : "Piggott", "given" : "Jeremy J.", "non-dropping-particle" : "", "parse-names" : false, "suffix" : "" }, { "dropping-particle" : "", "family" : "Townsend", "given" : "Colin R.", "non-dropping-particle" : "", "parse-names" : false, "suffix" : "" }, { "dropping-particle" : "", "family" : "Matthaei", "given" : "Christoph D.", "non-dropping-particle" : "", "parse-names" : false, "suffix" : "" } ], "container-title" : "Ecology and Evolution", "id" : "ITEM-1", "issue" : "7", "issued" : { "date-parts" : [ [ "2015", "4" ] ] }, "page" : "1538-1547", "publisher" : "Wiley-Blackwell", "title" : "Reconceptualizing synergism and antagonism among multiple stressors", "type" : "article-journal", "volume" : "5" }, "uris" : [ "http://www.mendeley.com/documents/?uuid=92f2da2a-ea7c-3695-94bd-a6d565198726" ] } ], "mendeley" : { "formattedCitation" : "(Piggott, Townsend and Matthaei, 2015)", "plainTextFormattedCitation" : "(Piggott, Townsend and Matthaei, 2015)" }, "properties" : { "noteIndex" : 0 }, "schema" : "https://github.com/citation-style-language/schema/raw/master/csl-citation.json" }</w:instrText>
      </w:r>
      <w:r w:rsidR="002C7FEF">
        <w:fldChar w:fldCharType="separate"/>
      </w:r>
      <w:r w:rsidR="002C7FEF" w:rsidRPr="002C7FEF">
        <w:rPr>
          <w:noProof/>
        </w:rPr>
        <w:t>(Piggott, Townsend and Matthaei, 2015)</w:t>
      </w:r>
      <w:r w:rsidR="002C7FEF">
        <w:fldChar w:fldCharType="end"/>
      </w:r>
      <w:r w:rsidR="002C7FEF">
        <w:t>.</w:t>
      </w:r>
      <w:r w:rsidR="00A605FD">
        <w:t xml:space="preserve"> </w:t>
      </w:r>
    </w:p>
    <w:p w14:paraId="20C8E30B" w14:textId="40308745" w:rsidR="008C5510" w:rsidRDefault="008C5510" w:rsidP="001364D7">
      <w:r>
        <w:t xml:space="preserve">All R code is available in Appendix R. </w:t>
      </w:r>
    </w:p>
    <w:p w14:paraId="68541B0D" w14:textId="77777777" w:rsidR="00F97902" w:rsidRDefault="00F97902" w:rsidP="00A3315B">
      <w:pPr>
        <w:pStyle w:val="Heading2"/>
      </w:pPr>
      <w:r>
        <w:t>Stressor Complexity v</w:t>
      </w:r>
      <w:r w:rsidR="00A3315B">
        <w:t>ersus Growth Parameters</w:t>
      </w:r>
    </w:p>
    <w:p w14:paraId="7D9EAA52" w14:textId="55E2A6C5" w:rsidR="000611F7" w:rsidRDefault="006E2E48" w:rsidP="001364D7">
      <w:r>
        <w:t xml:space="preserve">I </w:t>
      </w:r>
      <w:r w:rsidR="00DB6816">
        <w:t xml:space="preserve">plotted </w:t>
      </w:r>
      <w:r w:rsidR="00181A92">
        <w:t xml:space="preserve">fastest growth rate, carrying capacity (highest growth rate), empirical area under the raw growth curve and area under the logistic growth against stressor richness. </w:t>
      </w:r>
      <w:r w:rsidR="001A7BCC" w:rsidRPr="00986EE5">
        <w:t xml:space="preserve">None of the models fit the data well </w:t>
      </w:r>
      <w:r w:rsidR="001A7BCC" w:rsidRPr="002D20A8">
        <w:rPr>
          <w:vanish/>
        </w:rPr>
        <w:t xml:space="preserve">yet </w:t>
      </w:r>
      <w:r w:rsidR="001A7BCC" w:rsidRPr="00986EE5">
        <w:t>so I didn’t bother checking goodness of fit/statistical power.</w:t>
      </w:r>
    </w:p>
    <w:p w14:paraId="4AF8FB82" w14:textId="77777777" w:rsidR="00A3315B" w:rsidRDefault="00A3315B" w:rsidP="00A3315B">
      <w:pPr>
        <w:pStyle w:val="Heading2"/>
      </w:pPr>
      <w:r w:rsidRPr="00A3315B">
        <w:t>Single Stressor Growth Curves by Isolate</w:t>
      </w:r>
    </w:p>
    <w:p w14:paraId="4CD57D79" w14:textId="2A3C508D" w:rsidR="001A7BCC" w:rsidRPr="001A7BCC" w:rsidRDefault="001A7BCC" w:rsidP="001A7BCC">
      <w:r>
        <w:t xml:space="preserve">I plotted growth curves for single stressors by isolates. The graphs aren’t very </w:t>
      </w:r>
      <w:r w:rsidR="00986EE5">
        <w:t>good,</w:t>
      </w:r>
      <w:r>
        <w:t xml:space="preserve"> and this</w:t>
      </w:r>
      <w:r w:rsidR="00986EE5">
        <w:t xml:space="preserve"> probably</w:t>
      </w:r>
      <w:r>
        <w:t xml:space="preserve"> doesn’t need its own section.</w:t>
      </w:r>
    </w:p>
    <w:p w14:paraId="353B5D3B" w14:textId="77777777" w:rsidR="00A3315B" w:rsidRDefault="00A3315B" w:rsidP="00A3315B">
      <w:pPr>
        <w:pStyle w:val="Heading2"/>
      </w:pPr>
      <w:r>
        <w:t>Binary Stressor Interactions by Isolate</w:t>
      </w:r>
    </w:p>
    <w:p w14:paraId="417464D8" w14:textId="4A0F8111" w:rsidR="00A3315B" w:rsidRDefault="001A7BCC" w:rsidP="001364D7">
      <w:r>
        <w:t xml:space="preserve">Interaction between binary combination of stressors was calculated by comparing </w:t>
      </w:r>
      <w:r w:rsidR="002B6520">
        <w:t>individual and binary stressors growth rates to unexposed</w:t>
      </w:r>
      <w:r w:rsidR="00B506ED">
        <w:t>.</w:t>
      </w:r>
      <w:r w:rsidR="008B4599">
        <w:t xml:space="preserve"> I may end up removing this.</w:t>
      </w:r>
    </w:p>
    <w:p w14:paraId="64A229FE" w14:textId="74CD4FA1" w:rsidR="00B506ED" w:rsidRDefault="00B506ED" w:rsidP="00B506ED">
      <w:pPr>
        <w:pStyle w:val="Heading2"/>
      </w:pPr>
      <w:r>
        <w:t>Prevalence of Effect Type</w:t>
      </w:r>
    </w:p>
    <w:p w14:paraId="0374C037" w14:textId="7ECFF8FF" w:rsidR="00B506ED" w:rsidRDefault="00B506ED" w:rsidP="00B506ED">
      <w:r>
        <w:t>This is going to be the graph Tom recommend I make</w:t>
      </w:r>
      <w:r w:rsidR="00986EE5">
        <w:t xml:space="preserve">. </w:t>
      </w:r>
    </w:p>
    <w:p w14:paraId="0B905523" w14:textId="34D1BF94" w:rsidR="00986EE5" w:rsidRDefault="00986EE5" w:rsidP="00986EE5">
      <w:pPr>
        <w:pStyle w:val="Heading2"/>
      </w:pPr>
      <w:r>
        <w:t>Emergent Interactions in Higher-Order Stressors</w:t>
      </w:r>
    </w:p>
    <w:p w14:paraId="6DAF57B8" w14:textId="0D254C1A" w:rsidR="00986EE5" w:rsidRDefault="00986EE5" w:rsidP="00986EE5">
      <w:proofErr w:type="spellStart"/>
      <w:r>
        <w:t>Beppler</w:t>
      </w:r>
      <w:proofErr w:type="spellEnd"/>
      <w:r>
        <w:t xml:space="preserve"> </w:t>
      </w:r>
      <w:r w:rsidRPr="00986EE5">
        <w:rPr>
          <w:i/>
        </w:rPr>
        <w:t>et al.</w:t>
      </w:r>
      <w:r>
        <w:t xml:space="preserve"> (2016) is very interesting, but a lot to take in. I will be adapting their methods to my higher order stressors as I go.</w:t>
      </w:r>
    </w:p>
    <w:p w14:paraId="6AE53B36" w14:textId="3428BB33" w:rsidR="002D20A8" w:rsidRDefault="002D20A8" w:rsidP="008B4599">
      <w:r>
        <w:t>I will also be ANOVA-</w:t>
      </w:r>
      <w:proofErr w:type="spellStart"/>
      <w:r>
        <w:t>ing</w:t>
      </w:r>
      <w:proofErr w:type="spellEnd"/>
      <w:r>
        <w:t xml:space="preserve"> models of </w:t>
      </w:r>
      <w:proofErr w:type="gramStart"/>
      <w:r>
        <w:t>1-8 way</w:t>
      </w:r>
      <w:proofErr w:type="gramEnd"/>
      <w:r>
        <w:t xml:space="preserve"> interactions between stressors to determine </w:t>
      </w:r>
      <w:r w:rsidR="008B4599">
        <w:t>the most important order of interactions.</w:t>
      </w:r>
    </w:p>
    <w:p w14:paraId="19A2516C" w14:textId="4FD75419" w:rsidR="008B4599" w:rsidRDefault="008B4599" w:rsidP="008B4599">
      <w:pPr>
        <w:pStyle w:val="Heading2"/>
      </w:pPr>
      <w:r>
        <w:t>Other Statistical Treatments</w:t>
      </w:r>
    </w:p>
    <w:p w14:paraId="12C224A4" w14:textId="0204AE22" w:rsidR="008B4599" w:rsidRPr="008B4599" w:rsidRDefault="008B4599" w:rsidP="008B4599">
      <w:r>
        <w:t>Who knows?</w:t>
      </w:r>
    </w:p>
    <w:sectPr w:rsidR="008B4599" w:rsidRPr="008B4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06620"/>
    <w:multiLevelType w:val="hybridMultilevel"/>
    <w:tmpl w:val="C206FFFA"/>
    <w:lvl w:ilvl="0" w:tplc="EAE04468">
      <w:start w:val="1"/>
      <w:numFmt w:val="decimal"/>
      <w:pStyle w:val="Heading1"/>
      <w:lvlText w:val="%1."/>
      <w:lvlJc w:val="left"/>
      <w:pPr>
        <w:ind w:left="720" w:hanging="360"/>
      </w:pPr>
    </w:lvl>
    <w:lvl w:ilvl="1" w:tplc="A3CE8DEC">
      <w:start w:val="1"/>
      <w:numFmt w:val="lowerLetter"/>
      <w:pStyle w:val="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41"/>
    <w:rsid w:val="00001019"/>
    <w:rsid w:val="0000308B"/>
    <w:rsid w:val="00011BB1"/>
    <w:rsid w:val="0001644A"/>
    <w:rsid w:val="00017952"/>
    <w:rsid w:val="000261CD"/>
    <w:rsid w:val="00032DC7"/>
    <w:rsid w:val="0004463E"/>
    <w:rsid w:val="000552E5"/>
    <w:rsid w:val="000611F7"/>
    <w:rsid w:val="00072BE8"/>
    <w:rsid w:val="000773BC"/>
    <w:rsid w:val="00081477"/>
    <w:rsid w:val="00081870"/>
    <w:rsid w:val="000820B9"/>
    <w:rsid w:val="000B34CC"/>
    <w:rsid w:val="000B75C7"/>
    <w:rsid w:val="000C4873"/>
    <w:rsid w:val="000D0172"/>
    <w:rsid w:val="000D0BDD"/>
    <w:rsid w:val="0010465C"/>
    <w:rsid w:val="00104F33"/>
    <w:rsid w:val="00111ECE"/>
    <w:rsid w:val="0012215C"/>
    <w:rsid w:val="0012501D"/>
    <w:rsid w:val="0012600F"/>
    <w:rsid w:val="001301D6"/>
    <w:rsid w:val="001360BB"/>
    <w:rsid w:val="001364D7"/>
    <w:rsid w:val="001408F6"/>
    <w:rsid w:val="001409C2"/>
    <w:rsid w:val="0015272F"/>
    <w:rsid w:val="0017381B"/>
    <w:rsid w:val="001801D9"/>
    <w:rsid w:val="00181A92"/>
    <w:rsid w:val="001916E1"/>
    <w:rsid w:val="001934D0"/>
    <w:rsid w:val="001A7BCC"/>
    <w:rsid w:val="001B0675"/>
    <w:rsid w:val="001C7035"/>
    <w:rsid w:val="001E7E68"/>
    <w:rsid w:val="001F7722"/>
    <w:rsid w:val="00204DD5"/>
    <w:rsid w:val="00207425"/>
    <w:rsid w:val="00210760"/>
    <w:rsid w:val="00234990"/>
    <w:rsid w:val="00251337"/>
    <w:rsid w:val="0025734E"/>
    <w:rsid w:val="00262A75"/>
    <w:rsid w:val="00265641"/>
    <w:rsid w:val="002777FC"/>
    <w:rsid w:val="00277D92"/>
    <w:rsid w:val="00281713"/>
    <w:rsid w:val="00285913"/>
    <w:rsid w:val="002B18A3"/>
    <w:rsid w:val="002B6520"/>
    <w:rsid w:val="002C6AB5"/>
    <w:rsid w:val="002C7FEF"/>
    <w:rsid w:val="002D20A8"/>
    <w:rsid w:val="0032265D"/>
    <w:rsid w:val="00331AE2"/>
    <w:rsid w:val="003662EC"/>
    <w:rsid w:val="0037127E"/>
    <w:rsid w:val="0037585A"/>
    <w:rsid w:val="00386C98"/>
    <w:rsid w:val="003971AF"/>
    <w:rsid w:val="003A7E82"/>
    <w:rsid w:val="003B07A1"/>
    <w:rsid w:val="003B3C0F"/>
    <w:rsid w:val="003C7FC1"/>
    <w:rsid w:val="003E6C62"/>
    <w:rsid w:val="003F3A0D"/>
    <w:rsid w:val="00422BC2"/>
    <w:rsid w:val="0045518F"/>
    <w:rsid w:val="0047188B"/>
    <w:rsid w:val="00480382"/>
    <w:rsid w:val="00483606"/>
    <w:rsid w:val="00484255"/>
    <w:rsid w:val="004B4E41"/>
    <w:rsid w:val="004D632C"/>
    <w:rsid w:val="004E3735"/>
    <w:rsid w:val="004E74DB"/>
    <w:rsid w:val="004F6765"/>
    <w:rsid w:val="00503FA4"/>
    <w:rsid w:val="0055435E"/>
    <w:rsid w:val="00567588"/>
    <w:rsid w:val="005A02F8"/>
    <w:rsid w:val="005A4B07"/>
    <w:rsid w:val="005A5E50"/>
    <w:rsid w:val="005F1E11"/>
    <w:rsid w:val="00607063"/>
    <w:rsid w:val="00612F99"/>
    <w:rsid w:val="00620BE0"/>
    <w:rsid w:val="00633BBE"/>
    <w:rsid w:val="00656171"/>
    <w:rsid w:val="006567C0"/>
    <w:rsid w:val="00656955"/>
    <w:rsid w:val="006640BF"/>
    <w:rsid w:val="0066692B"/>
    <w:rsid w:val="006B2C3A"/>
    <w:rsid w:val="006B46CB"/>
    <w:rsid w:val="006B4A3B"/>
    <w:rsid w:val="006E2E48"/>
    <w:rsid w:val="006F3175"/>
    <w:rsid w:val="006F46CE"/>
    <w:rsid w:val="0070143E"/>
    <w:rsid w:val="0072719D"/>
    <w:rsid w:val="007365FF"/>
    <w:rsid w:val="00740454"/>
    <w:rsid w:val="00744FC4"/>
    <w:rsid w:val="007524ED"/>
    <w:rsid w:val="007859C7"/>
    <w:rsid w:val="007861EA"/>
    <w:rsid w:val="00792ED3"/>
    <w:rsid w:val="00796C61"/>
    <w:rsid w:val="007A41C0"/>
    <w:rsid w:val="007C2A15"/>
    <w:rsid w:val="007D2F58"/>
    <w:rsid w:val="007E0D87"/>
    <w:rsid w:val="007E1867"/>
    <w:rsid w:val="007E27E5"/>
    <w:rsid w:val="00812877"/>
    <w:rsid w:val="00820A61"/>
    <w:rsid w:val="00830426"/>
    <w:rsid w:val="008308C9"/>
    <w:rsid w:val="008368AF"/>
    <w:rsid w:val="00863A0C"/>
    <w:rsid w:val="0088404E"/>
    <w:rsid w:val="00884159"/>
    <w:rsid w:val="0089737B"/>
    <w:rsid w:val="008A5D3E"/>
    <w:rsid w:val="008B4599"/>
    <w:rsid w:val="008B7B37"/>
    <w:rsid w:val="008C32F2"/>
    <w:rsid w:val="008C40AB"/>
    <w:rsid w:val="008C5510"/>
    <w:rsid w:val="008C692C"/>
    <w:rsid w:val="008C6F96"/>
    <w:rsid w:val="008D0EAA"/>
    <w:rsid w:val="008E657E"/>
    <w:rsid w:val="008F4E3F"/>
    <w:rsid w:val="00902572"/>
    <w:rsid w:val="00912A59"/>
    <w:rsid w:val="00913873"/>
    <w:rsid w:val="00923281"/>
    <w:rsid w:val="00924E8F"/>
    <w:rsid w:val="00940692"/>
    <w:rsid w:val="009530CC"/>
    <w:rsid w:val="00960623"/>
    <w:rsid w:val="0096119F"/>
    <w:rsid w:val="0098153F"/>
    <w:rsid w:val="0098566A"/>
    <w:rsid w:val="00985F5C"/>
    <w:rsid w:val="00986EE5"/>
    <w:rsid w:val="00993B87"/>
    <w:rsid w:val="009944F8"/>
    <w:rsid w:val="009A2547"/>
    <w:rsid w:val="009A713D"/>
    <w:rsid w:val="009C0E16"/>
    <w:rsid w:val="009D6560"/>
    <w:rsid w:val="009F574E"/>
    <w:rsid w:val="00A01539"/>
    <w:rsid w:val="00A02A26"/>
    <w:rsid w:val="00A16FB1"/>
    <w:rsid w:val="00A3251D"/>
    <w:rsid w:val="00A3315B"/>
    <w:rsid w:val="00A34CBF"/>
    <w:rsid w:val="00A605FD"/>
    <w:rsid w:val="00A617D9"/>
    <w:rsid w:val="00A72D89"/>
    <w:rsid w:val="00A75007"/>
    <w:rsid w:val="00A91D53"/>
    <w:rsid w:val="00A97DC4"/>
    <w:rsid w:val="00AA6674"/>
    <w:rsid w:val="00AC5D70"/>
    <w:rsid w:val="00AE0149"/>
    <w:rsid w:val="00AF2DCE"/>
    <w:rsid w:val="00AF5864"/>
    <w:rsid w:val="00B506ED"/>
    <w:rsid w:val="00B56868"/>
    <w:rsid w:val="00B6322C"/>
    <w:rsid w:val="00B74827"/>
    <w:rsid w:val="00B9279F"/>
    <w:rsid w:val="00BA6E83"/>
    <w:rsid w:val="00BB7745"/>
    <w:rsid w:val="00BC1A0E"/>
    <w:rsid w:val="00BC3020"/>
    <w:rsid w:val="00BC639A"/>
    <w:rsid w:val="00C03BA1"/>
    <w:rsid w:val="00C72D33"/>
    <w:rsid w:val="00C7561E"/>
    <w:rsid w:val="00C75835"/>
    <w:rsid w:val="00C75DCD"/>
    <w:rsid w:val="00C76767"/>
    <w:rsid w:val="00C84067"/>
    <w:rsid w:val="00C95CA7"/>
    <w:rsid w:val="00C96752"/>
    <w:rsid w:val="00C97AD1"/>
    <w:rsid w:val="00CA151E"/>
    <w:rsid w:val="00CA3310"/>
    <w:rsid w:val="00CC0DF5"/>
    <w:rsid w:val="00CE2B38"/>
    <w:rsid w:val="00CE6208"/>
    <w:rsid w:val="00CF33FF"/>
    <w:rsid w:val="00D23EAC"/>
    <w:rsid w:val="00D26269"/>
    <w:rsid w:val="00D33180"/>
    <w:rsid w:val="00D343E1"/>
    <w:rsid w:val="00D476EF"/>
    <w:rsid w:val="00D50A5F"/>
    <w:rsid w:val="00D745B7"/>
    <w:rsid w:val="00DA3963"/>
    <w:rsid w:val="00DA4906"/>
    <w:rsid w:val="00DA6762"/>
    <w:rsid w:val="00DB1B6C"/>
    <w:rsid w:val="00DB481A"/>
    <w:rsid w:val="00DB6816"/>
    <w:rsid w:val="00DD017E"/>
    <w:rsid w:val="00E14415"/>
    <w:rsid w:val="00E15ECF"/>
    <w:rsid w:val="00E436B0"/>
    <w:rsid w:val="00E46194"/>
    <w:rsid w:val="00E50EEA"/>
    <w:rsid w:val="00E5614C"/>
    <w:rsid w:val="00E62462"/>
    <w:rsid w:val="00E64588"/>
    <w:rsid w:val="00E85F71"/>
    <w:rsid w:val="00E97F60"/>
    <w:rsid w:val="00EA2D3E"/>
    <w:rsid w:val="00EC785C"/>
    <w:rsid w:val="00EC7971"/>
    <w:rsid w:val="00ED4AAA"/>
    <w:rsid w:val="00EE16A9"/>
    <w:rsid w:val="00EF0F60"/>
    <w:rsid w:val="00EF4548"/>
    <w:rsid w:val="00F03307"/>
    <w:rsid w:val="00F073C9"/>
    <w:rsid w:val="00F27800"/>
    <w:rsid w:val="00F3066B"/>
    <w:rsid w:val="00F3068C"/>
    <w:rsid w:val="00F460F2"/>
    <w:rsid w:val="00F661E5"/>
    <w:rsid w:val="00F675C4"/>
    <w:rsid w:val="00F80DAA"/>
    <w:rsid w:val="00F97902"/>
    <w:rsid w:val="00FA54C1"/>
    <w:rsid w:val="00FB40A9"/>
    <w:rsid w:val="00FC51C2"/>
    <w:rsid w:val="00FC72AC"/>
    <w:rsid w:val="00FE0425"/>
    <w:rsid w:val="00FF2032"/>
    <w:rsid w:val="00FF5CA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5BC6"/>
  <w15:chartTrackingRefBased/>
  <w15:docId w15:val="{52361E8A-CE19-4D53-A0C4-6C432DC0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02F8"/>
    <w:pPr>
      <w:jc w:val="both"/>
    </w:pPr>
  </w:style>
  <w:style w:type="paragraph" w:styleId="Heading1">
    <w:name w:val="heading 1"/>
    <w:basedOn w:val="ListParagraph"/>
    <w:next w:val="Normal"/>
    <w:link w:val="Heading1Char"/>
    <w:uiPriority w:val="9"/>
    <w:qFormat/>
    <w:rsid w:val="00277D92"/>
    <w:pPr>
      <w:numPr>
        <w:numId w:val="1"/>
      </w:numPr>
      <w:ind w:left="284" w:hanging="284"/>
      <w:outlineLvl w:val="0"/>
    </w:pPr>
    <w:rPr>
      <w:b/>
    </w:rPr>
  </w:style>
  <w:style w:type="paragraph" w:styleId="Heading2">
    <w:name w:val="heading 2"/>
    <w:basedOn w:val="Heading1"/>
    <w:next w:val="Normal"/>
    <w:link w:val="Heading2Char"/>
    <w:uiPriority w:val="9"/>
    <w:unhideWhenUsed/>
    <w:qFormat/>
    <w:rsid w:val="00A3315B"/>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E41"/>
    <w:pPr>
      <w:ind w:left="720"/>
      <w:contextualSpacing/>
    </w:pPr>
  </w:style>
  <w:style w:type="table" w:styleId="TableGrid">
    <w:name w:val="Table Grid"/>
    <w:basedOn w:val="TableNormal"/>
    <w:uiPriority w:val="39"/>
    <w:rsid w:val="00633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F20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277D92"/>
    <w:rPr>
      <w:b/>
    </w:rPr>
  </w:style>
  <w:style w:type="character" w:customStyle="1" w:styleId="Heading2Char">
    <w:name w:val="Heading 2 Char"/>
    <w:basedOn w:val="DefaultParagraphFont"/>
    <w:link w:val="Heading2"/>
    <w:uiPriority w:val="9"/>
    <w:rsid w:val="00A3315B"/>
    <w:rPr>
      <w:b/>
    </w:rPr>
  </w:style>
  <w:style w:type="table" w:styleId="ListTable1Light-Accent3">
    <w:name w:val="List Table 1 Light Accent 3"/>
    <w:basedOn w:val="TableNormal"/>
    <w:uiPriority w:val="46"/>
    <w:rsid w:val="00F80DAA"/>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28782">
      <w:bodyDiv w:val="1"/>
      <w:marLeft w:val="0"/>
      <w:marRight w:val="0"/>
      <w:marTop w:val="0"/>
      <w:marBottom w:val="0"/>
      <w:divBdr>
        <w:top w:val="none" w:sz="0" w:space="0" w:color="auto"/>
        <w:left w:val="none" w:sz="0" w:space="0" w:color="auto"/>
        <w:bottom w:val="none" w:sz="0" w:space="0" w:color="auto"/>
        <w:right w:val="none" w:sz="0" w:space="0" w:color="auto"/>
      </w:divBdr>
    </w:div>
    <w:div w:id="739014578">
      <w:bodyDiv w:val="1"/>
      <w:marLeft w:val="0"/>
      <w:marRight w:val="0"/>
      <w:marTop w:val="0"/>
      <w:marBottom w:val="0"/>
      <w:divBdr>
        <w:top w:val="none" w:sz="0" w:space="0" w:color="auto"/>
        <w:left w:val="none" w:sz="0" w:space="0" w:color="auto"/>
        <w:bottom w:val="none" w:sz="0" w:space="0" w:color="auto"/>
        <w:right w:val="none" w:sz="0" w:space="0" w:color="auto"/>
      </w:divBdr>
    </w:div>
    <w:div w:id="1373768120">
      <w:bodyDiv w:val="1"/>
      <w:marLeft w:val="0"/>
      <w:marRight w:val="0"/>
      <w:marTop w:val="0"/>
      <w:marBottom w:val="0"/>
      <w:divBdr>
        <w:top w:val="none" w:sz="0" w:space="0" w:color="auto"/>
        <w:left w:val="none" w:sz="0" w:space="0" w:color="auto"/>
        <w:bottom w:val="none" w:sz="0" w:space="0" w:color="auto"/>
        <w:right w:val="none" w:sz="0" w:space="0" w:color="auto"/>
      </w:divBdr>
    </w:div>
    <w:div w:id="186354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67561-A55C-4154-A811-2F350E5ED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7353</TotalTime>
  <Pages>3</Pages>
  <Words>8200</Words>
  <Characters>46741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Welch</dc:creator>
  <cp:keywords/>
  <dc:description/>
  <cp:lastModifiedBy>Sam Welch</cp:lastModifiedBy>
  <cp:revision>31</cp:revision>
  <dcterms:created xsi:type="dcterms:W3CDTF">2018-06-25T13:18:00Z</dcterms:created>
  <dcterms:modified xsi:type="dcterms:W3CDTF">2018-07-25T12:23:00Z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98e312dc-5aa8-3b38-82af-9866120b6f2b</vt:lpwstr>
  </property>
  <property fmtid="{D5CDD505-2E9C-101B-9397-08002B2CF9AE}" pid="24" name="Mendeley Citation Style_1">
    <vt:lpwstr>http://www.zotero.org/styles/harvard-cite-them-right</vt:lpwstr>
  </property>
</Properties>
</file>