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6E1" w:rsidRDefault="004B4E41" w:rsidP="005A02F8">
      <w:r w:rsidRPr="004B4E41">
        <w:t>Methods Draft</w:t>
      </w:r>
    </w:p>
    <w:p w:rsidR="004B4E41" w:rsidRPr="00277D92" w:rsidRDefault="004B4E41" w:rsidP="00277D92">
      <w:pPr>
        <w:pStyle w:val="Heading1"/>
      </w:pPr>
      <w:r w:rsidRPr="00277D92">
        <w:t>Bacterial Isolates</w:t>
      </w:r>
    </w:p>
    <w:p w:rsidR="00480382" w:rsidRDefault="00633BBE" w:rsidP="005A02F8">
      <w:r w:rsidRPr="00633BBE">
        <w:t>8</w:t>
      </w:r>
      <w:r>
        <w:t xml:space="preserve"> sets of bacterial isolates</w:t>
      </w:r>
      <w:r w:rsidR="005A02F8">
        <w:t xml:space="preserve"> (Table A)</w:t>
      </w:r>
      <w:r>
        <w:t xml:space="preserve"> were </w:t>
      </w:r>
      <w:r w:rsidR="005A02F8">
        <w:t>selected</w:t>
      </w:r>
      <w:r w:rsidR="001301D6">
        <w:t xml:space="preserve">, sourced principally from the Nash’s Field experimental site at </w:t>
      </w:r>
      <w:proofErr w:type="spellStart"/>
      <w:r w:rsidR="001301D6">
        <w:t>Silwood</w:t>
      </w:r>
      <w:proofErr w:type="spellEnd"/>
      <w:r w:rsidR="001301D6">
        <w:t xml:space="preserve"> Park.</w:t>
      </w:r>
      <w:r w:rsidR="009A2547">
        <w:t xml:space="preserve"> Plots N and P</w:t>
      </w:r>
      <w:r w:rsidR="00422BC2">
        <w:t xml:space="preserve"> (see Appendix X)</w:t>
      </w:r>
      <w:r w:rsidR="009A2547">
        <w:t xml:space="preserve"> of Nash’s Field have since 1991 been treated thr</w:t>
      </w:r>
      <w:r w:rsidR="00EC7971">
        <w:t>ice yearly</w:t>
      </w:r>
      <w:r w:rsidR="009A2547">
        <w:t xml:space="preserve"> with metaldehyde</w:t>
      </w:r>
      <w:r w:rsidR="00DA3963">
        <w:t xml:space="preserve"> at </w:t>
      </w:r>
      <w:r w:rsidR="00DA3963" w:rsidRPr="00DA3963">
        <w:t>960 g</w:t>
      </w:r>
      <w:r w:rsidR="00DA3963">
        <w:t>.</w:t>
      </w:r>
      <w:r w:rsidR="00DA3963" w:rsidRPr="00DA3963">
        <w:t>ha</w:t>
      </w:r>
      <w:r w:rsidR="00DA3963" w:rsidRPr="00DA3963">
        <w:rPr>
          <w:vertAlign w:val="superscript"/>
        </w:rPr>
        <w:t>-1</w:t>
      </w:r>
      <w:r w:rsidR="00DA3963" w:rsidRPr="00DA3963">
        <w:t xml:space="preserve"> </w:t>
      </w:r>
      <w:r w:rsidR="00EC7971">
        <w:t xml:space="preserve">as part of herbivore exclusion experiments </w:t>
      </w:r>
      <w:r w:rsidR="00EC7971">
        <w:fldChar w:fldCharType="begin" w:fldLock="1"/>
      </w:r>
      <w:r w:rsidR="00422BC2">
        <w:instrText>ADDIN CSL_CITATION { "citationItems" : [ { "id" : "ITEM-1", "itemData" : { "DOI" : "10.1111/j.1461-0248.2011.01694.x", "ISBN" : "1461-023X", "ISSN" : "1461023X", "PMID" : "22017580", "abstract" : "The importance of invertebrate herbivores in regulating plant communities remains unclear, due to the absence of long-term exclusion experiments. An experiment in an English grassland involving long-term exclusions of insect and mollusc herbivores, along with rabbit fencing, showed strong, but opposing, effects of the invertebrate herbivores. Plant species richness declined and biomass increased following insect exclusion, due to increased dominance by a grass species, whereas mollusc exclusion led to increased herbs abundance. The two herbivores had a compensatory interaction: molluscs had no effects in the absence of insects and large insect effects depended on the absence of molluscs. The effects of invertebrate exclusion became apparent only after 8 years, and would have been seriously underestimated in shorter studies. Our results suggest that theorists and conservation managers need to shift from their historic focus on vertebrate herbivory, to a recognition that invertebrates can be equally important drivers of plant community structure.", "author" : [ { "dropping-particle" : "", "family" : "Allan", "given" : "Eric", "non-dropping-particle" : "", "parse-names" : false, "suffix" : "" }, { "dropping-particle" : "", "family" : "Crawley", "given" : "Michael J.", "non-dropping-particle" : "", "parse-names" : false, "suffix" : "" } ], "container-title" : "Ecology Letters", "id" : "ITEM-1", "issue" : "12", "issued" : { "date-parts" : [ [ "2011" ] ] }, "page" : "1246-1253", "title" : "Contrasting effects of insect and molluscan herbivores on plant diversity in a long-term field experiment", "type" : "article-journal", "volume" : "14" }, "uris" : [ "http://www.mendeley.com/documents/?uuid=0a49612d-7491-472b-a685-6947174d4c3e" ] } ], "mendeley" : { "formattedCitation" : "(Allan and Crawley, 2011)", "plainTextFormattedCitation" : "(Allan and Crawley, 2011)", "previouslyFormattedCitation" : "(Allan and Crawley, 2011)" }, "properties" : { "noteIndex" : 0 }, "schema" : "https://github.com/citation-style-language/schema/raw/master/csl-citation.json" }</w:instrText>
      </w:r>
      <w:r w:rsidR="00EC7971">
        <w:fldChar w:fldCharType="separate"/>
      </w:r>
      <w:r w:rsidR="00EC7971" w:rsidRPr="00EC7971">
        <w:rPr>
          <w:noProof/>
        </w:rPr>
        <w:t>(Allan and Crawley, 2011)</w:t>
      </w:r>
      <w:r w:rsidR="00EC7971">
        <w:fldChar w:fldCharType="end"/>
      </w:r>
      <w:r w:rsidR="00EC7971">
        <w:t xml:space="preserve">, while bacteria were isolated and sequenced </w:t>
      </w:r>
      <w:r w:rsidR="00422BC2">
        <w:t xml:space="preserve">in 2016 for an earlier study </w:t>
      </w:r>
      <w:r w:rsidR="00422BC2">
        <w:fldChar w:fldCharType="begin" w:fldLock="1"/>
      </w:r>
      <w:r w:rsidR="00620BE0">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"plainTextFormattedCitation" : "(Mombrikotb, 2016)", "previouslyFormattedCitation" : "(Mombrikotb, 2016)" }, "properties" : { "noteIndex" : 0 }, "schema" : "https://github.com/citation-style-language/schema/raw/master/csl-citation.json" }</w:instrText>
      </w:r>
      <w:r w:rsidR="00422BC2">
        <w:fldChar w:fldCharType="separate"/>
      </w:r>
      <w:r w:rsidR="00422BC2" w:rsidRPr="00422BC2">
        <w:rPr>
          <w:noProof/>
        </w:rPr>
        <w:t>(Mombrikotb, 2016)</w:t>
      </w:r>
      <w:r w:rsidR="00422BC2">
        <w:fldChar w:fldCharType="end"/>
      </w:r>
      <w:r w:rsidR="00422BC2">
        <w:t>.</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68"/>
        <w:gridCol w:w="3119"/>
        <w:gridCol w:w="1838"/>
        <w:gridCol w:w="1791"/>
      </w:tblGrid>
      <w:tr w:rsidR="00633BBE" w:rsidRPr="00620BE0" w:rsidTr="00924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rsidR="00633BBE" w:rsidRPr="00620BE0" w:rsidRDefault="00633BBE" w:rsidP="005A02F8">
            <w:pPr>
              <w:rPr>
                <w:sz w:val="20"/>
              </w:rPr>
            </w:pPr>
            <w:r w:rsidRPr="00620BE0">
              <w:rPr>
                <w:sz w:val="20"/>
              </w:rPr>
              <w:t>Strain</w:t>
            </w:r>
          </w:p>
        </w:tc>
        <w:tc>
          <w:tcPr>
            <w:tcW w:w="3119" w:type="dxa"/>
            <w:tcBorders>
              <w:bottom w:val="single" w:sz="4" w:space="0" w:color="auto"/>
            </w:tcBorders>
          </w:tcPr>
          <w:p w:rsidR="00633BBE" w:rsidRPr="00620BE0" w:rsidRDefault="00633BBE"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Species</w:t>
            </w:r>
          </w:p>
        </w:tc>
        <w:tc>
          <w:tcPr>
            <w:tcW w:w="1838" w:type="dxa"/>
            <w:tcBorders>
              <w:bottom w:val="single" w:sz="4" w:space="0" w:color="auto"/>
            </w:tcBorders>
          </w:tcPr>
          <w:p w:rsidR="00633BBE" w:rsidRPr="00620BE0" w:rsidRDefault="00633BBE"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Source</w:t>
            </w:r>
          </w:p>
        </w:tc>
        <w:tc>
          <w:tcPr>
            <w:tcW w:w="1791" w:type="dxa"/>
            <w:tcBorders>
              <w:bottom w:val="single" w:sz="4" w:space="0" w:color="auto"/>
            </w:tcBorders>
          </w:tcPr>
          <w:p w:rsidR="00633BBE" w:rsidRPr="00620BE0" w:rsidRDefault="00D50A5F"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Exposure History</w:t>
            </w:r>
          </w:p>
        </w:tc>
      </w:tr>
      <w:tr w:rsidR="00633BBE"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none" w:sz="0" w:space="0" w:color="auto"/>
            </w:tcBorders>
          </w:tcPr>
          <w:p w:rsidR="00633BBE" w:rsidRPr="00620BE0" w:rsidRDefault="00D50A5F" w:rsidP="005A02F8">
            <w:pPr>
              <w:rPr>
                <w:sz w:val="20"/>
              </w:rPr>
            </w:pPr>
            <w:r w:rsidRPr="00620BE0">
              <w:rPr>
                <w:sz w:val="20"/>
              </w:rPr>
              <w:t>SBM_R2A_LUF4_5</w:t>
            </w:r>
          </w:p>
        </w:tc>
        <w:tc>
          <w:tcPr>
            <w:tcW w:w="3119" w:type="dxa"/>
            <w:tcBorders>
              <w:top w:val="single" w:sz="4" w:space="0" w:color="auto"/>
              <w:bottom w:val="none" w:sz="0" w:space="0" w:color="auto"/>
            </w:tcBorders>
          </w:tcPr>
          <w:p w:rsidR="00633BBE" w:rsidRPr="0045518F" w:rsidRDefault="00633BBE" w:rsidP="005A02F8">
            <w:pPr>
              <w:cnfStyle w:val="000000100000" w:firstRow="0" w:lastRow="0" w:firstColumn="0" w:lastColumn="0" w:oddVBand="0" w:evenVBand="0" w:oddHBand="1" w:evenHBand="0" w:firstRowFirstColumn="0" w:firstRowLastColumn="0" w:lastRowFirstColumn="0" w:lastRowLastColumn="0"/>
              <w:rPr>
                <w:i/>
                <w:sz w:val="20"/>
              </w:rPr>
            </w:pPr>
            <w:proofErr w:type="spellStart"/>
            <w:r w:rsidRPr="0045518F">
              <w:rPr>
                <w:i/>
                <w:sz w:val="20"/>
              </w:rPr>
              <w:t>Luteibacter</w:t>
            </w:r>
            <w:proofErr w:type="spellEnd"/>
            <w:r w:rsidRPr="0045518F">
              <w:rPr>
                <w:i/>
                <w:sz w:val="20"/>
              </w:rPr>
              <w:t xml:space="preserve"> </w:t>
            </w:r>
            <w:proofErr w:type="spellStart"/>
            <w:r w:rsidRPr="0045518F">
              <w:rPr>
                <w:i/>
                <w:sz w:val="20"/>
              </w:rPr>
              <w:t>rhizovicinus</w:t>
            </w:r>
            <w:proofErr w:type="spellEnd"/>
          </w:p>
        </w:tc>
        <w:tc>
          <w:tcPr>
            <w:tcW w:w="1838" w:type="dxa"/>
            <w:tcBorders>
              <w:top w:val="single" w:sz="4" w:space="0" w:color="auto"/>
              <w:bottom w:val="none" w:sz="0" w:space="0" w:color="auto"/>
            </w:tcBorders>
          </w:tcPr>
          <w:p w:rsidR="00633BBE"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Nash’s Field</w:t>
            </w:r>
          </w:p>
        </w:tc>
        <w:tc>
          <w:tcPr>
            <w:tcW w:w="1791" w:type="dxa"/>
            <w:tcBorders>
              <w:top w:val="single" w:sz="4" w:space="0" w:color="auto"/>
              <w:bottom w:val="none" w:sz="0" w:space="0" w:color="auto"/>
            </w:tcBorders>
          </w:tcPr>
          <w:p w:rsidR="00633BBE"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Control</w:t>
            </w:r>
          </w:p>
        </w:tc>
      </w:tr>
      <w:tr w:rsidR="00D50A5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D50A5F" w:rsidRPr="00620BE0" w:rsidRDefault="00D50A5F" w:rsidP="005A02F8">
            <w:pPr>
              <w:rPr>
                <w:sz w:val="20"/>
              </w:rPr>
            </w:pPr>
            <w:r w:rsidRPr="00620BE0">
              <w:rPr>
                <w:sz w:val="20"/>
              </w:rPr>
              <w:t>R2A_KUB5_13</w:t>
            </w:r>
          </w:p>
        </w:tc>
        <w:tc>
          <w:tcPr>
            <w:tcW w:w="3119" w:type="dxa"/>
          </w:tcPr>
          <w:p w:rsidR="00D50A5F" w:rsidRPr="0045518F" w:rsidRDefault="00D50A5F" w:rsidP="005A02F8">
            <w:pPr>
              <w:cnfStyle w:val="000000000000" w:firstRow="0" w:lastRow="0" w:firstColumn="0" w:lastColumn="0" w:oddVBand="0" w:evenVBand="0" w:oddHBand="0" w:evenHBand="0" w:firstRowFirstColumn="0" w:firstRowLastColumn="0" w:lastRowFirstColumn="0" w:lastRowLastColumn="0"/>
              <w:rPr>
                <w:i/>
                <w:sz w:val="20"/>
              </w:rPr>
            </w:pPr>
            <w:proofErr w:type="spellStart"/>
            <w:r w:rsidRPr="0045518F">
              <w:rPr>
                <w:i/>
                <w:sz w:val="20"/>
              </w:rPr>
              <w:t>Variovorax</w:t>
            </w:r>
            <w:proofErr w:type="spellEnd"/>
            <w:r w:rsidRPr="0045518F">
              <w:rPr>
                <w:i/>
                <w:sz w:val="20"/>
              </w:rPr>
              <w:t xml:space="preserve"> paradoxus</w:t>
            </w:r>
          </w:p>
        </w:tc>
        <w:tc>
          <w:tcPr>
            <w:tcW w:w="1838"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Nash’s Field</w:t>
            </w:r>
          </w:p>
        </w:tc>
        <w:tc>
          <w:tcPr>
            <w:tcW w:w="1791" w:type="dxa"/>
          </w:tcPr>
          <w:p w:rsidR="00D50A5F" w:rsidRPr="00620BE0" w:rsidRDefault="00AA6674"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924E8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924E8F" w:rsidRPr="00620BE0" w:rsidRDefault="00924E8F" w:rsidP="005A02F8">
            <w:pPr>
              <w:rPr>
                <w:sz w:val="20"/>
              </w:rPr>
            </w:pPr>
            <w:r w:rsidRPr="00620BE0">
              <w:rPr>
                <w:sz w:val="20"/>
              </w:rPr>
              <w:t>R2A_NUF1_3</w:t>
            </w:r>
          </w:p>
        </w:tc>
        <w:tc>
          <w:tcPr>
            <w:tcW w:w="3119" w:type="dxa"/>
            <w:tcBorders>
              <w:top w:val="none" w:sz="0" w:space="0" w:color="auto"/>
              <w:bottom w:val="none" w:sz="0" w:space="0" w:color="auto"/>
            </w:tcBorders>
          </w:tcPr>
          <w:p w:rsidR="00924E8F" w:rsidRPr="0045518F" w:rsidRDefault="00924E8F" w:rsidP="005A02F8">
            <w:pPr>
              <w:cnfStyle w:val="000000100000" w:firstRow="0" w:lastRow="0" w:firstColumn="0" w:lastColumn="0" w:oddVBand="0" w:evenVBand="0" w:oddHBand="1" w:evenHBand="0" w:firstRowFirstColumn="0" w:firstRowLastColumn="0" w:lastRowFirstColumn="0" w:lastRowLastColumn="0"/>
              <w:rPr>
                <w:i/>
                <w:sz w:val="20"/>
              </w:rPr>
            </w:pPr>
            <w:proofErr w:type="spellStart"/>
            <w:r w:rsidRPr="0045518F">
              <w:rPr>
                <w:i/>
                <w:sz w:val="20"/>
              </w:rPr>
              <w:t>Variovorax</w:t>
            </w:r>
            <w:proofErr w:type="spellEnd"/>
            <w:r w:rsidRPr="0045518F">
              <w:rPr>
                <w:i/>
                <w:sz w:val="20"/>
              </w:rPr>
              <w:t xml:space="preserve"> paradoxus</w:t>
            </w:r>
          </w:p>
        </w:tc>
        <w:tc>
          <w:tcPr>
            <w:tcW w:w="1838"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Nash’s Field </w:t>
            </w:r>
          </w:p>
        </w:tc>
        <w:tc>
          <w:tcPr>
            <w:tcW w:w="1791"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Metaldehyde</w:t>
            </w:r>
          </w:p>
        </w:tc>
      </w:tr>
      <w:tr w:rsidR="00924E8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924E8F" w:rsidRPr="00620BE0" w:rsidRDefault="00924E8F" w:rsidP="005A02F8">
            <w:pPr>
              <w:rPr>
                <w:sz w:val="20"/>
              </w:rPr>
            </w:pPr>
            <w:r w:rsidRPr="00620BE0">
              <w:rPr>
                <w:sz w:val="20"/>
              </w:rPr>
              <w:t>R2A_KUE4_4</w:t>
            </w:r>
          </w:p>
        </w:tc>
        <w:tc>
          <w:tcPr>
            <w:tcW w:w="3119" w:type="dxa"/>
          </w:tcPr>
          <w:p w:rsidR="00924E8F" w:rsidRPr="0045518F" w:rsidRDefault="00924E8F" w:rsidP="005A02F8">
            <w:pPr>
              <w:cnfStyle w:val="000000000000" w:firstRow="0" w:lastRow="0" w:firstColumn="0" w:lastColumn="0" w:oddVBand="0" w:evenVBand="0" w:oddHBand="0" w:evenHBand="0" w:firstRowFirstColumn="0" w:firstRowLastColumn="0" w:lastRowFirstColumn="0" w:lastRowLastColumn="0"/>
              <w:rPr>
                <w:i/>
                <w:sz w:val="20"/>
              </w:rPr>
            </w:pPr>
            <w:r w:rsidRPr="0045518F">
              <w:rPr>
                <w:i/>
                <w:sz w:val="20"/>
              </w:rPr>
              <w:t xml:space="preserve">Bacillus </w:t>
            </w:r>
            <w:proofErr w:type="spellStart"/>
            <w:r w:rsidRPr="0045518F">
              <w:rPr>
                <w:i/>
                <w:sz w:val="20"/>
              </w:rPr>
              <w:t>muralis</w:t>
            </w:r>
            <w:proofErr w:type="spellEnd"/>
          </w:p>
        </w:tc>
        <w:tc>
          <w:tcPr>
            <w:tcW w:w="1838"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 xml:space="preserve">Nash’s Field </w:t>
            </w:r>
          </w:p>
        </w:tc>
        <w:tc>
          <w:tcPr>
            <w:tcW w:w="1791"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924E8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924E8F" w:rsidRPr="00620BE0" w:rsidRDefault="00924E8F" w:rsidP="005A02F8">
            <w:pPr>
              <w:rPr>
                <w:sz w:val="20"/>
              </w:rPr>
            </w:pPr>
            <w:r w:rsidRPr="00620BE0">
              <w:rPr>
                <w:sz w:val="20"/>
              </w:rPr>
              <w:t>R2A_NUE1_1</w:t>
            </w:r>
          </w:p>
        </w:tc>
        <w:tc>
          <w:tcPr>
            <w:tcW w:w="3119" w:type="dxa"/>
            <w:tcBorders>
              <w:top w:val="none" w:sz="0" w:space="0" w:color="auto"/>
              <w:bottom w:val="none" w:sz="0" w:space="0" w:color="auto"/>
            </w:tcBorders>
          </w:tcPr>
          <w:p w:rsidR="00924E8F" w:rsidRPr="0045518F" w:rsidRDefault="00924E8F" w:rsidP="005A02F8">
            <w:pPr>
              <w:cnfStyle w:val="000000100000" w:firstRow="0" w:lastRow="0" w:firstColumn="0" w:lastColumn="0" w:oddVBand="0" w:evenVBand="0" w:oddHBand="1" w:evenHBand="0" w:firstRowFirstColumn="0" w:firstRowLastColumn="0" w:lastRowFirstColumn="0" w:lastRowLastColumn="0"/>
              <w:rPr>
                <w:i/>
                <w:sz w:val="20"/>
              </w:rPr>
            </w:pPr>
            <w:r w:rsidRPr="0045518F">
              <w:rPr>
                <w:i/>
                <w:sz w:val="20"/>
              </w:rPr>
              <w:t xml:space="preserve">Bacillus </w:t>
            </w:r>
            <w:proofErr w:type="spellStart"/>
            <w:r w:rsidRPr="0045518F">
              <w:rPr>
                <w:i/>
                <w:sz w:val="20"/>
              </w:rPr>
              <w:t>muralis</w:t>
            </w:r>
            <w:proofErr w:type="spellEnd"/>
          </w:p>
        </w:tc>
        <w:tc>
          <w:tcPr>
            <w:tcW w:w="1838"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Nash’s Field </w:t>
            </w:r>
          </w:p>
        </w:tc>
        <w:tc>
          <w:tcPr>
            <w:tcW w:w="1791"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Metaldehyde</w:t>
            </w:r>
          </w:p>
        </w:tc>
      </w:tr>
      <w:tr w:rsidR="00924E8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924E8F" w:rsidRPr="00620BE0" w:rsidRDefault="00924E8F" w:rsidP="005A02F8">
            <w:pPr>
              <w:rPr>
                <w:sz w:val="20"/>
              </w:rPr>
            </w:pPr>
            <w:r w:rsidRPr="00620BE0">
              <w:rPr>
                <w:sz w:val="20"/>
              </w:rPr>
              <w:t>R2A_KUE4_10</w:t>
            </w:r>
          </w:p>
        </w:tc>
        <w:tc>
          <w:tcPr>
            <w:tcW w:w="3119" w:type="dxa"/>
          </w:tcPr>
          <w:p w:rsidR="00924E8F" w:rsidRPr="0045518F" w:rsidRDefault="00924E8F" w:rsidP="005A02F8">
            <w:pPr>
              <w:cnfStyle w:val="000000000000" w:firstRow="0" w:lastRow="0" w:firstColumn="0" w:lastColumn="0" w:oddVBand="0" w:evenVBand="0" w:oddHBand="0" w:evenHBand="0" w:firstRowFirstColumn="0" w:firstRowLastColumn="0" w:lastRowFirstColumn="0" w:lastRowLastColumn="0"/>
              <w:rPr>
                <w:i/>
                <w:sz w:val="20"/>
              </w:rPr>
            </w:pPr>
            <w:r w:rsidRPr="0045518F">
              <w:rPr>
                <w:i/>
                <w:sz w:val="20"/>
              </w:rPr>
              <w:t xml:space="preserve">Stenotrophomonas </w:t>
            </w:r>
            <w:proofErr w:type="spellStart"/>
            <w:r w:rsidRPr="0045518F">
              <w:rPr>
                <w:i/>
                <w:sz w:val="20"/>
              </w:rPr>
              <w:t>acidaminiphila</w:t>
            </w:r>
            <w:proofErr w:type="spellEnd"/>
          </w:p>
        </w:tc>
        <w:tc>
          <w:tcPr>
            <w:tcW w:w="1838"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 xml:space="preserve">Nash’s Field </w:t>
            </w:r>
          </w:p>
        </w:tc>
        <w:tc>
          <w:tcPr>
            <w:tcW w:w="1791"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D50A5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D50A5F" w:rsidRPr="00620BE0" w:rsidRDefault="00AA6674" w:rsidP="005A02F8">
            <w:pPr>
              <w:rPr>
                <w:sz w:val="20"/>
              </w:rPr>
            </w:pPr>
            <w:r w:rsidRPr="00620BE0">
              <w:rPr>
                <w:sz w:val="20"/>
              </w:rPr>
              <w:t>E. coli OP50</w:t>
            </w:r>
          </w:p>
        </w:tc>
        <w:tc>
          <w:tcPr>
            <w:tcW w:w="3119" w:type="dxa"/>
            <w:tcBorders>
              <w:top w:val="none" w:sz="0" w:space="0" w:color="auto"/>
              <w:bottom w:val="none" w:sz="0" w:space="0" w:color="auto"/>
            </w:tcBorders>
          </w:tcPr>
          <w:p w:rsidR="00D50A5F" w:rsidRPr="0045518F" w:rsidRDefault="00D50A5F" w:rsidP="005A02F8">
            <w:pPr>
              <w:cnfStyle w:val="000000100000" w:firstRow="0" w:lastRow="0" w:firstColumn="0" w:lastColumn="0" w:oddVBand="0" w:evenVBand="0" w:oddHBand="1" w:evenHBand="0" w:firstRowFirstColumn="0" w:firstRowLastColumn="0" w:lastRowFirstColumn="0" w:lastRowLastColumn="0"/>
              <w:rPr>
                <w:i/>
                <w:sz w:val="20"/>
              </w:rPr>
            </w:pPr>
            <w:r w:rsidRPr="0045518F">
              <w:rPr>
                <w:i/>
                <w:sz w:val="20"/>
              </w:rPr>
              <w:t>Escherichia coli</w:t>
            </w:r>
          </w:p>
        </w:tc>
        <w:tc>
          <w:tcPr>
            <w:tcW w:w="1838" w:type="dxa"/>
            <w:tcBorders>
              <w:top w:val="none" w:sz="0" w:space="0" w:color="auto"/>
              <w:bottom w:val="none" w:sz="0" w:space="0" w:color="auto"/>
            </w:tcBorders>
          </w:tcPr>
          <w:p w:rsidR="00D50A5F"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C. elegans feeder </w:t>
            </w:r>
          </w:p>
        </w:tc>
        <w:tc>
          <w:tcPr>
            <w:tcW w:w="1791" w:type="dxa"/>
            <w:tcBorders>
              <w:top w:val="none" w:sz="0" w:space="0" w:color="auto"/>
              <w:bottom w:val="none" w:sz="0" w:space="0" w:color="auto"/>
            </w:tcBorders>
          </w:tcPr>
          <w:p w:rsidR="00D50A5F"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Control</w:t>
            </w:r>
          </w:p>
        </w:tc>
      </w:tr>
      <w:tr w:rsidR="00D50A5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D50A5F" w:rsidRPr="00620BE0" w:rsidRDefault="00D50A5F" w:rsidP="005A02F8">
            <w:pPr>
              <w:rPr>
                <w:sz w:val="20"/>
              </w:rPr>
            </w:pPr>
            <w:r w:rsidRPr="00620BE0">
              <w:rPr>
                <w:sz w:val="20"/>
              </w:rPr>
              <w:t>Nash’s Field Community</w:t>
            </w:r>
          </w:p>
        </w:tc>
        <w:tc>
          <w:tcPr>
            <w:tcW w:w="3119" w:type="dxa"/>
          </w:tcPr>
          <w:p w:rsidR="00D50A5F" w:rsidRPr="00620BE0" w:rsidRDefault="00AA6674"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Mixed</w:t>
            </w:r>
          </w:p>
        </w:tc>
        <w:tc>
          <w:tcPr>
            <w:tcW w:w="1838"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Nash’s Field</w:t>
            </w:r>
          </w:p>
        </w:tc>
        <w:tc>
          <w:tcPr>
            <w:tcW w:w="1791"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bl>
    <w:p w:rsidR="00633BBE" w:rsidRPr="00620BE0" w:rsidRDefault="00812877" w:rsidP="005A02F8">
      <w:pPr>
        <w:rPr>
          <w:i/>
          <w:sz w:val="18"/>
        </w:rPr>
      </w:pPr>
      <w:r w:rsidRPr="00620BE0">
        <w:rPr>
          <w:i/>
          <w:sz w:val="18"/>
        </w:rPr>
        <w:t xml:space="preserve">Table </w:t>
      </w:r>
      <w:r w:rsidR="005A02F8" w:rsidRPr="00620BE0">
        <w:rPr>
          <w:i/>
          <w:sz w:val="18"/>
        </w:rPr>
        <w:t>A</w:t>
      </w:r>
      <w:r w:rsidRPr="00620BE0">
        <w:rPr>
          <w:i/>
          <w:sz w:val="18"/>
        </w:rPr>
        <w:t xml:space="preserve">: Bacterial species, strains, and sources. </w:t>
      </w:r>
    </w:p>
    <w:p w:rsidR="00924E8F" w:rsidRPr="00633BBE" w:rsidRDefault="00924E8F" w:rsidP="005A02F8">
      <w:r>
        <w:t>Isolates were cultured in a standard R2A broth prior to experiments.</w:t>
      </w:r>
    </w:p>
    <w:p w:rsidR="004B4E41" w:rsidRDefault="00F03307" w:rsidP="00277D92">
      <w:pPr>
        <w:pStyle w:val="Heading1"/>
      </w:pPr>
      <w:r>
        <w:t xml:space="preserve">Stressor </w:t>
      </w:r>
      <w:r w:rsidR="006B4A3B">
        <w:t>Exposures</w:t>
      </w:r>
    </w:p>
    <w:p w:rsidR="00AC5D70" w:rsidRDefault="00924E8F" w:rsidP="005A02F8">
      <w:r w:rsidRPr="005A02F8">
        <w:t xml:space="preserve">Stressor combinations were formulated by use of a </w:t>
      </w:r>
      <w:r w:rsidR="00812877" w:rsidRPr="005A02F8">
        <w:t xml:space="preserve">Hamilton </w:t>
      </w:r>
      <w:proofErr w:type="spellStart"/>
      <w:r w:rsidR="00812877" w:rsidRPr="005A02F8">
        <w:t>MicroLab</w:t>
      </w:r>
      <w:proofErr w:type="spellEnd"/>
      <w:r w:rsidR="00812877" w:rsidRPr="005A02F8">
        <w:t xml:space="preserve"> </w:t>
      </w:r>
      <w:proofErr w:type="spellStart"/>
      <w:r w:rsidR="00812877" w:rsidRPr="005A02F8">
        <w:t>STARLet</w:t>
      </w:r>
      <w:proofErr w:type="spellEnd"/>
      <w:r w:rsidR="00812877" w:rsidRPr="005A02F8">
        <w:t xml:space="preserve">. 255 combinations </w:t>
      </w:r>
      <w:r w:rsidR="005A02F8" w:rsidRPr="005A02F8">
        <w:t>of</w:t>
      </w:r>
      <w:r w:rsidR="00812877" w:rsidRPr="005A02F8">
        <w:t xml:space="preserve"> 8 stressors</w:t>
      </w:r>
      <w:r w:rsidR="005A02F8" w:rsidRPr="005A02F8">
        <w:t xml:space="preserve"> across 8 bacterial isolates</w:t>
      </w:r>
      <w:r w:rsidR="00812877" w:rsidRPr="005A02F8">
        <w:t xml:space="preserve"> were formulated</w:t>
      </w:r>
      <w:r w:rsidR="00386C98" w:rsidRPr="005A02F8">
        <w:t xml:space="preserve"> across 24 2uL 96-well plates</w:t>
      </w:r>
      <w:r w:rsidR="005A02F8" w:rsidRPr="005A02F8">
        <w:t>. 10 μL doses of stressor solutions at environmentally relevant concentrations (Table B) were added to the wells, in addition to 10 μL of</w:t>
      </w:r>
      <w:r w:rsidR="0045518F">
        <w:t xml:space="preserve"> overnight</w:t>
      </w:r>
      <w:r w:rsidR="005A02F8" w:rsidRPr="005A02F8">
        <w:t xml:space="preserve"> bacterial culture</w:t>
      </w:r>
      <w:r w:rsidR="0045518F">
        <w:t xml:space="preserve"> diluted to 1 in 1000,</w:t>
      </w:r>
      <w:r w:rsidR="005A02F8" w:rsidRPr="005A02F8">
        <w:t xml:space="preserve"> and sufficient R2A broth to bring all well volumes up to 100 μL.</w:t>
      </w:r>
      <w:r w:rsidR="00AC5D70">
        <w:t xml:space="preserve"> Machine-readable worklists</w:t>
      </w:r>
      <w:r w:rsidR="00FC72AC">
        <w:t xml:space="preserve"> (Appendix Y)</w:t>
      </w:r>
      <w:r w:rsidR="00AC5D70">
        <w:t xml:space="preserve"> were generated</w:t>
      </w:r>
      <w:r w:rsidR="00FC72AC">
        <w:t xml:space="preserve"> from a combination input file</w:t>
      </w:r>
      <w:r w:rsidR="00AC5D70">
        <w:t xml:space="preserve"> for the </w:t>
      </w:r>
      <w:proofErr w:type="spellStart"/>
      <w:r w:rsidR="00AC5D70">
        <w:t>STARLet</w:t>
      </w:r>
      <w:proofErr w:type="spellEnd"/>
      <w:r w:rsidR="00AC5D70">
        <w:t xml:space="preserve"> using an R script</w:t>
      </w:r>
      <w:r w:rsidR="00FC72AC">
        <w:t xml:space="preserve"> (Appendix Z).</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68"/>
        <w:gridCol w:w="1985"/>
        <w:gridCol w:w="2268"/>
        <w:gridCol w:w="2495"/>
      </w:tblGrid>
      <w:tr w:rsidR="00620BE0" w:rsidRPr="00620BE0" w:rsidTr="00077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rsidR="00620BE0" w:rsidRPr="00620BE0" w:rsidRDefault="00620BE0" w:rsidP="00012440">
            <w:pPr>
              <w:rPr>
                <w:sz w:val="20"/>
              </w:rPr>
            </w:pPr>
            <w:r w:rsidRPr="00620BE0">
              <w:rPr>
                <w:sz w:val="20"/>
              </w:rPr>
              <w:t>Stressor</w:t>
            </w:r>
          </w:p>
        </w:tc>
        <w:tc>
          <w:tcPr>
            <w:tcW w:w="1985"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Environmental Concentration</w:t>
            </w:r>
          </w:p>
        </w:tc>
        <w:tc>
          <w:tcPr>
            <w:tcW w:w="2268"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Source</w:t>
            </w:r>
          </w:p>
        </w:tc>
        <w:tc>
          <w:tcPr>
            <w:tcW w:w="2495"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Form</w:t>
            </w:r>
          </w:p>
        </w:tc>
      </w:tr>
      <w:tr w:rsidR="00620BE0" w:rsidRPr="00620BE0" w:rsidTr="0007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none" w:sz="0" w:space="0" w:color="auto"/>
            </w:tcBorders>
          </w:tcPr>
          <w:p w:rsidR="00620BE0" w:rsidRPr="00620BE0" w:rsidRDefault="00620BE0" w:rsidP="00012440">
            <w:pPr>
              <w:rPr>
                <w:sz w:val="20"/>
              </w:rPr>
            </w:pPr>
            <w:r w:rsidRPr="00620BE0">
              <w:rPr>
                <w:sz w:val="20"/>
              </w:rPr>
              <w:t>Chloramphenicol</w:t>
            </w:r>
          </w:p>
        </w:tc>
        <w:tc>
          <w:tcPr>
            <w:tcW w:w="1985" w:type="dxa"/>
            <w:tcBorders>
              <w:top w:val="single" w:sz="4" w:space="0" w:color="auto"/>
              <w:bottom w:val="none" w:sz="0" w:space="0" w:color="auto"/>
            </w:tcBorders>
          </w:tcPr>
          <w:p w:rsidR="00620BE0" w:rsidRPr="00620BE0" w:rsidRDefault="00620BE0" w:rsidP="00012440">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5</w:t>
            </w:r>
            <w:r>
              <w:rPr>
                <w:sz w:val="20"/>
              </w:rPr>
              <w:t>0.0</w:t>
            </w:r>
            <w:r w:rsidRPr="00620BE0">
              <w:rPr>
                <w:sz w:val="20"/>
              </w:rPr>
              <w:t xml:space="preserve"> ng</w:t>
            </w:r>
            <w:r w:rsidR="00EE16A9">
              <w:rPr>
                <w:sz w:val="20"/>
              </w:rPr>
              <w:t>/</w:t>
            </w:r>
            <w:r w:rsidRPr="00620BE0">
              <w:rPr>
                <w:sz w:val="20"/>
              </w:rPr>
              <w:t>L</w:t>
            </w:r>
          </w:p>
        </w:tc>
        <w:tc>
          <w:tcPr>
            <w:tcW w:w="2268" w:type="dxa"/>
            <w:tcBorders>
              <w:top w:val="single" w:sz="4" w:space="0" w:color="auto"/>
              <w:bottom w:val="none" w:sz="0" w:space="0" w:color="auto"/>
            </w:tcBorders>
          </w:tcPr>
          <w:p w:rsidR="00620BE0" w:rsidRPr="00620BE0" w:rsidRDefault="00620BE0"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EE16A9">
              <w:rPr>
                <w:sz w:val="20"/>
              </w:rPr>
              <w:instrText>ADDIN CSL_CITATION { "citationItems" : [ { "id" : "ITEM-1", "itemData" : { "DOI" : "10.1897/07-143.1", "ISBN" : "0730-7268 (Print)", "ISSN" : "07307268", "PMID" : "17944547", "abstract" : "We evaluated the occurrence of three antibiotics (roxithromycin, trimethoprim, and chloramphenicol) in surface water and effluents from several sewage treatment plants (STPs) on the Han River, Korea. In addition, standard acute toxicity tests were conducted using the microbe Vibrio fischeri, freshwater macroinvertebrates Daphnia magna and Moina macrocopa, and fish (Oryzias latipes) for these antibiotics. Antibiotics were more frequently detected at higher amounts in effluent samples and in samples collected during the low-flow season. For trimethoprim and chloramphenicol, the levels observed in surface water during low flow were, on average, 108 and 31 ng/L, respectively. These levels were comparable to those measured in the municipal effluents (average, 80 and 37 ng/L, respectively), suggesting the presence of other sources upstream (e.g., livestock wastes). For roxithromycin, surface water levels were approximately an order of magnitude lower than effluent levels. Adverse effects of roxithromycin, trimethoprim, and chloramphenicol were observed at mg/L levels in standard acute aquatic ecotoxicity tests. Based on hazard quotients calculated for the three antibiotics, minimal risks to aquatic systems are suggested. To further increase scientific understanding about the potential impacts of these pharmaceuticals in the environment, however, chronic ecotoxicology studies, with more subtle but ecologically meaningful end points or in combination with other mechanistically related contaminants, may be beneficial.", "author" : [ { "dropping-particle" : "", "family" : "Choi", "given" : "Kyungho", "non-dropping-particle" : "", "parse-names" : false, "suffix" : "" }, { "dropping-particle" : "", "family" : "Kim", "given" : "Younghee", "non-dropping-particle" : "", "parse-names" : false, "suffix" : "" }, { "dropping-particle" : "", "family" : "Jung", "given" : "Jinyong", "non-dropping-particle" : "", "parse-names" : false, "suffix" : "" }, { "dropping-particle" : "", "family" : "Kim", "given" : "Myung Hyun", "non-dropping-particle" : "", "parse-names" : false, "suffix" : "" }, { "dropping-particle" : "", "family" : "Kim", "given" : "Chang Soo", "non-dropping-particle" : "", "parse-names" : false, "suffix" : "" }, { "dropping-particle" : "", "family" : "Kim", "given" : "Nam Hee", "non-dropping-particle" : "", "parse-names" : false, "suffix" : "" }, { "dropping-particle" : "", "family" : "Park", "given" : "Jeongim", "non-dropping-particle" : "", "parse-names" : false, "suffix" : "" } ], "container-title" : "Environmental Toxicology and Chemistry", "id" : "ITEM-1", "issue" : "3", "issued" : { "date-parts" : [ [ "2008" ] ] }, "page" : "711-719", "title" : "Occurrences and ecological risks of roxithromycin, trimethoprim, and chloramphenicol in the Han River, Korea", "type" : "article-journal", "volume" : "27" }, "uris" : [ "http://www.mendeley.com/documents/?uuid=98d10328-fcaa-4885-99a2-aefcf53d9a1f" ] } ], "mendeley" : { "formattedCitation" : "(Choi &lt;i&gt;et al.&lt;/i&gt;, 2008)", "manualFormatting" : "Choi et al., 2008", "plainTextFormattedCitation" : "(Choi et al., 2008)", "previouslyFormattedCitation" : "(Choi &lt;i&gt;et al.&lt;/i&gt;, 2008)" }, "properties" : { "noteIndex" : 0 }, "schema" : "https://github.com/citation-style-language/schema/raw/master/csl-citation.json" }</w:instrText>
            </w:r>
            <w:r>
              <w:rPr>
                <w:sz w:val="20"/>
              </w:rPr>
              <w:fldChar w:fldCharType="separate"/>
            </w:r>
            <w:r w:rsidRPr="00620BE0">
              <w:rPr>
                <w:noProof/>
                <w:sz w:val="20"/>
              </w:rPr>
              <w:t xml:space="preserve">Choi </w:t>
            </w:r>
            <w:r w:rsidRPr="00620BE0">
              <w:rPr>
                <w:i/>
                <w:noProof/>
                <w:sz w:val="20"/>
              </w:rPr>
              <w:t>et al.</w:t>
            </w:r>
            <w:r w:rsidRPr="00620BE0">
              <w:rPr>
                <w:noProof/>
                <w:sz w:val="20"/>
              </w:rPr>
              <w:t>, 2008</w:t>
            </w:r>
            <w:r>
              <w:rPr>
                <w:sz w:val="20"/>
              </w:rPr>
              <w:fldChar w:fldCharType="end"/>
            </w:r>
          </w:p>
        </w:tc>
        <w:tc>
          <w:tcPr>
            <w:tcW w:w="2495" w:type="dxa"/>
            <w:tcBorders>
              <w:top w:val="single" w:sz="4" w:space="0" w:color="auto"/>
              <w:bottom w:val="none" w:sz="0" w:space="0" w:color="auto"/>
            </w:tcBorders>
          </w:tcPr>
          <w:p w:rsidR="00620BE0" w:rsidRPr="00620BE0" w:rsidRDefault="00EE16A9" w:rsidP="00012440">
            <w:pPr>
              <w:cnfStyle w:val="000000100000" w:firstRow="0" w:lastRow="0" w:firstColumn="0" w:lastColumn="0" w:oddVBand="0" w:evenVBand="0" w:oddHBand="1" w:evenHBand="0" w:firstRowFirstColumn="0" w:firstRowLastColumn="0" w:lastRowFirstColumn="0" w:lastRowLastColumn="0"/>
              <w:rPr>
                <w:sz w:val="20"/>
              </w:rPr>
            </w:pPr>
            <w:r>
              <w:rPr>
                <w:sz w:val="20"/>
              </w:rPr>
              <w:t>Powder, 98%</w:t>
            </w:r>
          </w:p>
        </w:tc>
      </w:tr>
      <w:tr w:rsidR="00620BE0" w:rsidRPr="00620BE0" w:rsidTr="000773BC">
        <w:tc>
          <w:tcPr>
            <w:cnfStyle w:val="001000000000" w:firstRow="0" w:lastRow="0" w:firstColumn="1" w:lastColumn="0" w:oddVBand="0" w:evenVBand="0" w:oddHBand="0" w:evenHBand="0" w:firstRowFirstColumn="0" w:firstRowLastColumn="0" w:lastRowFirstColumn="0" w:lastRowLastColumn="0"/>
            <w:tcW w:w="2268" w:type="dxa"/>
          </w:tcPr>
          <w:p w:rsidR="00620BE0" w:rsidRPr="00620BE0" w:rsidRDefault="00620BE0" w:rsidP="00012440">
            <w:pPr>
              <w:rPr>
                <w:sz w:val="20"/>
              </w:rPr>
            </w:pPr>
            <w:r w:rsidRPr="00620BE0">
              <w:rPr>
                <w:sz w:val="20"/>
              </w:rPr>
              <w:t>Amoxicillin</w:t>
            </w:r>
          </w:p>
        </w:tc>
        <w:tc>
          <w:tcPr>
            <w:tcW w:w="1985" w:type="dxa"/>
          </w:tcPr>
          <w:p w:rsidR="00620BE0" w:rsidRPr="00620BE0" w:rsidRDefault="00EE16A9" w:rsidP="00012440">
            <w:pPr>
              <w:cnfStyle w:val="000000000000" w:firstRow="0" w:lastRow="0" w:firstColumn="0" w:lastColumn="0" w:oddVBand="0" w:evenVBand="0" w:oddHBand="0" w:evenHBand="0" w:firstRowFirstColumn="0" w:firstRowLastColumn="0" w:lastRowFirstColumn="0" w:lastRowLastColumn="0"/>
              <w:rPr>
                <w:sz w:val="20"/>
              </w:rPr>
            </w:pPr>
            <w:r>
              <w:rPr>
                <w:sz w:val="20"/>
              </w:rPr>
              <w:t>120 ng/L</w:t>
            </w:r>
          </w:p>
        </w:tc>
        <w:tc>
          <w:tcPr>
            <w:tcW w:w="2268" w:type="dxa"/>
          </w:tcPr>
          <w:p w:rsidR="00620BE0" w:rsidRPr="00620BE0" w:rsidRDefault="00EE16A9"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"10.1021/es049509a", "ISBN" : "0013-936X", "ISSN" : "0013936X", "PMID" : "15669346", "abstract" :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sludge is an effective pathway through which amoxicillin can be removed from the aquatic environment. Rate constants for biodegradation and adsorption have been calculated by applying simple pseudo-first-order kinetic models. Algal bioassays indicate that, in the range of concentrations from 50 ng/L to 50 mg/L, amoxicillin is not toxic toward eucariotic organisms such as the Chlorophyceae Pseudokirkneriella subcapitata and Closterium ehrenbergii and the Bacillariophyceae Cyclotella meneghiniana, but it shows a marked toxicity toward the Cyanophyta Synechococcus leopolensis.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slud\u2026", "author" : [ { "dropping-particle" : "", "family" : "Andreozzi", "given" : "Roberto", "non-dropping-particle" : "", "parse-names" : false, "suffix" : "" }, { "dropping-particle" : "", "family" : "Caprio", "given" : "Vincenzo", "non-dropping-particle" : "", "parse-names" : false, "suffix" : "" }, { "dropping-particle" : "", "family" : "Ciniglia", "given" : "Claudia", "non-dropping-particle" : "", "parse-names" : false, "suffix" : "" }, { "dropping-particle" : "", "family" : "Champdor??", "given" : "Marcella", "non-dropping-particle" : "De", "parse-names" : false, "suffix" : "" }, { "dropping-particle" : "", "family" : "Giudice", "given" : "Roberto", "non-dropping-particle" : "Lo", "parse-names" : false, "suffix" : "" }, { "dropping-particle" : "", "family" : "Marotta", "given" : "Raffaele", "non-dropping-particle" : "", "parse-names" : false, "suffix" : "" }, { "dropping-particle" : "", "family" : "Zuccato", "given" : "Ettore", "non-dropping-particle" : "", "parse-names" : false, "suffix" : "" } ], "container-title" : "Environmental Science and Technology", "id" : "ITEM-1", "issue" : "24", "issued" : { "date-parts" : [ [ "2004" ] ] }, "page" : "6832-6838", "title" : "Antibiotics in the environment: Occurrence in Italian STPs, fate, and preliminary assessment on algal toxicity of amoxicillin", "type" : "article-journal", "volume" : "38" }, "uris" : [ "http://www.mendeley.com/documents/?uuid=578fe39d-c578-49ae-aed8-98e922f8d30a" ] } ], "mendeley" : { "formattedCitation" : "(Andreozzi &lt;i&gt;et al.&lt;/i&gt;, 2004)", "manualFormatting" : "Andreozzi et al., 2004", "plainTextFormattedCitation" : "(Andreozzi et al., 2004)", "previouslyFormattedCitation" : "(Andreozzi &lt;i&gt;et al.&lt;/i&gt;, 2004)" }, "properties" : { "noteIndex" : 0 }, "schema" : "https://github.com/citation-style-language/schema/raw/master/csl-citation.json" }</w:instrText>
            </w:r>
            <w:r>
              <w:rPr>
                <w:sz w:val="20"/>
              </w:rPr>
              <w:fldChar w:fldCharType="separate"/>
            </w:r>
            <w:r w:rsidRPr="00EE16A9">
              <w:rPr>
                <w:noProof/>
                <w:sz w:val="20"/>
              </w:rPr>
              <w:t xml:space="preserve">Andreozzi </w:t>
            </w:r>
            <w:r w:rsidRPr="00EE16A9">
              <w:rPr>
                <w:i/>
                <w:noProof/>
                <w:sz w:val="20"/>
              </w:rPr>
              <w:t>et al.</w:t>
            </w:r>
            <w:r w:rsidRPr="00EE16A9">
              <w:rPr>
                <w:noProof/>
                <w:sz w:val="20"/>
              </w:rPr>
              <w:t>, 2004</w:t>
            </w:r>
            <w:r>
              <w:rPr>
                <w:sz w:val="20"/>
              </w:rPr>
              <w:fldChar w:fldCharType="end"/>
            </w:r>
          </w:p>
        </w:tc>
        <w:tc>
          <w:tcPr>
            <w:tcW w:w="2495" w:type="dxa"/>
          </w:tcPr>
          <w:p w:rsidR="00620BE0" w:rsidRPr="00620BE0" w:rsidRDefault="00620BE0" w:rsidP="00012440">
            <w:pPr>
              <w:cnfStyle w:val="000000000000" w:firstRow="0" w:lastRow="0" w:firstColumn="0" w:lastColumn="0" w:oddVBand="0" w:evenVBand="0" w:oddHBand="0" w:evenHBand="0" w:firstRowFirstColumn="0" w:firstRowLastColumn="0" w:lastRowFirstColumn="0" w:lastRowLastColumn="0"/>
              <w:rPr>
                <w:sz w:val="20"/>
              </w:rPr>
            </w:pPr>
          </w:p>
        </w:tc>
      </w:tr>
      <w:tr w:rsidR="00620BE0" w:rsidRPr="00620BE0" w:rsidTr="0007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620BE0" w:rsidRPr="00620BE0" w:rsidRDefault="00620BE0" w:rsidP="00012440">
            <w:pPr>
              <w:rPr>
                <w:sz w:val="20"/>
              </w:rPr>
            </w:pPr>
            <w:r w:rsidRPr="00620BE0">
              <w:rPr>
                <w:sz w:val="20"/>
              </w:rPr>
              <w:t>Atrazine</w:t>
            </w:r>
          </w:p>
        </w:tc>
        <w:tc>
          <w:tcPr>
            <w:tcW w:w="1985"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250 ng/L</w:t>
            </w:r>
          </w:p>
        </w:tc>
        <w:tc>
          <w:tcPr>
            <w:tcW w:w="2268" w:type="dxa"/>
            <w:tcBorders>
              <w:top w:val="none" w:sz="0" w:space="0" w:color="auto"/>
              <w:bottom w:val="none" w:sz="0" w:space="0" w:color="auto"/>
            </w:tcBorders>
          </w:tcPr>
          <w:p w:rsidR="00620BE0" w:rsidRPr="00620BE0" w:rsidRDefault="00EE16A9"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"10.1016/j.watres.2010.05.032", "ISBN" : "1879-2448 (Electronic)\\r0043-1354 (Linking)", "ISSN" : "00431354", "PMID" : "20554303", "abstract" : "This study provides the first pan-European reconnaissance of the occurrence of polar organic persistent pollutants in European ground water. In total, 164 individual ground-water samples from 23 European Countries were collected and analysed (among others) for 59 selected organic compounds, comprising pharmaceuticals, antibiotics, pesticides (and their transformation products), perfluorinated acids (PFAs), benzotriazoles, hormones, alkylphenolics (endocrine disrupters), Caffeine, Diethyltoluamide (DEET), and Triclosan. The most relevant compounds in terms of frequency of detection and maximum concentrations detected were DEET (84%; 454 ng/L), Caffeine (83%; 189 ng/L), PFOA (66%; 39 ng/L), Atrazine (56%; 253 ng/L), Desethylatrazine (55%; 487 ng/L), 1H-Benzotriazole (53%; 1032 ng/L), Methylbenzotriazole (52%; 516 ng/L), Desethylterbutylazine (49%; 266 ng/L), PFOS (48%, 135 ng/L), Simazine (43%; 127 ng/L), Carbamazepine (42%; 390 ng/L), nonylphenoxy acetic acid (NPE1C) (42%; 11 \u03bcg/L), Bisphenol A (40%; 2.3 \u03bcg/L), PFHxS (35%; 19 ng/L), Terbutylazine (34%; 716 ng/L), Bentazone (32%; 11 \u03bcg/L), Propazine (32%; 25 ng/L), PFHpA (30%; 21 ng/L), 2,4-Dinitrophenol (29%; 122 ng/L), Diuron (29%; 279 ng/L), and Sulfamethoxazole (24%; 38 ng/L). The chemicals which were detected most frequently above the European ground water quality standard for pesticides of 0.1 \u03bcg/L were Chloridazon-desphenyl (26 samples), NPE1C (20), Bisphenol A (12), Benzotriazole (8), N,N'-Dimethylsulfamid (DMS) (8), Desethylatrazine (6), Nonylphenol (6), Chloridazon-methyldesphenyl (6), Methylbenzotriazole (5), Carbamazepine (4), and Bentazone (4). However, only 1.7% of all single analytical measurements (in total \u0302 8000) were above this threshold value of 0.1 \u03bcg/L; 7.3% were &gt; than 10 ng/L. \u00a9 2010 Elsevier Ltd.", "author" : [ { "dropping-particle" : "", "family" : "Loos", "given" : "Robert", "non-dropping-particle" : "", "parse-names" : false, "suffix" : "" }, { "dropping-particle" : "", "family" : "Locoro", "given" : "Giovanni", "non-dropping-particle" : "", "parse-names" : false, "suffix" : "" }, { "dropping-particle" : "", "family" : "Comero", "given" : "Sara", "non-dropping-particle" : "", "parse-names" : false, "suffix" : "" }, { "dropping-particle" : "", "family" : "Contini", "given" : "Serafino", "non-dropping-particle" : "", "parse-names" : false, "suffix" : "" }, { "dropping-particle" : "", "family" : "Schwesig", "given" : "David", "non-dropping-particle" : "", "parse-names" : false, "suffix" : "" }, { "dropping-particle" : "", "family" : "Werres", "given" : "Friedrich", "non-dropping-particle" : "", "parse-names" : false, "suffix" : "" }, { "dropping-particle" : "", "family" : "Balsaa", "given" : "Peter", "non-dropping-particle" : "", "parse-names" : false, "suffix" : "" }, { "dropping-particle" : "", "family" : "Gans", "given" : "Oliver", "non-dropping-particle" : "", "parse-names" : false, "suffix" : "" }, { "dropping-particle" : "", "family" : "Weiss", "given" : "Stefan", "non-dropping-particle" : "", "parse-names" : false, "suffix" : "" }, { "dropping-particle" : "", "family" : "Blaha", "given" : "Ludek", "non-dropping-particle" : "", "parse-names" : false, "suffix" : "" }, { "dropping-particle" : "", "family" : "Bolchi", "given" : "Monica", "non-dropping-particle" : "", "parse-names" : false, "suffix" : "" }, { "dropping-particle" : "", "family" : "Gawlik", "given" : "Bernd Manfred", "non-dropping-particle" : "", "parse-names" : false, "suffix" : "" } ], "container-title" : "Water Research", "id" : "ITEM-1", "issue" : "14", "issued" : { "date-parts" : [ [ "2010" ] ] }, "page" : "4115-4126", "publisher" : "Elsevier Ltd", "title" : "Pan-European survey on the occurrence of selected polar organic persistent pollutants in ground water", "type" : "article-journal", "volume" : "44" }, "uris" : [ "http://www.mendeley.com/documents/?uuid=13b22a0e-007e-4ad1-a78a-e49e0ffe45d3" ] } ], "mendeley" : { "formattedCitation" : "(Loos &lt;i&gt;et al.&lt;/i&gt;, 2010)", "manualFormatting" : "Loos et al., 2010", "plainTextFormattedCitation" : "(Loos et al., 2010)", "previouslyFormattedCitation" : "(Loos &lt;i&gt;et al.&lt;/i&gt;, 2010)" }, "properties" : { "noteIndex" : 0 }, "schema" : "https://github.com/citation-style-language/schema/raw/master/csl-citation.json" }</w:instrText>
            </w:r>
            <w:r>
              <w:rPr>
                <w:sz w:val="20"/>
              </w:rPr>
              <w:fldChar w:fldCharType="separate"/>
            </w:r>
            <w:r w:rsidRPr="00EE16A9">
              <w:rPr>
                <w:noProof/>
                <w:sz w:val="20"/>
              </w:rPr>
              <w:t xml:space="preserve">Loos </w:t>
            </w:r>
            <w:r w:rsidRPr="00EE16A9">
              <w:rPr>
                <w:i/>
                <w:noProof/>
                <w:sz w:val="20"/>
              </w:rPr>
              <w:t>et al.</w:t>
            </w:r>
            <w:r w:rsidRPr="00EE16A9">
              <w:rPr>
                <w:noProof/>
                <w:sz w:val="20"/>
              </w:rPr>
              <w:t>, 2010</w:t>
            </w:r>
            <w:r>
              <w:rPr>
                <w:sz w:val="20"/>
              </w:rPr>
              <w:fldChar w:fldCharType="end"/>
            </w:r>
          </w:p>
        </w:tc>
        <w:tc>
          <w:tcPr>
            <w:tcW w:w="2495" w:type="dxa"/>
            <w:tcBorders>
              <w:top w:val="none" w:sz="0" w:space="0" w:color="auto"/>
              <w:bottom w:val="none" w:sz="0" w:space="0" w:color="auto"/>
            </w:tcBorders>
          </w:tcPr>
          <w:p w:rsidR="00620BE0" w:rsidRPr="00620BE0" w:rsidRDefault="000D0BDD" w:rsidP="00012440">
            <w:pPr>
              <w:cnfStyle w:val="000000100000" w:firstRow="0" w:lastRow="0" w:firstColumn="0" w:lastColumn="0" w:oddVBand="0" w:evenVBand="0" w:oddHBand="1" w:evenHBand="0" w:firstRowFirstColumn="0" w:firstRowLastColumn="0" w:lastRowFirstColumn="0" w:lastRowLastColumn="0"/>
              <w:rPr>
                <w:sz w:val="20"/>
              </w:rPr>
            </w:pPr>
            <w:r>
              <w:rPr>
                <w:sz w:val="20"/>
              </w:rPr>
              <w:t>Powder, analytical</w:t>
            </w:r>
          </w:p>
        </w:tc>
      </w:tr>
      <w:tr w:rsidR="00620BE0" w:rsidRPr="00620BE0" w:rsidTr="000773BC">
        <w:tc>
          <w:tcPr>
            <w:cnfStyle w:val="001000000000" w:firstRow="0" w:lastRow="0" w:firstColumn="1" w:lastColumn="0" w:oddVBand="0" w:evenVBand="0" w:oddHBand="0" w:evenHBand="0" w:firstRowFirstColumn="0" w:firstRowLastColumn="0" w:lastRowFirstColumn="0" w:lastRowLastColumn="0"/>
            <w:tcW w:w="2268" w:type="dxa"/>
          </w:tcPr>
          <w:p w:rsidR="00620BE0" w:rsidRPr="00620BE0" w:rsidRDefault="00620BE0" w:rsidP="00012440">
            <w:pPr>
              <w:rPr>
                <w:sz w:val="20"/>
              </w:rPr>
            </w:pPr>
            <w:r w:rsidRPr="00620BE0">
              <w:rPr>
                <w:sz w:val="20"/>
              </w:rPr>
              <w:t>Metaldehyde</w:t>
            </w:r>
          </w:p>
        </w:tc>
        <w:tc>
          <w:tcPr>
            <w:tcW w:w="1985"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500 ng/L</w:t>
            </w:r>
          </w:p>
        </w:tc>
        <w:tc>
          <w:tcPr>
            <w:tcW w:w="2268" w:type="dxa"/>
          </w:tcPr>
          <w:p w:rsidR="00620BE0" w:rsidRPr="00620BE0" w:rsidRDefault="00EE16A9"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"10.1111/wej.12056", "ISBN" : "1747-6593", "ISSN" : "17476593", "abstract" : "The presence of metaldehyde in raw and treated water has become a recognised problem recently. The current study used water industry monitoring data collected over a two and a half-year period (2008\u20132011) to quantify the presence of metaldehyde in rivers and finished waters. Measured surface water concentrations were then compared with catchment characteristics in an attempt to identify those factors driving losses of the pesticide to water. An assessment was also made of the robustness of the monitoring strategy used, which was assumed to represent typical water industry practice, and is currently being used to develop catchment management plans. It was found that exceedance of the European Union pesticide standard (0.1 \u03bcg/L) during the October\u2013December slug pellet application period is commonplace. Peak concentrations were generally in the 0.4\u20130.6 \u03bcg/L range although sometimes were an order of magnitude higher.", "author" : [ { "dropping-particle" : "", "family" : "Kay", "given" : "Paul", "non-dropping-particle" : "", "parse-names" : false, "suffix" : "" }, { "dropping-particle" : "", "family" : "Grayson", "given" : "Richard", "non-dropping-particle" : "", "parse-names" : false, "suffix" : "" } ], "container-title" : "Water and Environment Journal", "id" : "ITEM-1", "issue" : "3", "issued" : { "date-parts" : [ [ "2014" ] ] }, "page" : "410-417", "title" : "Using water industry data to assess the metaldehyde pollution problem", "type" : "article-journal", "volume" : "28" }, "uris" : [ "http://www.mendeley.com/documents/?uuid=67b146c9-ae6e-4144-8045-818695b67ce7" ] } ], "mendeley" : { "formattedCitation" : "(Kay and Grayson, 2014)", "manualFormatting" : "Kay and Grayson, 2014", "plainTextFormattedCitation" : "(Kay and Grayson, 2014)", "previouslyFormattedCitation" : "(Kay and Grayson, 2014)" }, "properties" : { "noteIndex" : 0 }, "schema" : "https://github.com/citation-style-language/schema/raw/master/csl-citation.json" }</w:instrText>
            </w:r>
            <w:r>
              <w:rPr>
                <w:sz w:val="20"/>
              </w:rPr>
              <w:fldChar w:fldCharType="separate"/>
            </w:r>
            <w:r w:rsidRPr="00EE16A9">
              <w:rPr>
                <w:noProof/>
                <w:sz w:val="20"/>
              </w:rPr>
              <w:t>Kay and Grayson, 2014</w:t>
            </w:r>
            <w:r>
              <w:rPr>
                <w:sz w:val="20"/>
              </w:rPr>
              <w:fldChar w:fldCharType="end"/>
            </w:r>
          </w:p>
        </w:tc>
        <w:tc>
          <w:tcPr>
            <w:tcW w:w="2495" w:type="dxa"/>
          </w:tcPr>
          <w:p w:rsidR="00620BE0" w:rsidRPr="00620BE0"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Powder, analytical? </w:t>
            </w:r>
          </w:p>
        </w:tc>
      </w:tr>
      <w:tr w:rsidR="00620BE0" w:rsidRPr="00620BE0" w:rsidTr="0007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620BE0" w:rsidRPr="00620BE0" w:rsidRDefault="00620BE0" w:rsidP="00012440">
            <w:pPr>
              <w:rPr>
                <w:sz w:val="20"/>
              </w:rPr>
            </w:pPr>
            <w:r w:rsidRPr="00620BE0">
              <w:rPr>
                <w:sz w:val="20"/>
              </w:rPr>
              <w:t>Copper</w:t>
            </w:r>
          </w:p>
        </w:tc>
        <w:tc>
          <w:tcPr>
            <w:tcW w:w="1985"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20 mg/kg</w:t>
            </w:r>
          </w:p>
        </w:tc>
        <w:tc>
          <w:tcPr>
            <w:tcW w:w="2268" w:type="dxa"/>
            <w:tcBorders>
              <w:top w:val="none" w:sz="0" w:space="0" w:color="auto"/>
              <w:bottom w:val="none" w:sz="0" w:space="0" w:color="auto"/>
            </w:tcBorders>
          </w:tcPr>
          <w:p w:rsidR="00620BE0" w:rsidRPr="00620BE0" w:rsidRDefault="00D23EAC"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Borders>
              <w:top w:val="none" w:sz="0" w:space="0" w:color="auto"/>
              <w:bottom w:val="none" w:sz="0" w:space="0" w:color="auto"/>
            </w:tcBorders>
          </w:tcPr>
          <w:p w:rsidR="00620BE0" w:rsidRPr="00620BE0" w:rsidRDefault="000D0BDD" w:rsidP="00012440">
            <w:pPr>
              <w:cnfStyle w:val="000000100000" w:firstRow="0" w:lastRow="0" w:firstColumn="0" w:lastColumn="0" w:oddVBand="0" w:evenVBand="0" w:oddHBand="1" w:evenHBand="0" w:firstRowFirstColumn="0" w:firstRowLastColumn="0" w:lastRowFirstColumn="0" w:lastRowLastColumn="0"/>
              <w:rPr>
                <w:sz w:val="20"/>
              </w:rPr>
            </w:pPr>
            <w:r>
              <w:rPr>
                <w:sz w:val="20"/>
              </w:rPr>
              <w:t>Cu</w:t>
            </w:r>
            <w:r w:rsidR="000773BC">
              <w:rPr>
                <w:sz w:val="20"/>
              </w:rPr>
              <w:t>(II)</w:t>
            </w:r>
            <w:r>
              <w:rPr>
                <w:sz w:val="20"/>
              </w:rPr>
              <w:t>Cl</w:t>
            </w:r>
            <w:r w:rsidRPr="000D0BDD">
              <w:rPr>
                <w:sz w:val="20"/>
                <w:vertAlign w:val="subscript"/>
              </w:rPr>
              <w:t>2</w:t>
            </w:r>
            <w:r>
              <w:rPr>
                <w:sz w:val="20"/>
              </w:rPr>
              <w:t xml:space="preserve">, </w:t>
            </w:r>
            <w:r w:rsidR="000773BC">
              <w:rPr>
                <w:sz w:val="20"/>
              </w:rPr>
              <w:t>dihydrate</w:t>
            </w:r>
            <w:r>
              <w:rPr>
                <w:sz w:val="20"/>
              </w:rPr>
              <w:t xml:space="preserve"> (9</w:t>
            </w:r>
            <w:r w:rsidR="000773BC">
              <w:rPr>
                <w:sz w:val="20"/>
              </w:rPr>
              <w:t>9</w:t>
            </w:r>
            <w:r>
              <w:rPr>
                <w:sz w:val="20"/>
              </w:rPr>
              <w:t>%)</w:t>
            </w:r>
          </w:p>
        </w:tc>
      </w:tr>
      <w:tr w:rsidR="00620BE0" w:rsidRPr="00620BE0" w:rsidTr="000773BC">
        <w:tc>
          <w:tcPr>
            <w:cnfStyle w:val="001000000000" w:firstRow="0" w:lastRow="0" w:firstColumn="1" w:lastColumn="0" w:oddVBand="0" w:evenVBand="0" w:oddHBand="0" w:evenHBand="0" w:firstRowFirstColumn="0" w:firstRowLastColumn="0" w:lastRowFirstColumn="0" w:lastRowLastColumn="0"/>
            <w:tcW w:w="2268" w:type="dxa"/>
          </w:tcPr>
          <w:p w:rsidR="00620BE0" w:rsidRPr="00620BE0" w:rsidRDefault="00620BE0" w:rsidP="00012440">
            <w:pPr>
              <w:rPr>
                <w:sz w:val="20"/>
              </w:rPr>
            </w:pPr>
            <w:r w:rsidRPr="00620BE0">
              <w:rPr>
                <w:sz w:val="20"/>
              </w:rPr>
              <w:t>Nickel</w:t>
            </w:r>
          </w:p>
        </w:tc>
        <w:tc>
          <w:tcPr>
            <w:tcW w:w="1985"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20 mg/kg</w:t>
            </w:r>
          </w:p>
        </w:tc>
        <w:tc>
          <w:tcPr>
            <w:tcW w:w="2268" w:type="dxa"/>
          </w:tcPr>
          <w:p w:rsidR="00620BE0" w:rsidRPr="00620BE0" w:rsidRDefault="00D23EAC"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Pr>
          <w:p w:rsidR="00620BE0" w:rsidRPr="000D0BDD"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Ni</w:t>
            </w:r>
            <w:r w:rsidR="000773BC">
              <w:rPr>
                <w:sz w:val="20"/>
              </w:rPr>
              <w:t>(II)</w:t>
            </w:r>
            <w:r>
              <w:rPr>
                <w:sz w:val="20"/>
              </w:rPr>
              <w:t>Cl</w:t>
            </w:r>
            <w:r w:rsidRPr="000D0BDD">
              <w:rPr>
                <w:sz w:val="20"/>
                <w:vertAlign w:val="subscript"/>
              </w:rPr>
              <w:t>2</w:t>
            </w:r>
            <w:r>
              <w:rPr>
                <w:sz w:val="20"/>
              </w:rPr>
              <w:t>, anhydrous (98%)</w:t>
            </w:r>
          </w:p>
        </w:tc>
      </w:tr>
      <w:tr w:rsidR="00620BE0" w:rsidRPr="00620BE0" w:rsidTr="0007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620BE0" w:rsidRPr="00620BE0" w:rsidRDefault="00620BE0" w:rsidP="00012440">
            <w:pPr>
              <w:rPr>
                <w:sz w:val="20"/>
              </w:rPr>
            </w:pPr>
            <w:r>
              <w:rPr>
                <w:sz w:val="20"/>
              </w:rPr>
              <w:t>Benzo[a]pyrene</w:t>
            </w:r>
          </w:p>
        </w:tc>
        <w:tc>
          <w:tcPr>
            <w:tcW w:w="1985"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200 μg/kg</w:t>
            </w:r>
          </w:p>
        </w:tc>
        <w:tc>
          <w:tcPr>
            <w:tcW w:w="2268" w:type="dxa"/>
            <w:tcBorders>
              <w:top w:val="none" w:sz="0" w:space="0" w:color="auto"/>
              <w:bottom w:val="none" w:sz="0" w:space="0" w:color="auto"/>
            </w:tcBorders>
          </w:tcPr>
          <w:p w:rsidR="00620BE0" w:rsidRPr="00620BE0" w:rsidRDefault="00D23EAC"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Solution in acetone</w:t>
            </w:r>
          </w:p>
        </w:tc>
      </w:tr>
      <w:tr w:rsidR="00620BE0" w:rsidRPr="00620BE0" w:rsidTr="000773BC">
        <w:tc>
          <w:tcPr>
            <w:cnfStyle w:val="001000000000" w:firstRow="0" w:lastRow="0" w:firstColumn="1" w:lastColumn="0" w:oddVBand="0" w:evenVBand="0" w:oddHBand="0" w:evenHBand="0" w:firstRowFirstColumn="0" w:firstRowLastColumn="0" w:lastRowFirstColumn="0" w:lastRowLastColumn="0"/>
            <w:tcW w:w="2268" w:type="dxa"/>
          </w:tcPr>
          <w:p w:rsidR="00620BE0" w:rsidRPr="00620BE0" w:rsidRDefault="00620BE0" w:rsidP="00012440">
            <w:pPr>
              <w:rPr>
                <w:sz w:val="20"/>
              </w:rPr>
            </w:pPr>
            <w:r>
              <w:rPr>
                <w:sz w:val="20"/>
              </w:rPr>
              <w:t>Benzene</w:t>
            </w:r>
          </w:p>
        </w:tc>
        <w:tc>
          <w:tcPr>
            <w:tcW w:w="1985"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200 μg/kg</w:t>
            </w:r>
          </w:p>
        </w:tc>
        <w:tc>
          <w:tcPr>
            <w:tcW w:w="2268" w:type="dxa"/>
          </w:tcPr>
          <w:p w:rsidR="00620BE0" w:rsidRPr="00620BE0" w:rsidRDefault="00D23EAC"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Pr>
          <w:p w:rsidR="00620BE0" w:rsidRPr="00620BE0"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Liquid, 99.8%</w:t>
            </w:r>
          </w:p>
        </w:tc>
      </w:tr>
    </w:tbl>
    <w:p w:rsidR="00620BE0" w:rsidRPr="00A75007" w:rsidRDefault="00A75007" w:rsidP="005A02F8">
      <w:pPr>
        <w:rPr>
          <w:i/>
          <w:sz w:val="20"/>
        </w:rPr>
      </w:pPr>
      <w:r w:rsidRPr="00A75007">
        <w:rPr>
          <w:i/>
          <w:sz w:val="20"/>
        </w:rPr>
        <w:t>Table B: Stressors, environmental concentrations, states and qualities.</w:t>
      </w:r>
    </w:p>
    <w:p w:rsidR="00F03307" w:rsidRDefault="00F03307" w:rsidP="00277D92">
      <w:pPr>
        <w:pStyle w:val="Heading1"/>
      </w:pPr>
      <w:r>
        <w:t>Cell Counts</w:t>
      </w:r>
    </w:p>
    <w:p w:rsidR="0045518F" w:rsidRPr="0045518F" w:rsidRDefault="0045518F" w:rsidP="0045518F">
      <w:r>
        <w:t>Immediately after isolates were exposed to stressors, plates were placed in a stacker-fed [NAME] optical density reader</w:t>
      </w:r>
      <w:r w:rsidR="00AC5D70">
        <w:t xml:space="preserve"> for 48h, agitating the wells for 5 seconds then reading absorbance at 600nm every hour. Optical density readings were converted into cell counts through the use of calibration curves generated by prior analysis performed on a [NAME] flow cytometer. </w:t>
      </w:r>
    </w:p>
    <w:p w:rsidR="00F03307" w:rsidRDefault="00F03307" w:rsidP="00277D92">
      <w:pPr>
        <w:pStyle w:val="Heading1"/>
      </w:pPr>
      <w:r>
        <w:t>Statistical Analysis</w:t>
      </w:r>
    </w:p>
    <w:p w:rsidR="001364D7" w:rsidRDefault="00A72D89" w:rsidP="001364D7">
      <w:r>
        <w:t xml:space="preserve">Optical density and flow cytometry results were processed to produce a measure of maximum slope over the course of the experiment, using a growth curve interpretation script from </w:t>
      </w:r>
      <w:r>
        <w:fldChar w:fldCharType="begin" w:fldLock="1"/>
      </w:r>
      <w:r w:rsidR="00940692">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"manualFormatting" : "Mombrikotb (2016)", "plainTextFormattedCitation" : "(Mombrikotb, 2016)", "previouslyFormattedCitation" : "(Mombrikotb, 2016)" }, "properties" : { "noteIndex" : 0 }, "schema" : "https://github.com/citation-style-language/schema/raw/master/csl-citation.json" }</w:instrText>
      </w:r>
      <w:r>
        <w:fldChar w:fldCharType="separate"/>
      </w:r>
      <w:r w:rsidRPr="00A72D89">
        <w:rPr>
          <w:noProof/>
        </w:rPr>
        <w:t xml:space="preserve">Mombrikotb </w:t>
      </w:r>
      <w:r w:rsidR="00940692">
        <w:rPr>
          <w:noProof/>
        </w:rPr>
        <w:t>(</w:t>
      </w:r>
      <w:r w:rsidRPr="00A72D89">
        <w:rPr>
          <w:noProof/>
        </w:rPr>
        <w:t>2016)</w:t>
      </w:r>
      <w:r>
        <w:fldChar w:fldCharType="end"/>
      </w:r>
      <w:r w:rsidR="00940692">
        <w:t xml:space="preserve">. </w:t>
      </w:r>
    </w:p>
    <w:p w:rsidR="000611F7" w:rsidRPr="001364D7" w:rsidRDefault="0055435E" w:rsidP="001364D7">
      <w:r>
        <w:lastRenderedPageBreak/>
        <w:t>Maximum slope was graphed against number of stressors</w:t>
      </w:r>
      <w:r w:rsidR="00567588">
        <w:t xml:space="preserve"> to produce initial graphs, while variation was modelled using linear models</w:t>
      </w:r>
      <w:r w:rsidR="00017952">
        <w:t xml:space="preserve"> with different levels of interaction (2-way, 3-way, etc.) </w:t>
      </w:r>
      <w:r w:rsidR="00567588">
        <w:t xml:space="preserve">in the standard R package </w:t>
      </w:r>
      <w:r w:rsidR="00567588">
        <w:fldChar w:fldCharType="begin" w:fldLock="1"/>
      </w:r>
      <w:r w:rsidR="00567588">
        <w:instrText>ADDIN CSL_CITATION { "citationItems" : [ { "id" : "ITEM-1", "itemData" : { "author" : [ { "dropping-particle" : "", "family" : "R Core Team", "given" : "", "non-dropping-particle" : "", "parse-names" : false, "suffix" : "" } ], "id" : "ITEM-1", "issued" : { "date-parts" : [ [ "2017" ] ] }, "publisher-place" : "Vienna, Austria", "title" : "R: A Language and Environment for Statistical Computing", "type" : "article" }, "uris" : [ "http://www.mendeley.com/documents/?uuid=537f2fe9-eeb4-425c-8008-2f6100bba91c" ] } ], "mendeley" : { "formattedCitation" : "(R Core Team, 2017)", "plainTextFormattedCitation" : "(R Core Team, 2017)" }, "properties" : { "noteIndex" : 0 }, "schema" : "https://github.com/citation-style-language/schema/raw/master/csl-citation.json" }</w:instrText>
      </w:r>
      <w:r w:rsidR="00567588">
        <w:fldChar w:fldCharType="separate"/>
      </w:r>
      <w:r w:rsidR="00567588" w:rsidRPr="00567588">
        <w:rPr>
          <w:noProof/>
        </w:rPr>
        <w:t>(R Core Team, 2017)</w:t>
      </w:r>
      <w:r w:rsidR="00567588">
        <w:fldChar w:fldCharType="end"/>
      </w:r>
      <w:r w:rsidR="00017952">
        <w:t>. Models were compared using ANOVA to determine how well they explained observed variation.</w:t>
      </w:r>
      <w:bookmarkStart w:id="0" w:name="_GoBack"/>
      <w:bookmarkEnd w:id="0"/>
    </w:p>
    <w:sectPr w:rsidR="000611F7" w:rsidRPr="0013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6620"/>
    <w:multiLevelType w:val="hybridMultilevel"/>
    <w:tmpl w:val="A8CAF1B2"/>
    <w:lvl w:ilvl="0" w:tplc="EAE0446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41"/>
    <w:rsid w:val="0000308B"/>
    <w:rsid w:val="00011BB1"/>
    <w:rsid w:val="0001644A"/>
    <w:rsid w:val="00017952"/>
    <w:rsid w:val="0004463E"/>
    <w:rsid w:val="000552E5"/>
    <w:rsid w:val="000611F7"/>
    <w:rsid w:val="000773BC"/>
    <w:rsid w:val="00081477"/>
    <w:rsid w:val="000820B9"/>
    <w:rsid w:val="000B75C7"/>
    <w:rsid w:val="000C4873"/>
    <w:rsid w:val="000D0172"/>
    <w:rsid w:val="000D0BDD"/>
    <w:rsid w:val="0010465C"/>
    <w:rsid w:val="00104F33"/>
    <w:rsid w:val="0012215C"/>
    <w:rsid w:val="0012501D"/>
    <w:rsid w:val="001301D6"/>
    <w:rsid w:val="001360BB"/>
    <w:rsid w:val="001364D7"/>
    <w:rsid w:val="001408F6"/>
    <w:rsid w:val="001409C2"/>
    <w:rsid w:val="0015272F"/>
    <w:rsid w:val="0017381B"/>
    <w:rsid w:val="001801D9"/>
    <w:rsid w:val="001916E1"/>
    <w:rsid w:val="001B0675"/>
    <w:rsid w:val="001C7035"/>
    <w:rsid w:val="001E7E68"/>
    <w:rsid w:val="00204DD5"/>
    <w:rsid w:val="00234990"/>
    <w:rsid w:val="00251337"/>
    <w:rsid w:val="0025734E"/>
    <w:rsid w:val="00262A75"/>
    <w:rsid w:val="00265641"/>
    <w:rsid w:val="002777FC"/>
    <w:rsid w:val="00277D92"/>
    <w:rsid w:val="00281713"/>
    <w:rsid w:val="002C6AB5"/>
    <w:rsid w:val="0032265D"/>
    <w:rsid w:val="00331AE2"/>
    <w:rsid w:val="003662EC"/>
    <w:rsid w:val="0037585A"/>
    <w:rsid w:val="00386C98"/>
    <w:rsid w:val="003A7E82"/>
    <w:rsid w:val="003B07A1"/>
    <w:rsid w:val="003B3C0F"/>
    <w:rsid w:val="003C7FC1"/>
    <w:rsid w:val="003E6C62"/>
    <w:rsid w:val="00422BC2"/>
    <w:rsid w:val="0045518F"/>
    <w:rsid w:val="00480382"/>
    <w:rsid w:val="00483606"/>
    <w:rsid w:val="00484255"/>
    <w:rsid w:val="004B4E41"/>
    <w:rsid w:val="004D632C"/>
    <w:rsid w:val="004E3735"/>
    <w:rsid w:val="004E74DB"/>
    <w:rsid w:val="0055435E"/>
    <w:rsid w:val="00567588"/>
    <w:rsid w:val="005A02F8"/>
    <w:rsid w:val="005A4B07"/>
    <w:rsid w:val="005A5E50"/>
    <w:rsid w:val="005F1E11"/>
    <w:rsid w:val="00607063"/>
    <w:rsid w:val="00612F99"/>
    <w:rsid w:val="00620BE0"/>
    <w:rsid w:val="00633BBE"/>
    <w:rsid w:val="00656171"/>
    <w:rsid w:val="006567C0"/>
    <w:rsid w:val="00656955"/>
    <w:rsid w:val="006640BF"/>
    <w:rsid w:val="0066692B"/>
    <w:rsid w:val="006B2C3A"/>
    <w:rsid w:val="006B4A3B"/>
    <w:rsid w:val="006F3175"/>
    <w:rsid w:val="0070143E"/>
    <w:rsid w:val="007365FF"/>
    <w:rsid w:val="00740454"/>
    <w:rsid w:val="00744FC4"/>
    <w:rsid w:val="007524ED"/>
    <w:rsid w:val="007859C7"/>
    <w:rsid w:val="007861EA"/>
    <w:rsid w:val="00792ED3"/>
    <w:rsid w:val="00796C61"/>
    <w:rsid w:val="007A41C0"/>
    <w:rsid w:val="007D2F58"/>
    <w:rsid w:val="007E0D87"/>
    <w:rsid w:val="007E27E5"/>
    <w:rsid w:val="00812877"/>
    <w:rsid w:val="00820A61"/>
    <w:rsid w:val="00830426"/>
    <w:rsid w:val="008308C9"/>
    <w:rsid w:val="008368AF"/>
    <w:rsid w:val="00863A0C"/>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24E8F"/>
    <w:rsid w:val="00940692"/>
    <w:rsid w:val="00960623"/>
    <w:rsid w:val="0098153F"/>
    <w:rsid w:val="0098566A"/>
    <w:rsid w:val="00993B87"/>
    <w:rsid w:val="009A2547"/>
    <w:rsid w:val="009F574E"/>
    <w:rsid w:val="00A02A26"/>
    <w:rsid w:val="00A16FB1"/>
    <w:rsid w:val="00A3251D"/>
    <w:rsid w:val="00A617D9"/>
    <w:rsid w:val="00A72D89"/>
    <w:rsid w:val="00A75007"/>
    <w:rsid w:val="00A97DC4"/>
    <w:rsid w:val="00AA6674"/>
    <w:rsid w:val="00AC5D70"/>
    <w:rsid w:val="00AF2DCE"/>
    <w:rsid w:val="00AF5864"/>
    <w:rsid w:val="00B56868"/>
    <w:rsid w:val="00BA6E83"/>
    <w:rsid w:val="00BC1A0E"/>
    <w:rsid w:val="00BC3020"/>
    <w:rsid w:val="00BC639A"/>
    <w:rsid w:val="00C03BA1"/>
    <w:rsid w:val="00C72D33"/>
    <w:rsid w:val="00C76767"/>
    <w:rsid w:val="00C84067"/>
    <w:rsid w:val="00C95CA7"/>
    <w:rsid w:val="00C97AD1"/>
    <w:rsid w:val="00CA151E"/>
    <w:rsid w:val="00CA3310"/>
    <w:rsid w:val="00CC0DF5"/>
    <w:rsid w:val="00CE6208"/>
    <w:rsid w:val="00CF33FF"/>
    <w:rsid w:val="00D23EAC"/>
    <w:rsid w:val="00D26269"/>
    <w:rsid w:val="00D33180"/>
    <w:rsid w:val="00D343E1"/>
    <w:rsid w:val="00D50A5F"/>
    <w:rsid w:val="00D745B7"/>
    <w:rsid w:val="00DA3963"/>
    <w:rsid w:val="00DA6762"/>
    <w:rsid w:val="00DB1B6C"/>
    <w:rsid w:val="00DB481A"/>
    <w:rsid w:val="00E14415"/>
    <w:rsid w:val="00E15ECF"/>
    <w:rsid w:val="00E46194"/>
    <w:rsid w:val="00E64588"/>
    <w:rsid w:val="00E97F60"/>
    <w:rsid w:val="00EA2D3E"/>
    <w:rsid w:val="00EC7971"/>
    <w:rsid w:val="00EE16A9"/>
    <w:rsid w:val="00EF0F60"/>
    <w:rsid w:val="00EF4548"/>
    <w:rsid w:val="00F03307"/>
    <w:rsid w:val="00F073C9"/>
    <w:rsid w:val="00F27800"/>
    <w:rsid w:val="00F3066B"/>
    <w:rsid w:val="00F3068C"/>
    <w:rsid w:val="00F675C4"/>
    <w:rsid w:val="00FC51C2"/>
    <w:rsid w:val="00FC72AC"/>
    <w:rsid w:val="00FE0425"/>
    <w:rsid w:val="00FF2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E980"/>
  <w15:chartTrackingRefBased/>
  <w15:docId w15:val="{52361E8A-CE19-4D53-A0C4-6C432DC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2F8"/>
    <w:pPr>
      <w:jc w:val="both"/>
    </w:pPr>
  </w:style>
  <w:style w:type="paragraph" w:styleId="Heading1">
    <w:name w:val="heading 1"/>
    <w:basedOn w:val="ListParagraph"/>
    <w:next w:val="Normal"/>
    <w:link w:val="Heading1Char"/>
    <w:uiPriority w:val="9"/>
    <w:qFormat/>
    <w:rsid w:val="00277D92"/>
    <w:pPr>
      <w:numPr>
        <w:numId w:val="1"/>
      </w:numPr>
      <w:ind w:left="284" w:hanging="284"/>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41"/>
    <w:pPr>
      <w:ind w:left="720"/>
      <w:contextualSpacing/>
    </w:pPr>
  </w:style>
  <w:style w:type="table" w:styleId="TableGrid">
    <w:name w:val="Table Grid"/>
    <w:basedOn w:val="TableNormal"/>
    <w:uiPriority w:val="39"/>
    <w:rsid w:val="0063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F20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77D9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8782">
      <w:bodyDiv w:val="1"/>
      <w:marLeft w:val="0"/>
      <w:marRight w:val="0"/>
      <w:marTop w:val="0"/>
      <w:marBottom w:val="0"/>
      <w:divBdr>
        <w:top w:val="none" w:sz="0" w:space="0" w:color="auto"/>
        <w:left w:val="none" w:sz="0" w:space="0" w:color="auto"/>
        <w:bottom w:val="none" w:sz="0" w:space="0" w:color="auto"/>
        <w:right w:val="none" w:sz="0" w:space="0" w:color="auto"/>
      </w:divBdr>
    </w:div>
    <w:div w:id="739014578">
      <w:bodyDiv w:val="1"/>
      <w:marLeft w:val="0"/>
      <w:marRight w:val="0"/>
      <w:marTop w:val="0"/>
      <w:marBottom w:val="0"/>
      <w:divBdr>
        <w:top w:val="none" w:sz="0" w:space="0" w:color="auto"/>
        <w:left w:val="none" w:sz="0" w:space="0" w:color="auto"/>
        <w:bottom w:val="none" w:sz="0" w:space="0" w:color="auto"/>
        <w:right w:val="none" w:sz="0" w:space="0" w:color="auto"/>
      </w:divBdr>
    </w:div>
    <w:div w:id="1373768120">
      <w:bodyDiv w:val="1"/>
      <w:marLeft w:val="0"/>
      <w:marRight w:val="0"/>
      <w:marTop w:val="0"/>
      <w:marBottom w:val="0"/>
      <w:divBdr>
        <w:top w:val="none" w:sz="0" w:space="0" w:color="auto"/>
        <w:left w:val="none" w:sz="0" w:space="0" w:color="auto"/>
        <w:bottom w:val="none" w:sz="0" w:space="0" w:color="auto"/>
        <w:right w:val="none" w:sz="0" w:space="0" w:color="auto"/>
      </w:divBdr>
    </w:div>
    <w:div w:id="18635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DD9F-C736-4A55-96C6-C06A5E42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4304</Words>
  <Characters>24537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8</cp:revision>
  <dcterms:created xsi:type="dcterms:W3CDTF">2018-06-25T13:18:00Z</dcterms:created>
  <dcterms:modified xsi:type="dcterms:W3CDTF">2018-06-25T15:39:00Z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