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page" w:horzAnchor="margin" w:tblpXSpec="center" w:tblpY="736"/>
        <w:tblW w:w="15021" w:type="dxa"/>
        <w:tblLook w:val="04A0" w:firstRow="1" w:lastRow="0" w:firstColumn="1" w:lastColumn="0" w:noHBand="0" w:noVBand="1"/>
      </w:tblPr>
      <w:tblGrid>
        <w:gridCol w:w="1987"/>
        <w:gridCol w:w="1778"/>
        <w:gridCol w:w="1549"/>
        <w:gridCol w:w="1883"/>
        <w:gridCol w:w="2207"/>
        <w:gridCol w:w="1628"/>
        <w:gridCol w:w="1239"/>
        <w:gridCol w:w="2750"/>
      </w:tblGrid>
      <w:tr w:rsidR="00DA7035" w14:paraId="654F0031" w14:textId="77777777" w:rsidTr="00DA703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987" w:type="dxa"/>
          </w:tcPr>
          <w:p w14:paraId="2C933DF7" w14:textId="77777777" w:rsidR="00697725" w:rsidRDefault="00697725" w:rsidP="00697725">
            <w:r>
              <w:t>Stressor</w:t>
            </w:r>
          </w:p>
        </w:tc>
        <w:tc>
          <w:tcPr>
            <w:tcW w:w="1778" w:type="dxa"/>
          </w:tcPr>
          <w:p w14:paraId="27BCF3FD"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Relevance</w:t>
            </w:r>
          </w:p>
        </w:tc>
        <w:tc>
          <w:tcPr>
            <w:tcW w:w="1549" w:type="dxa"/>
          </w:tcPr>
          <w:p w14:paraId="16E900C9"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Mechanism</w:t>
            </w:r>
          </w:p>
        </w:tc>
        <w:tc>
          <w:tcPr>
            <w:tcW w:w="1883" w:type="dxa"/>
          </w:tcPr>
          <w:p w14:paraId="03CFEAA0"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Literature</w:t>
            </w:r>
          </w:p>
        </w:tc>
        <w:tc>
          <w:tcPr>
            <w:tcW w:w="2207" w:type="dxa"/>
          </w:tcPr>
          <w:p w14:paraId="5A68BA2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Findings</w:t>
            </w:r>
          </w:p>
        </w:tc>
        <w:tc>
          <w:tcPr>
            <w:tcW w:w="1628" w:type="dxa"/>
          </w:tcPr>
          <w:p w14:paraId="7EBAC661"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Study Conc. </w:t>
            </w:r>
          </w:p>
        </w:tc>
        <w:tc>
          <w:tcPr>
            <w:tcW w:w="1239" w:type="dxa"/>
          </w:tcPr>
          <w:p w14:paraId="5E59715F"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Solvent Used</w:t>
            </w:r>
          </w:p>
        </w:tc>
        <w:tc>
          <w:tcPr>
            <w:tcW w:w="2750" w:type="dxa"/>
          </w:tcPr>
          <w:p w14:paraId="285F265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Field Conc./Applications</w:t>
            </w:r>
          </w:p>
        </w:tc>
      </w:tr>
      <w:tr w:rsidR="00DA7035" w14:paraId="15E9093C" w14:textId="77777777" w:rsidTr="00DA703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87" w:type="dxa"/>
          </w:tcPr>
          <w:p w14:paraId="76A437DC" w14:textId="679E21FB" w:rsidR="00697725" w:rsidRPr="004E1786" w:rsidRDefault="00C50484" w:rsidP="00697725">
            <w:r>
              <w:t>Chloramphenicol</w:t>
            </w:r>
          </w:p>
        </w:tc>
        <w:tc>
          <w:tcPr>
            <w:tcW w:w="1778" w:type="dxa"/>
          </w:tcPr>
          <w:p w14:paraId="14FFE797" w14:textId="6E36418A" w:rsidR="00697725" w:rsidRPr="008639EE" w:rsidRDefault="00C5048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and long-used antibiotic (bacteriostatic)</w:t>
            </w:r>
          </w:p>
        </w:tc>
        <w:tc>
          <w:tcPr>
            <w:tcW w:w="1549" w:type="dxa"/>
          </w:tcPr>
          <w:p w14:paraId="3864384A" w14:textId="2BFC5365" w:rsidR="00697725" w:rsidRPr="008639EE" w:rsidRDefault="00C5048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Inhibits protein chain elongation via peptidyl transferase</w:t>
            </w:r>
          </w:p>
        </w:tc>
        <w:tc>
          <w:tcPr>
            <w:tcW w:w="1883" w:type="dxa"/>
          </w:tcPr>
          <w:p w14:paraId="77D03DB4" w14:textId="2E229BEA" w:rsidR="00697725" w:rsidRPr="008639EE" w:rsidRDefault="00C5048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"10.1016/S0045-6535(98)00560-8", "ISSN" : "0045-6535", "abstract" : "Despite their common use the fate and effects of antibiotics in the environment are largely unknown. These compounds may enter the environment through different pathways, resulting in the contamination of waste water or fresh water, where bacteria are most likely the primarily affected organisms. In this paper the toxicity of several drugs, reflecting the most important groups of antibiotics and chemotherapeutics, towards Vibrio fischeri are presented. The chronic bioluminescence inhibition assay with Vibrio fischeri is shown to be sensitive against many of the high volume antibiotics used for veterinary purposes and in aquaculture. Thus the assay may be a valuable tool for an effects assessment and biomonitoring of these xenobiotics. The available data for both parts of the risk assessment procedure \u2014 exposure assessment and effects assessment \u2014 have to be regarded as insufficient for most antibiotics. When the available data about environmental concentrations of antibiotics are compared with their toxicity towards Vibrio fischeri, direct effects on natural microbial communities are to be expected.", "author" : [ { "dropping-particle" : "", "family" : "Backhaus", "given" : "T.", "non-dropping-particle" : "", "parse-names" : false, "suffix" : "" }, { "dropping-particle" : "", "family" : "Grimme", "given" : "L.H.", "non-dropping-particle" : "", "parse-names" : false, "suffix" : "" } ], "container-title" : "Chemosphere", "id" : "ITEM-1", "issue" : "14", "issued" : { "date-parts" : [ [ "1999", "6", "1" ] ] }, "page" : "3291-3301", "publisher" : "Pergamon", "title" : "The toxicity of antibiotic agents to the luminescent bacterium Vibrio fischeri", "type" : "article-journal", "volume" : "38" }, "uris" : [ "http://www.mendeley.com/documents/?uuid=8096c6bc-6756-37a2-a65b-b8550b405abe" ] }, { "id" : "ITEM-2", "itemData" : { "DOI" : "10.1016/J.CHEMOSPHERE.2008.11.086", "ISSN" : "0045-6535", "abstract" : "Although antibiotics have been used in large quantities for some decades, until recently the existence of these substances in the environment has received little notice. It is only in recent years that a more complex investigation of antibiotic substances has been undertaken in order to permit an assessment of the environmental risks they may pose. Within the last decade an increasing number of studies covering antibiotic input, occurrence, fate and effects have been published, but there is still a lack of understanding and knowledge about antibiotics in the aquatic environment despite the numerous studies performed. This review addresses the present state of knowledge concerning the input, occurrence, fate and effects of antibiotics in the environment. It brings up important questions that are still open, and addresses some significant issues which must be tackled in the future for a better understanding of the behavior of antibiotics in the environment, as well as the risks associated with their occurrence. Questions related to resistance in the environment that may be caused by antibiotics will be addressed in the second part.", "author" : [ { "dropping-particle" : "", "family" : "K\u00fcmmerer", "given" : "Klaus", "non-dropping-particle" : "", "parse-names" : false, "suffix" : "" } ], "container-title" : "Chemosphere", "id" : "ITEM-2", "issue" : "4", "issued" : { "date-parts" : [ [ "2009", "4", "1" ] ] }, "page" : "417-434", "publisher" : "Pergamon", "title" : "Antibiotics in the aquatic environment \u2013 A review \u2013 Part I", "type" : "article-journal", "volume" : "75" }, "uris" : [ "http://www.mendeley.com/documents/?uuid=b06c2a86-462f-3969-be7d-4a1ae8677648" ] } ], "mendeley" : { "formattedCitation" : "(Backhaus and Grimme, 1999; K\u00fcmmerer, 2009)", "plainTextFormattedCitation" : "(Backhaus and Grimme, 1999; K\u00fcmmerer, 2009)", "previouslyFormattedCitation" : "(Backhaus and Grimme, 1999; K\u00fcmmerer, 2009)" }, "properties" : {  }, "schema" : "https://github.com/citation-style-language/schema/raw/master/csl-citation.json" }</w:instrText>
            </w:r>
            <w:r>
              <w:rPr>
                <w:sz w:val="18"/>
                <w:szCs w:val="18"/>
              </w:rPr>
              <w:fldChar w:fldCharType="separate"/>
            </w:r>
            <w:r w:rsidRPr="00C50484">
              <w:rPr>
                <w:noProof/>
                <w:sz w:val="18"/>
                <w:szCs w:val="18"/>
              </w:rPr>
              <w:t>(Backhaus and Grimme, 1999; Kümmerer, 2009)</w:t>
            </w:r>
            <w:r>
              <w:rPr>
                <w:sz w:val="18"/>
                <w:szCs w:val="18"/>
              </w:rPr>
              <w:fldChar w:fldCharType="end"/>
            </w:r>
          </w:p>
        </w:tc>
        <w:tc>
          <w:tcPr>
            <w:tcW w:w="2207" w:type="dxa"/>
          </w:tcPr>
          <w:p w14:paraId="0ADC25E5" w14:textId="5FA531DB" w:rsidR="00697725" w:rsidRPr="003249C8" w:rsidRDefault="003249C8"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Toxic to </w:t>
            </w:r>
            <w:r w:rsidRPr="003249C8">
              <w:rPr>
                <w:i/>
                <w:sz w:val="18"/>
                <w:szCs w:val="18"/>
              </w:rPr>
              <w:t xml:space="preserve">V. </w:t>
            </w:r>
            <w:proofErr w:type="spellStart"/>
            <w:r w:rsidRPr="003249C8">
              <w:rPr>
                <w:i/>
                <w:sz w:val="18"/>
                <w:szCs w:val="18"/>
              </w:rPr>
              <w:t>fischeri</w:t>
            </w:r>
            <w:proofErr w:type="spellEnd"/>
            <w:r>
              <w:rPr>
                <w:sz w:val="18"/>
                <w:szCs w:val="18"/>
              </w:rPr>
              <w:t xml:space="preserve"> over chronic (24h) exposures</w:t>
            </w:r>
          </w:p>
        </w:tc>
        <w:tc>
          <w:tcPr>
            <w:tcW w:w="1628" w:type="dxa"/>
          </w:tcPr>
          <w:p w14:paraId="30EA18E3" w14:textId="77777777" w:rsidR="00697725" w:rsidRDefault="00D02544" w:rsidP="00697725">
            <w:pPr>
              <w:cnfStyle w:val="000000100000" w:firstRow="0" w:lastRow="0" w:firstColumn="0" w:lastColumn="0" w:oddVBand="0" w:evenVBand="0" w:oddHBand="1" w:evenHBand="0" w:firstRowFirstColumn="0" w:firstRowLastColumn="0" w:lastRowFirstColumn="0" w:lastRowLastColumn="0"/>
              <w:rPr>
                <w:sz w:val="18"/>
                <w:szCs w:val="18"/>
                <w:vertAlign w:val="subscript"/>
              </w:rPr>
            </w:pPr>
            <w:r>
              <w:rPr>
                <w:sz w:val="18"/>
                <w:szCs w:val="18"/>
              </w:rPr>
              <w:t>EC90 – 0.129 mg.l</w:t>
            </w:r>
            <w:r w:rsidRPr="00551CA0">
              <w:rPr>
                <w:sz w:val="18"/>
                <w:szCs w:val="18"/>
                <w:vertAlign w:val="superscript"/>
              </w:rPr>
              <w:t>-1</w:t>
            </w:r>
          </w:p>
          <w:p w14:paraId="33E20C47" w14:textId="73A61A65" w:rsidR="00D02544" w:rsidRDefault="00D02544" w:rsidP="00697725">
            <w:pPr>
              <w:cnfStyle w:val="000000100000" w:firstRow="0" w:lastRow="0" w:firstColumn="0" w:lastColumn="0" w:oddVBand="0" w:evenVBand="0" w:oddHBand="1" w:evenHBand="0" w:firstRowFirstColumn="0" w:firstRowLastColumn="0" w:lastRowFirstColumn="0" w:lastRowLastColumn="0"/>
              <w:rPr>
                <w:sz w:val="18"/>
                <w:szCs w:val="18"/>
                <w:vertAlign w:val="subscript"/>
              </w:rPr>
            </w:pPr>
            <w:r>
              <w:rPr>
                <w:sz w:val="18"/>
                <w:szCs w:val="18"/>
              </w:rPr>
              <w:t>EC50 – 0.064 mg.l</w:t>
            </w:r>
            <w:r w:rsidRPr="00551CA0">
              <w:rPr>
                <w:sz w:val="18"/>
                <w:szCs w:val="18"/>
                <w:vertAlign w:val="superscript"/>
              </w:rPr>
              <w:t>-1</w:t>
            </w:r>
          </w:p>
          <w:p w14:paraId="3AA66D47" w14:textId="77297B26" w:rsidR="00D02544" w:rsidRPr="008639EE" w:rsidRDefault="00D0254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EC90 – 0.019 mg.l</w:t>
            </w:r>
            <w:r w:rsidRPr="00551CA0">
              <w:rPr>
                <w:sz w:val="18"/>
                <w:szCs w:val="18"/>
                <w:vertAlign w:val="superscript"/>
              </w:rPr>
              <w:t>-1</w:t>
            </w:r>
          </w:p>
        </w:tc>
        <w:tc>
          <w:tcPr>
            <w:tcW w:w="1239" w:type="dxa"/>
          </w:tcPr>
          <w:p w14:paraId="1DBB0148" w14:textId="5F4A9B55" w:rsidR="00697725" w:rsidRPr="008639EE" w:rsidRDefault="00D0254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Stock solution?</w:t>
            </w:r>
          </w:p>
        </w:tc>
        <w:tc>
          <w:tcPr>
            <w:tcW w:w="2750" w:type="dxa"/>
          </w:tcPr>
          <w:p w14:paraId="2A2CDB62" w14:textId="538A12EB" w:rsidR="00697725" w:rsidRPr="008639EE" w:rsidRDefault="00551CA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Up to 60 ng.l</w:t>
            </w:r>
            <w:r w:rsidRPr="00551CA0">
              <w:rPr>
                <w:sz w:val="18"/>
                <w:szCs w:val="18"/>
                <w:vertAlign w:val="superscript"/>
              </w:rPr>
              <w:t>-1</w:t>
            </w:r>
            <w:r>
              <w:rPr>
                <w:sz w:val="18"/>
                <w:szCs w:val="18"/>
              </w:rPr>
              <w:t xml:space="preserve"> in surface water</w:t>
            </w:r>
          </w:p>
        </w:tc>
      </w:tr>
      <w:tr w:rsidR="00DA7035" w14:paraId="30D74382" w14:textId="77777777" w:rsidTr="006141BB">
        <w:trPr>
          <w:trHeight w:val="276"/>
        </w:trPr>
        <w:tc>
          <w:tcPr>
            <w:cnfStyle w:val="001000000000" w:firstRow="0" w:lastRow="0" w:firstColumn="1" w:lastColumn="0" w:oddVBand="0" w:evenVBand="0" w:oddHBand="0" w:evenHBand="0" w:firstRowFirstColumn="0" w:firstRowLastColumn="0" w:lastRowFirstColumn="0" w:lastRowLastColumn="0"/>
            <w:tcW w:w="1987" w:type="dxa"/>
            <w:shd w:val="clear" w:color="auto" w:fill="E2EFD9" w:themeFill="accent6" w:themeFillTint="33"/>
          </w:tcPr>
          <w:p w14:paraId="2813F2FA" w14:textId="77777777" w:rsidR="00697725" w:rsidRDefault="00697725" w:rsidP="00697725">
            <w:r>
              <w:t>Arsenic</w:t>
            </w:r>
          </w:p>
        </w:tc>
        <w:tc>
          <w:tcPr>
            <w:tcW w:w="1778" w:type="dxa"/>
            <w:shd w:val="clear" w:color="auto" w:fill="E2EFD9" w:themeFill="accent6" w:themeFillTint="33"/>
          </w:tcPr>
          <w:p w14:paraId="205D32CB" w14:textId="7EEA9802"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Major anthropogenic stressor</w:t>
            </w:r>
            <w:r w:rsidR="004A62AF">
              <w:rPr>
                <w:sz w:val="18"/>
                <w:szCs w:val="18"/>
              </w:rPr>
              <w:t>, metalloid</w:t>
            </w:r>
          </w:p>
        </w:tc>
        <w:tc>
          <w:tcPr>
            <w:tcW w:w="1549" w:type="dxa"/>
            <w:shd w:val="clear" w:color="auto" w:fill="E2EFD9" w:themeFill="accent6" w:themeFillTint="33"/>
          </w:tcPr>
          <w:p w14:paraId="327264A6" w14:textId="5D947DAE"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Ox</w:t>
            </w:r>
            <w:r w:rsidR="00F41098">
              <w:rPr>
                <w:sz w:val="18"/>
                <w:szCs w:val="18"/>
              </w:rPr>
              <w:t>idative</w:t>
            </w:r>
            <w:r>
              <w:rPr>
                <w:sz w:val="18"/>
                <w:szCs w:val="18"/>
              </w:rPr>
              <w:t xml:space="preserve"> stress</w:t>
            </w:r>
          </w:p>
        </w:tc>
        <w:tc>
          <w:tcPr>
            <w:tcW w:w="1883" w:type="dxa"/>
            <w:shd w:val="clear" w:color="auto" w:fill="E2EFD9" w:themeFill="accent6" w:themeFillTint="33"/>
          </w:tcPr>
          <w:p w14:paraId="698BF20B"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"10.1016/J.JBIOTEC.2006.07.018", "ISSN" : "0168-1656", "abstract" : "Arsenic resistance and removal was evaluated in nine bacterial strains of marine and non-marine origins. Of the strains tested, Marinomonas communis exhibited the second-highest arsenic resistance with median effective concentration (EC50) value of 510mgAsl\u22121, and was capable of removing arsenic from culture medium amended with arsenate. Arsenic accumulation in cells amounted to 2290\u03bcgAsg\u22121 (dry weight) when incubated on medium containing 5mgAsl\u22121 of arsenate. More than half of the arsenic removed was related to metabolic activity: 45% of the arsenic was incorporated into the cytosol fraction and 10% was found in the lipid-bound fraction of the membrane, with the remaining arsenic considered to be adsorbed onto the cell surface. Potential arsenic resistance and removal were also examined in six marine and non-marine environmental water samples. Of the total bacterial colony counts, 28\u2013100% of bacteria showed arsenic resistance. Some of the bacterial consortia, especially those from seawater enriched with arsenate, exhibited higher accumulated levels of arsenic than M. communis under the same condition. These results showed that arsenic resistant and/or accumulating bacteria are widespread in the aquatic environment, and that arsenic-accumulating bacteria such as M. communis are potential candidates for bioremediation of arsenic contaminated water.", "author" : [ { "dropping-particle" : "", "family" : "Takeuchi", "given" : "Mio", "non-dropping-particle" : "", "parse-names" : false, "suffix" : "" }, { "dropping-particle" : "", "family" : "Kawahata", "given" : "Hodaka", "non-dropping-particle" : "", "parse-names" : false, "suffix" : "" }, { "dropping-particle" : "", "family" : "Gupta", "given" : "Lallan Prasad", "non-dropping-particle" : "", "parse-names" : false, "suffix" : "" }, { "dropping-particle" : "", "family" : "Kita", "given" : "Noriko", "non-dropping-particle" : "", "parse-names" : false, "suffix" : "" }, { "dropping-particle" : "", "family" : "Morishita", "given" : "Yuichi", "non-dropping-particle" : "", "parse-names" : false, "suffix" : "" }, { "dropping-particle" : "", "family" : "Ono", "given" : "Yoshiro", "non-dropping-particle" : "", "parse-names" : false, "suffix" : "" }, { "dropping-particle" : "", "family" : "Komai", "given" : "Takeshi", "non-dropping-particle" : "", "parse-names" : false, "suffix" : "" } ], "container-title" : "Journal of Biotechnology", "id" : "ITEM-1", "issue" : "3", "issued" : { "date-parts" : [ [ "2007", "1", "10" ] ] }, "page" : "434-442", "publisher" : "Elsevier", "title" : "Arsenic resistance and removal by marine and non-marine bacteria", "type" : "article-journal", "volume" : "127" }, "uris" : [ "http://www.mendeley.com/documents/?uuid=01fc1ecb-bc93-3907-819a-4fb32f9c0066" ] } ], "mendeley" : { "formattedCitation" : "(Takeuchi &lt;i&gt;et al.&lt;/i&gt;, 2007)", "plainTextFormattedCitation" : "(Takeuchi et al., 2007)", "previouslyFormattedCitation" : "(Takeuchi &lt;i&gt;et al.&lt;/i&gt;, 2007)" }, "properties" : {  }, "schema" : "https://github.com/citation-style-language/schema/raw/master/csl-citation.json" }</w:instrText>
            </w:r>
            <w:r>
              <w:rPr>
                <w:sz w:val="18"/>
                <w:szCs w:val="18"/>
              </w:rPr>
              <w:fldChar w:fldCharType="separate"/>
            </w:r>
            <w:r w:rsidRPr="006365A4">
              <w:rPr>
                <w:noProof/>
                <w:sz w:val="18"/>
                <w:szCs w:val="18"/>
              </w:rPr>
              <w:t xml:space="preserve">(Takeuchi </w:t>
            </w:r>
            <w:r w:rsidRPr="006365A4">
              <w:rPr>
                <w:i/>
                <w:noProof/>
                <w:sz w:val="18"/>
                <w:szCs w:val="18"/>
              </w:rPr>
              <w:t>et al.</w:t>
            </w:r>
            <w:r w:rsidRPr="006365A4">
              <w:rPr>
                <w:noProof/>
                <w:sz w:val="18"/>
                <w:szCs w:val="18"/>
              </w:rPr>
              <w:t>, 2007)</w:t>
            </w:r>
            <w:r>
              <w:rPr>
                <w:sz w:val="18"/>
                <w:szCs w:val="18"/>
              </w:rPr>
              <w:fldChar w:fldCharType="end"/>
            </w:r>
          </w:p>
          <w:p w14:paraId="38D1839C"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"abstract" : "The range of As concentrations found in natural waters is large, ranging from less than 0.5 mg l \u00c01 to more than 5000 mg l \u00c01 . Typical concentrations in freshwater are less than 10 mg l \u00c01 and frequently less than 1 mg l \u00c01 . Rarely, much higher concentrations are found, particularly in groundwater. In such areas, more than 10% of wells may be 'affected' (defined as those exceeding 50 mg l \u00c01) and in the worst cases, this figure may exceed 90%. Well-known high-As groundwater areas have been found in Argentina, Chile, Mexico, China and Hungary, and more recently in West Bengal (India), Bangladesh and Vietnam. The scale of the problem in terms of population exposed to high As con-centrations is greatest in the Bengal Basin with more than 40 million people drinking water containing 'excessive' As. These large-scale 'natural' As groundwater problem areas tend to be found in two types of environment: firstly, inland or closed basins in arid or semi-arid areas, and secondly, strongly reducing aquifers often derived from alluvium. Both environments tend to contain geologically young sediments and to be in flat, low-lying areas where groundwater flow is sluggish. Historically, these are poorly flushed aquifers and any As released from the sediments following burial has been able to accumulate in the groundwater. Arsenic-rich groundwaters are also found in geothermal areas and, on a more localised scale, in areas of mining activity and where oxidation of sulphide minerals has occurred. The As content of the aquifer materials in major problem aquifers does not appear to be exceptionally high, being normally in the range 1\u201320 mg kg \u00c01 . There appear to be two distinct 'triggers' that can lead to the release of As on a large scale. The first is the development of high pH (&gt; 8.5) conditions in semi-arid or arid environments usually as a result of the combined effects of mineral weathering and high evaporation rates. This pH change leads either to the desorption of adsorbed As (especially As(V) species) and a range of other anion-forming elements (V, B, F, Mo, Se and U) from mineral oxides, especially Fe oxides, or it prevents them from being adsorbed. The second trigger is the development of strongly reducing conditions at near-neutral pH values, leading to the desorption of As from mineral oxides and to the reductive dissolution of Fe and Mn oxides, also leading to As release. Iron (II) and As(III) are relatively abundant in these groundwaters and SO 4 concentrati\u2026", "author" : [ { "dropping-particle" : "", "family" : "Smedley", "given" : "P L", "non-dropping-particle" : "", "parse-names" : false, "suffix" : "" }, { "dropping-particle" : "", "family" : "Kinniburgh", "given" : "D G", "non-dropping-particle" : "", "parse-names" : false, "suffix" : "" } ], "container-title" : "Applied Geochemistry", "id" : "ITEM-1", "issued" : { "date-parts" : [ [ "2002" ] ] }, "page" : "517-568", "title" : "A review of the source, behaviour and distribution of arsenic in natural waters", "type" : "article-journal", "volume" : "17" }, "uris" : [ "http://www.mendeley.com/documents/?uuid=c047af57-1b27-304d-9e91-95d066ff7391" ] } ], "mendeley" : { "formattedCitation" : "(Smedley and Kinniburgh, 2002)", "plainTextFormattedCitation" : "(Smedley and Kinniburgh, 2002)", "previouslyFormattedCitation" : "(Smedley and Kinniburgh, 2002)" }, "properties" : {  }, "schema" : "https://github.com/citation-style-language/schema/raw/master/csl-citation.json" }</w:instrText>
            </w:r>
            <w:r>
              <w:rPr>
                <w:sz w:val="18"/>
                <w:szCs w:val="18"/>
              </w:rPr>
              <w:fldChar w:fldCharType="separate"/>
            </w:r>
            <w:r w:rsidRPr="00F45DCD">
              <w:rPr>
                <w:noProof/>
                <w:sz w:val="18"/>
                <w:szCs w:val="18"/>
              </w:rPr>
              <w:t>(Smedley and Kinniburgh, 2002)</w:t>
            </w:r>
            <w:r>
              <w:rPr>
                <w:sz w:val="18"/>
                <w:szCs w:val="18"/>
              </w:rPr>
              <w:fldChar w:fldCharType="end"/>
            </w:r>
          </w:p>
        </w:tc>
        <w:tc>
          <w:tcPr>
            <w:tcW w:w="2207" w:type="dxa"/>
            <w:shd w:val="clear" w:color="auto" w:fill="E2EFD9" w:themeFill="accent6" w:themeFillTint="33"/>
          </w:tcPr>
          <w:p w14:paraId="58B2DBED"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EC50 of 9 strains varied from 20-730 mg.l</w:t>
            </w:r>
            <w:r w:rsidRPr="006365A4">
              <w:rPr>
                <w:sz w:val="18"/>
                <w:szCs w:val="18"/>
                <w:vertAlign w:val="superscript"/>
              </w:rPr>
              <w:t>-1</w:t>
            </w:r>
          </w:p>
        </w:tc>
        <w:tc>
          <w:tcPr>
            <w:tcW w:w="1628" w:type="dxa"/>
            <w:shd w:val="clear" w:color="auto" w:fill="E2EFD9" w:themeFill="accent6" w:themeFillTint="33"/>
          </w:tcPr>
          <w:p w14:paraId="60ABEE49"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 5, 50, 250 mg.l</w:t>
            </w:r>
            <w:r w:rsidRPr="006365A4">
              <w:rPr>
                <w:sz w:val="18"/>
                <w:szCs w:val="18"/>
                <w:vertAlign w:val="superscript"/>
              </w:rPr>
              <w:t>-1</w:t>
            </w:r>
          </w:p>
          <w:p w14:paraId="3EE14288"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 and 750 for one strain)</w:t>
            </w:r>
          </w:p>
        </w:tc>
        <w:tc>
          <w:tcPr>
            <w:tcW w:w="1239" w:type="dxa"/>
            <w:shd w:val="clear" w:color="auto" w:fill="E2EFD9" w:themeFill="accent6" w:themeFillTint="33"/>
          </w:tcPr>
          <w:p w14:paraId="62C23757"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dH</w:t>
            </w:r>
            <w:r w:rsidRPr="006365A4">
              <w:rPr>
                <w:sz w:val="18"/>
                <w:szCs w:val="18"/>
                <w:vertAlign w:val="subscript"/>
              </w:rPr>
              <w:t>2</w:t>
            </w:r>
            <w:r>
              <w:rPr>
                <w:sz w:val="18"/>
                <w:szCs w:val="18"/>
              </w:rPr>
              <w:t>O</w:t>
            </w:r>
          </w:p>
        </w:tc>
        <w:tc>
          <w:tcPr>
            <w:tcW w:w="2750" w:type="dxa"/>
            <w:shd w:val="clear" w:color="auto" w:fill="E2EFD9" w:themeFill="accent6" w:themeFillTint="33"/>
          </w:tcPr>
          <w:p w14:paraId="46547347" w14:textId="6279E833" w:rsidR="00697725" w:rsidRPr="00F45DCD" w:rsidRDefault="000E4A86"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&lt;0.1 μg.l</w:t>
            </w:r>
            <w:r w:rsidRPr="000E4A86">
              <w:rPr>
                <w:sz w:val="18"/>
                <w:szCs w:val="18"/>
                <w:vertAlign w:val="superscript"/>
              </w:rPr>
              <w:t>-1</w:t>
            </w:r>
            <w:r w:rsidR="000D67FE">
              <w:rPr>
                <w:sz w:val="18"/>
                <w:szCs w:val="18"/>
                <w:vertAlign w:val="superscript"/>
              </w:rPr>
              <w:t xml:space="preserve"> </w:t>
            </w:r>
            <w:r w:rsidR="000D67FE">
              <w:rPr>
                <w:sz w:val="18"/>
                <w:szCs w:val="18"/>
              </w:rPr>
              <w:t>(Sunningdale Tap Water)</w:t>
            </w:r>
          </w:p>
        </w:tc>
      </w:tr>
      <w:tr w:rsidR="00DA7035" w14:paraId="3C900CA6" w14:textId="77777777" w:rsidTr="00DA703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87" w:type="dxa"/>
          </w:tcPr>
          <w:p w14:paraId="4D45AE76" w14:textId="518EB3DD" w:rsidR="00697725" w:rsidRDefault="0093508C" w:rsidP="00697725">
            <w:r>
              <w:t>Amoxycillin</w:t>
            </w:r>
          </w:p>
        </w:tc>
        <w:tc>
          <w:tcPr>
            <w:tcW w:w="1778" w:type="dxa"/>
          </w:tcPr>
          <w:p w14:paraId="0542D5B7" w14:textId="27185B7F" w:rsidR="00697725" w:rsidRPr="008639EE" w:rsidRDefault="00CF69B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antibiotic</w:t>
            </w:r>
          </w:p>
        </w:tc>
        <w:tc>
          <w:tcPr>
            <w:tcW w:w="1549" w:type="dxa"/>
          </w:tcPr>
          <w:p w14:paraId="700D6FB8" w14:textId="34238539" w:rsidR="00697725" w:rsidRPr="008639EE" w:rsidRDefault="0093508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Beta-lactam inhibition?</w:t>
            </w:r>
          </w:p>
        </w:tc>
        <w:tc>
          <w:tcPr>
            <w:tcW w:w="1883" w:type="dxa"/>
          </w:tcPr>
          <w:p w14:paraId="4E83E66C" w14:textId="3153B09B" w:rsidR="00697725" w:rsidRPr="008639EE" w:rsidRDefault="00B14AA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"10.1016/j.marpolbul.2004.10.038", "ISBN" : "0025-326X", "ISSN" : "0025326X", "PMID" : "15757723", "abstract" : "Awareness of antibiotics in wastewaters and aquatic ecosystems is growing as investigations into alternate pollutants increase and analytical techniques for detecting these chemicals improve. The presence of three antibiotics (ciprofloxacin, norfloxacin and cephalexin) was evaluated in both sewage effluent and environmental waters downstream from a sewage discharge. Bacteria cultured from the sewage bioreactor and receiving waters were tested for resistance against six antibiotics (ciprofloxacin, tetracycline, ampicillin, trimethoprim, erythromycin and trimethoprim/sulphamethoxazole) and effects of short term exposure (24 h) to antibiotics on bacterial denitrification rates were examined. Antibiotics were detected entering the sewage treatment plant with varying levels of removal during the treatment process. Antibiotics were also detected in effluent entering receiving waters and detectable 500 m from the source. Among the bacteria cultured from the sewage bioreactor, resistance was displayed against all six antibiotics tested and bacteria cultured from receiving waters were resistant against two of the antibiotics tested. Rates of denitrification were observed to decrease in response to some antibiotics and not to others, though this was only observed at concentrations exceeding those likely to be found in the environment. Findings from this preliminary research have indicated that antibiotics are entering our aquatic systems and pose a potential threat to ecosystem function and potentially human health. \u00a9 2004 Elsevier Ltd. All rights reserved.", "author" : [ { "dropping-particle" : "", "family" : "Costanzo", "given" : "Simon D.", "non-dropping-particle" : "", "parse-names" : false, "suffix" : "" }, { "dropping-particle" : "", "family" : "Murby", "given" : "John", "non-dropping-particle" : "", "parse-names" : false, "suffix" : "" }, { "dropping-particle" : "", "family" : "Bates", "given" : "John", "non-dropping-particle" : "", "parse-names" : false, "suffix" : "" } ], "container-title" : "Marine Pollution Bulletin", "id" : "ITEM-1", "issue" : "1-4", "issued" : { "date-parts" : [ [ "2005", "1", "1" ] ] }, "page" : "218-223", "publisher" : "Pergamon", "title" : "Ecosystem response to antibiotics entering the aquatic environment", "type" : "paper-conference", "volume" : "51" }, "uris" : [ "http://www.mendeley.com/documents/?uuid=7ba76c62-75db-3a70-89c8-154bbb41ceb9" ] } ], "mendeley" : { "formattedCitation" : "(Costanzo, Murby and Bates, 2005)", "plainTextFormattedCitation" : "(Costanzo, Murby and Bates, 2005)", "previouslyFormattedCitation" : "(Costanzo, Murby and Bates, 2005)" }, "properties" : {  }, "schema" : "https://github.com/citation-style-language/schema/raw/master/csl-citation.json" }</w:instrText>
            </w:r>
            <w:r>
              <w:rPr>
                <w:sz w:val="18"/>
                <w:szCs w:val="18"/>
              </w:rPr>
              <w:fldChar w:fldCharType="separate"/>
            </w:r>
            <w:r w:rsidRPr="00B14AAC">
              <w:rPr>
                <w:noProof/>
                <w:sz w:val="18"/>
                <w:szCs w:val="18"/>
              </w:rPr>
              <w:t>(Costanzo, Murby and Bates, 2005)</w:t>
            </w:r>
            <w:r>
              <w:rPr>
                <w:sz w:val="18"/>
                <w:szCs w:val="18"/>
              </w:rPr>
              <w:fldChar w:fldCharType="end"/>
            </w:r>
          </w:p>
        </w:tc>
        <w:tc>
          <w:tcPr>
            <w:tcW w:w="2207" w:type="dxa"/>
          </w:tcPr>
          <w:p w14:paraId="352B8B63" w14:textId="45E00070" w:rsidR="00697725" w:rsidRPr="008639EE" w:rsidRDefault="0093508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 evidence of resistance in </w:t>
            </w:r>
            <w:r w:rsidR="00FF64D3">
              <w:rPr>
                <w:sz w:val="18"/>
                <w:szCs w:val="18"/>
              </w:rPr>
              <w:t>sewerage o</w:t>
            </w:r>
            <w:r w:rsidR="00A24ED8">
              <w:rPr>
                <w:sz w:val="18"/>
                <w:szCs w:val="18"/>
              </w:rPr>
              <w:t>r</w:t>
            </w:r>
            <w:r w:rsidR="00FF64D3">
              <w:rPr>
                <w:sz w:val="18"/>
                <w:szCs w:val="18"/>
              </w:rPr>
              <w:t xml:space="preserve"> stream bacteria</w:t>
            </w:r>
          </w:p>
        </w:tc>
        <w:tc>
          <w:tcPr>
            <w:tcW w:w="1628" w:type="dxa"/>
          </w:tcPr>
          <w:p w14:paraId="628F19BF" w14:textId="0EE77014" w:rsidR="00697725" w:rsidRPr="008639EE" w:rsidRDefault="00FF64D3"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Significant drop in mean denitrification rates (33%) by bacteria @ </w:t>
            </w:r>
            <w:r w:rsidR="00C64BB1">
              <w:rPr>
                <w:sz w:val="18"/>
                <w:szCs w:val="18"/>
              </w:rPr>
              <w:t>1mg.l</w:t>
            </w:r>
            <w:r w:rsidR="00C64BB1" w:rsidRPr="00C64BB1">
              <w:rPr>
                <w:sz w:val="18"/>
                <w:szCs w:val="18"/>
                <w:vertAlign w:val="superscript"/>
              </w:rPr>
              <w:t>-1</w:t>
            </w:r>
          </w:p>
        </w:tc>
        <w:tc>
          <w:tcPr>
            <w:tcW w:w="1239" w:type="dxa"/>
          </w:tcPr>
          <w:p w14:paraId="26DBAADA" w14:textId="77777777" w:rsidR="00697725" w:rsidRPr="008639EE" w:rsidRDefault="00697725" w:rsidP="00697725">
            <w:pPr>
              <w:cnfStyle w:val="000000100000" w:firstRow="0" w:lastRow="0" w:firstColumn="0" w:lastColumn="0" w:oddVBand="0" w:evenVBand="0" w:oddHBand="1" w:evenHBand="0" w:firstRowFirstColumn="0" w:firstRowLastColumn="0" w:lastRowFirstColumn="0" w:lastRowLastColumn="0"/>
              <w:rPr>
                <w:sz w:val="18"/>
                <w:szCs w:val="18"/>
              </w:rPr>
            </w:pPr>
          </w:p>
        </w:tc>
        <w:tc>
          <w:tcPr>
            <w:tcW w:w="2750" w:type="dxa"/>
          </w:tcPr>
          <w:p w14:paraId="46EF1B0F" w14:textId="77777777" w:rsidR="00697725" w:rsidRDefault="004B598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 recovery from water (?)</w:t>
            </w:r>
          </w:p>
          <w:p w14:paraId="54362757" w14:textId="52F6ECF3" w:rsidR="004B5980" w:rsidRPr="008639EE" w:rsidRDefault="004B598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 output into environment, but a t</w:t>
            </w:r>
            <w:r w:rsidRPr="004B5980">
              <w:rPr>
                <w:sz w:val="18"/>
                <w:szCs w:val="18"/>
                <w:vertAlign w:val="subscript"/>
              </w:rPr>
              <w:t>90</w:t>
            </w:r>
            <w:r>
              <w:rPr>
                <w:sz w:val="18"/>
                <w:szCs w:val="18"/>
              </w:rPr>
              <w:t xml:space="preserve"> of &lt;2 days</w:t>
            </w:r>
          </w:p>
        </w:tc>
      </w:tr>
      <w:tr w:rsidR="007759B2" w14:paraId="4BFA3E93"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7D420030" w14:textId="77777777" w:rsidR="00697725" w:rsidRDefault="00697725" w:rsidP="00697725">
            <w:r>
              <w:t>Imidacloprid</w:t>
            </w:r>
          </w:p>
        </w:tc>
        <w:tc>
          <w:tcPr>
            <w:tcW w:w="1778" w:type="dxa"/>
          </w:tcPr>
          <w:p w14:paraId="680E2101"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Significant neonic (although now banned)</w:t>
            </w:r>
          </w:p>
        </w:tc>
        <w:tc>
          <w:tcPr>
            <w:tcW w:w="1549" w:type="dxa"/>
          </w:tcPr>
          <w:p w14:paraId="01150F0A"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ACh</w:t>
            </w:r>
            <w:proofErr w:type="spellEnd"/>
            <w:r>
              <w:rPr>
                <w:sz w:val="18"/>
                <w:szCs w:val="18"/>
              </w:rPr>
              <w:t xml:space="preserve"> inhibition</w:t>
            </w:r>
          </w:p>
        </w:tc>
        <w:tc>
          <w:tcPr>
            <w:tcW w:w="1883" w:type="dxa"/>
          </w:tcPr>
          <w:p w14:paraId="1FEEA6C9"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"10.1016/J.CHEMOSPHERE.2009.05.002", "ISSN" : "0045-6535", "abstract" : "The use of a very effective insecticide against sucking pests, neonicotinoid imidacloprid, has been increasing extensively. For this reason elevated concentrations are expected in aquatic environment. Despite this fact, there is still a lack of data available on its possible risk for the environment. In this study, the potential hazards of imidacloprid and its commercial product Confidor SL 200 to aquatic environment were identified by the acute and chronic toxicity assessment using bacteria Vibrio fischeri, algae Desmodesmus subspicatus, crustacean Daphnia magna, fish Danio rerio and the ready biodegradability determination. We found out, that imidacloprid was not highly toxic to tested organisms in comparison to some other environmental pollutants tested in the same experimental set-up. Among the organisms tested, water flea D. magna proved to be the most sensitive species after a short-term (48h EC50=56.6mgL\u22121) and long-term exposure (21d NOEC=1.25mgL\u22121). On the contrary, the intensified toxicity of Confidor SL 200 in comparison to analytical grade imidacloprid was observed in the case of algae and slight increase of its toxicity was detected testing daphnids and fish. The activities of cholinesterase, catalase and glutathione S-transferase of daphnids were not early biomarkers of exposure to imidacloprid and its commercial product. Imidacloprid was found persistent in water samples and not readily biodegradable in aquatic environment. Due to increased future predicted use of commercial products containing imidacloprid and the findings of this work, we recommend additional toxicity and biodegradability studies of other commercial products with imidacloprid as an active constituent.", "author" : [ { "dropping-particle" : "", "family" : "Ti\u0161ler", "given" : "Tatjana", "non-dropping-particle" : "", "parse-names" : false, "suffix" : "" }, { "dropping-particle" : "", "family" : "Jemec", "given" : "Anita", "non-dropping-particle" : "", "parse-names" : false, "suffix" : "" }, { "dropping-particle" : "", "family" : "Mozeti\u010d", "given" : "Branka", "non-dropping-particle" : "", "parse-names" : false, "suffix" : "" }, { "dropping-particle" : "", "family" : "Treb\u0161e", "given" : "Polonca", "non-dropping-particle" : "", "parse-names" : false, "suffix" : "" } ], "container-title" : "Chemosphere", "id" : "ITEM-1", "issue" : "7", "issued" : { "date-parts" : [ [ "2009", "8", "1" ] ] }, "page" : "907-914", "publisher" : "Pergamon", "title" : "Hazard identification of imidacloprid to aquatic environment", "type" : "article-journal", "volume" : "76" }, "uris" : [ "http://www.mendeley.com/documents/?uuid=7ff425e4-60f9-324b-b089-ff0bc3372f39" ] } ], "mendeley" : { "formattedCitation" : "(Ti\u0161ler &lt;i&gt;et al.&lt;/i&gt;, 2009)", "plainTextFormattedCitation" : "(Ti\u0161ler et al., 2009)", "previouslyFormattedCitation" : "(Ti\u0161ler &lt;i&gt;et al.&lt;/i&gt;, 2009)" }, "properties" : {  }, "schema" : "https://github.com/citation-style-language/schema/raw/master/csl-citation.json" }</w:instrText>
            </w:r>
            <w:r>
              <w:rPr>
                <w:sz w:val="18"/>
                <w:szCs w:val="18"/>
              </w:rPr>
              <w:fldChar w:fldCharType="separate"/>
            </w:r>
            <w:r w:rsidRPr="004634E3">
              <w:rPr>
                <w:noProof/>
                <w:sz w:val="18"/>
                <w:szCs w:val="18"/>
              </w:rPr>
              <w:t xml:space="preserve">(Tišler </w:t>
            </w:r>
            <w:r w:rsidRPr="004634E3">
              <w:rPr>
                <w:i/>
                <w:noProof/>
                <w:sz w:val="18"/>
                <w:szCs w:val="18"/>
              </w:rPr>
              <w:t>et al.</w:t>
            </w:r>
            <w:r w:rsidRPr="004634E3">
              <w:rPr>
                <w:noProof/>
                <w:sz w:val="18"/>
                <w:szCs w:val="18"/>
              </w:rPr>
              <w:t>, 2009)</w:t>
            </w:r>
            <w:r>
              <w:rPr>
                <w:sz w:val="18"/>
                <w:szCs w:val="18"/>
              </w:rPr>
              <w:fldChar w:fldCharType="end"/>
            </w:r>
          </w:p>
        </w:tc>
        <w:tc>
          <w:tcPr>
            <w:tcW w:w="2207" w:type="dxa"/>
          </w:tcPr>
          <w:p w14:paraId="218130AF" w14:textId="77777777" w:rsidR="00697725" w:rsidRPr="003179D7"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IC50 for </w:t>
            </w:r>
            <w:r w:rsidRPr="003179D7">
              <w:rPr>
                <w:i/>
                <w:sz w:val="18"/>
                <w:szCs w:val="18"/>
              </w:rPr>
              <w:t xml:space="preserve">V. </w:t>
            </w:r>
            <w:proofErr w:type="spellStart"/>
            <w:r w:rsidRPr="003179D7">
              <w:rPr>
                <w:i/>
                <w:sz w:val="18"/>
                <w:szCs w:val="18"/>
              </w:rPr>
              <w:t>fischeri</w:t>
            </w:r>
            <w:proofErr w:type="spellEnd"/>
            <w:r>
              <w:rPr>
                <w:sz w:val="18"/>
                <w:szCs w:val="18"/>
              </w:rPr>
              <w:t xml:space="preserve"> over 30 min was 61.9 mg.l</w:t>
            </w:r>
            <w:r w:rsidRPr="003179D7">
              <w:rPr>
                <w:sz w:val="18"/>
                <w:szCs w:val="18"/>
                <w:vertAlign w:val="superscript"/>
              </w:rPr>
              <w:t>-1</w:t>
            </w:r>
          </w:p>
          <w:p w14:paraId="7435695F"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p>
        </w:tc>
        <w:tc>
          <w:tcPr>
            <w:tcW w:w="1628" w:type="dxa"/>
          </w:tcPr>
          <w:p w14:paraId="4018681F" w14:textId="608CFAE6"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IC20 – 11.9</w:t>
            </w:r>
            <w:r w:rsidR="00EA728E">
              <w:rPr>
                <w:sz w:val="18"/>
                <w:szCs w:val="18"/>
              </w:rPr>
              <w:t xml:space="preserve"> mg.l</w:t>
            </w:r>
            <w:r w:rsidR="00EA728E" w:rsidRPr="003179D7">
              <w:rPr>
                <w:sz w:val="18"/>
                <w:szCs w:val="18"/>
                <w:vertAlign w:val="superscript"/>
              </w:rPr>
              <w:t>-1</w:t>
            </w:r>
          </w:p>
          <w:p w14:paraId="035F4036" w14:textId="6ABFC96C"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IC50 – 61.9</w:t>
            </w:r>
            <w:r w:rsidR="00EA728E">
              <w:rPr>
                <w:sz w:val="18"/>
                <w:szCs w:val="18"/>
              </w:rPr>
              <w:t xml:space="preserve"> mg.l</w:t>
            </w:r>
            <w:r w:rsidR="00EA728E" w:rsidRPr="003179D7">
              <w:rPr>
                <w:sz w:val="18"/>
                <w:szCs w:val="18"/>
                <w:vertAlign w:val="superscript"/>
              </w:rPr>
              <w:t>-1</w:t>
            </w:r>
          </w:p>
          <w:p w14:paraId="782F0E03" w14:textId="2516879E"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IC80 – 320</w:t>
            </w:r>
            <w:r w:rsidR="00EA728E">
              <w:rPr>
                <w:sz w:val="18"/>
                <w:szCs w:val="18"/>
              </w:rPr>
              <w:t xml:space="preserve"> mg.l</w:t>
            </w:r>
            <w:r w:rsidR="00EA728E" w:rsidRPr="003179D7">
              <w:rPr>
                <w:sz w:val="18"/>
                <w:szCs w:val="18"/>
                <w:vertAlign w:val="superscript"/>
              </w:rPr>
              <w:t>-1</w:t>
            </w:r>
          </w:p>
        </w:tc>
        <w:tc>
          <w:tcPr>
            <w:tcW w:w="1239" w:type="dxa"/>
          </w:tcPr>
          <w:p w14:paraId="40398459"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dH</w:t>
            </w:r>
            <w:r w:rsidRPr="006365A4">
              <w:rPr>
                <w:sz w:val="18"/>
                <w:szCs w:val="18"/>
                <w:vertAlign w:val="subscript"/>
              </w:rPr>
              <w:t>2</w:t>
            </w:r>
            <w:r>
              <w:rPr>
                <w:sz w:val="18"/>
                <w:szCs w:val="18"/>
              </w:rPr>
              <w:t>O</w:t>
            </w:r>
          </w:p>
        </w:tc>
        <w:tc>
          <w:tcPr>
            <w:tcW w:w="2750" w:type="dxa"/>
          </w:tcPr>
          <w:p w14:paraId="79971C86"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Severely restricted in EU since 2013</w:t>
            </w:r>
          </w:p>
          <w:p w14:paraId="352E4AD9"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 ug.l</w:t>
            </w:r>
            <w:r w:rsidRPr="00AE268D">
              <w:rPr>
                <w:sz w:val="18"/>
                <w:szCs w:val="18"/>
                <w:vertAlign w:val="superscript"/>
              </w:rPr>
              <w:t>-1</w:t>
            </w:r>
            <w:r>
              <w:rPr>
                <w:sz w:val="18"/>
                <w:szCs w:val="18"/>
              </w:rPr>
              <w:t xml:space="preserve"> is a ‘field realistic dose’</w:t>
            </w:r>
          </w:p>
        </w:tc>
      </w:tr>
      <w:tr w:rsidR="007759B2" w14:paraId="22303916" w14:textId="77777777" w:rsidTr="00DA703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87" w:type="dxa"/>
          </w:tcPr>
          <w:p w14:paraId="4BB0BAFB" w14:textId="11401204" w:rsidR="00697725" w:rsidRDefault="00803936" w:rsidP="00697725">
            <w:r>
              <w:t>Sodium</w:t>
            </w:r>
          </w:p>
        </w:tc>
        <w:tc>
          <w:tcPr>
            <w:tcW w:w="1778" w:type="dxa"/>
          </w:tcPr>
          <w:p w14:paraId="56021948" w14:textId="49E60A1C" w:rsidR="00697725" w:rsidRPr="008639EE" w:rsidRDefault="004A30F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Minor anthropogenic pollutant – but irreplaceable?</w:t>
            </w:r>
          </w:p>
        </w:tc>
        <w:tc>
          <w:tcPr>
            <w:tcW w:w="1549" w:type="dxa"/>
          </w:tcPr>
          <w:p w14:paraId="2990C0CA" w14:textId="3B05F441" w:rsidR="00697725" w:rsidRDefault="006A0205"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Osmotic stress</w:t>
            </w:r>
          </w:p>
        </w:tc>
        <w:tc>
          <w:tcPr>
            <w:tcW w:w="1883" w:type="dxa"/>
          </w:tcPr>
          <w:p w14:paraId="3140D2DC" w14:textId="6109A504" w:rsidR="00697725" w:rsidRPr="008639EE" w:rsidRDefault="00803936"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"10.1016/j.chemosphere.2016.12.121", "ISBN" : "0045-6535", "ISSN" : "18791298", "PMID" : "28068568", "abstract" : "Benthic communities in the aquatic ecosystem are influenced by both natural and anthropogenic stressors. To understand the ecogenomic responses of sediment communities to the multiple stressors of polluted environments, the bacteria, protistan and metazoan communities in sediments from marine and adjacent riverine areas of North Bohai Sea were characterized by environmental DNA meta-systematics, and their associations with environmental variables were assessed by multiple statistical approaches. The bacterial communities were dominated by Firmicutes (mean 22.4%), Proteobacteria (mean 21.6%) and Actinobacteria (mean 21.5%). The protistan communities were dominated by Ochrophyta (33.7%), Cercozoa (18.9%) and Ciliophora (17.9%). Arthropoda (71.1%) dominated the metazoan communities in sediments. The structures of communities in sediments were shaped by both natural variables (spatial variability and/or salinity (presented as Na and Ca)) and anthropogenic contaminants, including DDTs, PAHs or metals (Cu, Al, Co, Cr, Cu, Fe, K, Mg, Mn, Ni and Zn). Particularly, the correlation network of multiple communities was modulated by the concentrations of Na and DDTs at the family level. Overall, environmental DNA meta-systematics can provide a powerful tool for biomonitoring, sediment quality assessment, and key stressors identification.", "author" : [ { "dropping-particle" : "", "family" : "Xie", "given" : "Yuwei", "non-dropping-particle" : "", "parse-names" : false, "suffix" : "" }, { "dropping-particle" : "", "family" : "Hong", "given" : "Seongjin", "non-dropping-particle" : "", "parse-names" : false, "suffix" : "" }, { "dropping-particle" : "", "family" : "Kim", "given" : "Seonjin", "non-dropping-particle" : "", "parse-names" : false, "suffix" : "" }, { "dropping-particle" : "", "family" : "Zhang", "given" : "Xiaowei", "non-dropping-particle" : "", "parse-names" : false, "suffix" : "" }, { "dropping-particle" : "", "family" : "Yang", "given" : "Jianghua", "non-dropping-particle" : "", "parse-names" : false, "suffix" : "" }, { "dropping-particle" : "", "family" : "Giesy", "given" : "John P.", "non-dropping-particle" : "", "parse-names" : false, "suffix" : "" }, { "dropping-particle" : "", "family" : "Wang", "given" : "Tieyu", "non-dropping-particle" : "", "parse-names" : false, "suffix" : "" }, { "dropping-particle" : "", "family" : "Lu", "given" : "Yonglong", "non-dropping-particle" : "", "parse-names" : false, "suffix" : "" }, { "dropping-particle" : "", "family" : "Yu", "given" : "Hongxia", "non-dropping-particle" : "", "parse-names" : false, "suffix" : "" }, { "dropping-particle" : "", "family" : "Khim", "given" : "Jong Seong", "non-dropping-particle" : "", "parse-names" : false, "suffix" : "" } ], "container-title" : "Chemosphere", "id" : "ITEM-1", "issued" : { "date-parts" : [ [ "2017" ] ] }, "page" : "166-174", "title" : "Ecogenomic responses of benthic communities under multiple stressors along the marine and adjacent riverine areas of northern Bohai Sea, China", "type" : "article-journal", "volume" : "172" }, "uris" : [ "http://www.mendeley.com/documents/?uuid=d3af80cd-b027-474b-bc4a-5963acc63990" ] } ], "mendeley" : { "formattedCitation" : "(Xie &lt;i&gt;et al.&lt;/i&gt;, 2017)", "plainTextFormattedCitation" : "(Xie et al., 2017)", "previouslyFormattedCitation" : "(Xie &lt;i&gt;et al.&lt;/i&gt;, 2017)" }, "properties" : {  }, "schema" : "https://github.com/citation-style-language/schema/raw/master/csl-citation.json" }</w:instrText>
            </w:r>
            <w:r>
              <w:rPr>
                <w:sz w:val="18"/>
                <w:szCs w:val="18"/>
              </w:rPr>
              <w:fldChar w:fldCharType="separate"/>
            </w:r>
            <w:r w:rsidRPr="00803936">
              <w:rPr>
                <w:noProof/>
                <w:sz w:val="18"/>
                <w:szCs w:val="18"/>
              </w:rPr>
              <w:t xml:space="preserve">(Xie </w:t>
            </w:r>
            <w:r w:rsidRPr="00803936">
              <w:rPr>
                <w:i/>
                <w:noProof/>
                <w:sz w:val="18"/>
                <w:szCs w:val="18"/>
              </w:rPr>
              <w:t>et al.</w:t>
            </w:r>
            <w:r w:rsidRPr="00803936">
              <w:rPr>
                <w:noProof/>
                <w:sz w:val="18"/>
                <w:szCs w:val="18"/>
              </w:rPr>
              <w:t>, 2017)</w:t>
            </w:r>
            <w:r>
              <w:rPr>
                <w:sz w:val="18"/>
                <w:szCs w:val="18"/>
              </w:rPr>
              <w:fldChar w:fldCharType="end"/>
            </w:r>
          </w:p>
        </w:tc>
        <w:tc>
          <w:tcPr>
            <w:tcW w:w="2207" w:type="dxa"/>
          </w:tcPr>
          <w:p w14:paraId="1EE614B8" w14:textId="108B1335" w:rsidR="00697725" w:rsidRPr="008639EE" w:rsidRDefault="00CE5537"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 concentration</w:t>
            </w:r>
            <w:r w:rsidR="00DD542C">
              <w:rPr>
                <w:sz w:val="18"/>
                <w:szCs w:val="18"/>
              </w:rPr>
              <w:t xml:space="preserve"> had a more significant effect (13%) than any other stressor/factor</w:t>
            </w:r>
            <w:r>
              <w:rPr>
                <w:sz w:val="18"/>
                <w:szCs w:val="18"/>
              </w:rPr>
              <w:t xml:space="preserve"> </w:t>
            </w:r>
          </w:p>
        </w:tc>
        <w:tc>
          <w:tcPr>
            <w:tcW w:w="1628" w:type="dxa"/>
          </w:tcPr>
          <w:p w14:paraId="7BB5A5AA" w14:textId="2FE2F35E" w:rsidR="00697725" w:rsidRPr="008639EE" w:rsidRDefault="000E5CF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Chronic across riverine/tidal gradients</w:t>
            </w:r>
          </w:p>
        </w:tc>
        <w:tc>
          <w:tcPr>
            <w:tcW w:w="1239" w:type="dxa"/>
          </w:tcPr>
          <w:p w14:paraId="02A16E43" w14:textId="739B212B" w:rsidR="00697725" w:rsidRPr="008639EE" w:rsidRDefault="000F44F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Observational study</w:t>
            </w:r>
          </w:p>
        </w:tc>
        <w:tc>
          <w:tcPr>
            <w:tcW w:w="2750" w:type="dxa"/>
          </w:tcPr>
          <w:p w14:paraId="060FAB6D" w14:textId="2725DD86" w:rsidR="00697725" w:rsidRPr="00C46368" w:rsidRDefault="00C46368"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40.3 mg.l</w:t>
            </w:r>
            <w:r w:rsidRPr="00C46368">
              <w:rPr>
                <w:sz w:val="18"/>
                <w:szCs w:val="18"/>
                <w:vertAlign w:val="superscript"/>
              </w:rPr>
              <w:t>-1</w:t>
            </w:r>
            <w:r>
              <w:rPr>
                <w:sz w:val="18"/>
                <w:szCs w:val="18"/>
                <w:vertAlign w:val="superscript"/>
              </w:rPr>
              <w:t xml:space="preserve"> </w:t>
            </w:r>
            <w:r>
              <w:rPr>
                <w:sz w:val="18"/>
                <w:szCs w:val="18"/>
              </w:rPr>
              <w:t>(Sunningdale Tap Water)</w:t>
            </w:r>
          </w:p>
        </w:tc>
      </w:tr>
      <w:tr w:rsidR="007759B2" w14:paraId="77586C04"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2F0ACC36" w14:textId="7A98416A" w:rsidR="00697725" w:rsidRDefault="00DD542C" w:rsidP="00DD542C">
            <w:r>
              <w:t>DCD (Nitrification Inhibitor)</w:t>
            </w:r>
          </w:p>
        </w:tc>
        <w:tc>
          <w:tcPr>
            <w:tcW w:w="1778" w:type="dxa"/>
          </w:tcPr>
          <w:p w14:paraId="4C490C4B" w14:textId="2D5EC41B" w:rsidR="00697725" w:rsidRPr="008639EE" w:rsidRDefault="0066270A"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Used widely to reduce nitrogen loss from</w:t>
            </w:r>
            <w:r w:rsidR="00A403DD">
              <w:rPr>
                <w:sz w:val="18"/>
                <w:szCs w:val="18"/>
              </w:rPr>
              <w:t xml:space="preserve"> farmland, but can affect freshwater</w:t>
            </w:r>
          </w:p>
        </w:tc>
        <w:tc>
          <w:tcPr>
            <w:tcW w:w="1549" w:type="dxa"/>
          </w:tcPr>
          <w:p w14:paraId="2969852F" w14:textId="04A5C60D" w:rsidR="00697725" w:rsidRPr="008639EE" w:rsidRDefault="00A403DD" w:rsidP="00AB61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Inhibits uptake of ammonium</w:t>
            </w:r>
          </w:p>
        </w:tc>
        <w:tc>
          <w:tcPr>
            <w:tcW w:w="1883" w:type="dxa"/>
          </w:tcPr>
          <w:p w14:paraId="50271578" w14:textId="04A7BC09" w:rsidR="00697725" w:rsidRPr="008639EE" w:rsidRDefault="00A403DD"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"10.1038/srep44657", "ISBN" : "2045-2322", "ISSN" : "20452322", "author" : [ { "dropping-particle" : "", "family" : "Salis", "given" : "R. K.", "non-dropping-particle" : "", "parse-names" : false, "suffix" : "" }, { "dropping-particle" : "", "family" : "Bruder", "given" : "A.", "non-dropping-particle" : "", "parse-names" : false, "suffix" : "" }, { "dropping-particle" : "", "family" : "Piggott", "given" : "J. J.", "non-dropping-particle" : "", "parse-names" : false, "suffix" : "" }, { "dropping-particle" : "", "family" : "Summerfield", "given" : "T. C.", "non-dropping-particle" : "", "parse-names" : false, "suffix" : "" }, { "dropping-particle" : "", "family" : "Matthaei", "given" : "C. D.", "non-dropping-particle" : "", "parse-names" : false, "suffix" : "" } ], "container-title" : "Scientific Reports", "id" : "ITEM-1", "issue" : "February", "issued" : { "date-parts" : [ [ "2017" ] ] }, "page" : "1-12", "publisher" : "Nature Publishing Group", "title" : "High-throughput amplicon sequencing and stream benthic bacteria: Identifying the best taxonomic level for multiple-stressor research", "type" : "article-journal", "volume" : "7" }, "uris" : [ "http://www.mendeley.com/documents/?uuid=15bc9acc-b66c-43f0-b1d7-cb9c735a90ae" ] } ], "mendeley" : { "formattedCitation" : "(Salis &lt;i&gt;et al.&lt;/i&gt;, 2017)", "plainTextFormattedCitation" : "(Salis et al., 2017)", "previouslyFormattedCitation" : "(Salis &lt;i&gt;et al.&lt;/i&gt;, 2017)" }, "properties" : {  }, "schema" : "https://github.com/citation-style-language/schema/raw/master/csl-citation.json" }</w:instrText>
            </w:r>
            <w:r>
              <w:rPr>
                <w:sz w:val="18"/>
                <w:szCs w:val="18"/>
              </w:rPr>
              <w:fldChar w:fldCharType="separate"/>
            </w:r>
            <w:r w:rsidRPr="00A403DD">
              <w:rPr>
                <w:noProof/>
                <w:sz w:val="18"/>
                <w:szCs w:val="18"/>
              </w:rPr>
              <w:t xml:space="preserve">(Salis </w:t>
            </w:r>
            <w:r w:rsidRPr="00A403DD">
              <w:rPr>
                <w:i/>
                <w:noProof/>
                <w:sz w:val="18"/>
                <w:szCs w:val="18"/>
              </w:rPr>
              <w:t>et al.</w:t>
            </w:r>
            <w:r w:rsidRPr="00A403DD">
              <w:rPr>
                <w:noProof/>
                <w:sz w:val="18"/>
                <w:szCs w:val="18"/>
              </w:rPr>
              <w:t>, 2017)</w:t>
            </w:r>
            <w:r>
              <w:rPr>
                <w:sz w:val="18"/>
                <w:szCs w:val="18"/>
              </w:rPr>
              <w:fldChar w:fldCharType="end"/>
            </w:r>
          </w:p>
        </w:tc>
        <w:tc>
          <w:tcPr>
            <w:tcW w:w="2207" w:type="dxa"/>
          </w:tcPr>
          <w:p w14:paraId="066F7BAE" w14:textId="35D06232" w:rsidR="00697725" w:rsidRPr="008639EE" w:rsidRDefault="00A403DD"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Disadvantages ammonium-oxidising bacteria, doesn’t affect others</w:t>
            </w:r>
          </w:p>
        </w:tc>
        <w:tc>
          <w:tcPr>
            <w:tcW w:w="1628" w:type="dxa"/>
          </w:tcPr>
          <w:p w14:paraId="7DE888F1" w14:textId="01403B3B" w:rsidR="00697725" w:rsidRPr="008639EE" w:rsidRDefault="00412353"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A403DD" w:rsidRPr="00A403DD">
              <w:rPr>
                <w:sz w:val="18"/>
                <w:szCs w:val="18"/>
              </w:rPr>
              <w:t>.38± 0.06 mg</w:t>
            </w:r>
            <w:r w:rsidR="00A403DD">
              <w:rPr>
                <w:sz w:val="18"/>
                <w:szCs w:val="18"/>
              </w:rPr>
              <w:t>.</w:t>
            </w:r>
            <w:r>
              <w:rPr>
                <w:sz w:val="18"/>
                <w:szCs w:val="18"/>
              </w:rPr>
              <w:t>l</w:t>
            </w:r>
            <w:r w:rsidR="00A403DD" w:rsidRPr="00A403DD">
              <w:rPr>
                <w:sz w:val="18"/>
                <w:szCs w:val="18"/>
                <w:vertAlign w:val="superscript"/>
              </w:rPr>
              <w:t>−1</w:t>
            </w:r>
          </w:p>
        </w:tc>
        <w:tc>
          <w:tcPr>
            <w:tcW w:w="1239" w:type="dxa"/>
          </w:tcPr>
          <w:p w14:paraId="5CDA715F" w14:textId="68CDFC6A" w:rsidR="00697725" w:rsidRPr="008639EE" w:rsidRDefault="00A403DD"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Running water</w:t>
            </w:r>
          </w:p>
        </w:tc>
        <w:tc>
          <w:tcPr>
            <w:tcW w:w="2750" w:type="dxa"/>
          </w:tcPr>
          <w:p w14:paraId="433C3209" w14:textId="2C7D6725" w:rsidR="00697725" w:rsidRPr="008639EE" w:rsidRDefault="00412353"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Study concentration was ‘similar to those found in 1</w:t>
            </w:r>
            <w:r w:rsidRPr="00412353">
              <w:rPr>
                <w:sz w:val="18"/>
                <w:szCs w:val="18"/>
                <w:vertAlign w:val="superscript"/>
              </w:rPr>
              <w:t>st</w:t>
            </w:r>
            <w:r>
              <w:rPr>
                <w:sz w:val="18"/>
                <w:szCs w:val="18"/>
              </w:rPr>
              <w:t>-order streams in an NZ dairy farm.’</w:t>
            </w:r>
          </w:p>
        </w:tc>
      </w:tr>
      <w:tr w:rsidR="00B14AAC" w14:paraId="461D3CAE" w14:textId="77777777" w:rsidTr="00DA703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tcPr>
          <w:p w14:paraId="5449686D" w14:textId="0A82B8AF" w:rsidR="000B7518" w:rsidRDefault="00AA2D51" w:rsidP="00DD542C">
            <w:r>
              <w:t>Glyphosate</w:t>
            </w:r>
          </w:p>
        </w:tc>
        <w:tc>
          <w:tcPr>
            <w:tcW w:w="1778" w:type="dxa"/>
          </w:tcPr>
          <w:p w14:paraId="1F3812A3" w14:textId="4D0CEBDB" w:rsidR="000B7518" w:rsidRDefault="00AB6146"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Most commonly used herbicide in the US</w:t>
            </w:r>
          </w:p>
        </w:tc>
        <w:tc>
          <w:tcPr>
            <w:tcW w:w="1549" w:type="dxa"/>
          </w:tcPr>
          <w:p w14:paraId="452FC66A" w14:textId="0D4BAB06" w:rsidR="000B7518" w:rsidRDefault="00AB6146" w:rsidP="00AB61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Interferes with amino acid synthesis</w:t>
            </w:r>
          </w:p>
        </w:tc>
        <w:tc>
          <w:tcPr>
            <w:tcW w:w="1883" w:type="dxa"/>
          </w:tcPr>
          <w:p w14:paraId="54DBAA1F" w14:textId="24501AAD" w:rsidR="000B7518" w:rsidRDefault="007759B2"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"10.1016/J.APSOIL.2013.07.005", "ISSN" : "0929-1393", "abstract" : "Glyphosate is an active substance of the most used herbicides worldwide. Nevertheless, questions on safety of glyphosate-based herbicides are periodically raised and recent studies indicate that glyphosate may not be as safe as assumed, mostly due to the additives/surfactants in its formulations. The aim of this study was to evaluate the effects of isopropylamine salt of glyphosate and two glyphosate-based herbicides, Roundup Max\u2122 (containing surfactant polyethoxylated tallow amine, POEA) and Roundup Quick\u2122 (without POEA), on non-target species. Special focus was on the evaluation of long-term effects of high concentrations (simulating accidental pollution, e.g. transportation spills) of glyphosate formulations on soil health. Laboratory ecotoxicity testing was conducted with (i) two aquatic organisms \u2013 crustaceans Daphnia magna and marine bacteria Vibrio fischeri, (ii) five bacterial strains (Escherichia coli MG1655, Pseudomonas putida KT2440 and three bacterial isolates from the soil) and (iii) terrestrial plants Raphanus sativus and Hordeum vulgare. Laboratory toxicity results showed that among the non-target test species, D. magna and V. fischeri were the most sensitive to glyphosate formulations: acute EC50 values ranged from 4 to 49mgL\u22121. Direct relation between the toxicity of the tested formulations and the presence/absence of the surfactant POEA was not evident. Long-term outdoor experiments (April to September 2012) showed that the number of heterotrophic microbes in Roundup-spiked (up to 1000-fold the recommended field rate) soils during two months after the treatment were significantly higher than in the control soils, especially in case of Roundup Quick\u2122. Residual toxicity of the treated soils to terrestrial plants decreased more rapidly in Roundup Quick-spiked soils. It was shown that in temperate climate conditions the recovery of soil health in case of (accidental) pollution by glyphosate formulations is slow and may even exceed the duration of the vegetation period. The mobility of glyphosate in the soils proved very low thus risks to aquatic ecosystems due to application of glyphosate-based herbicides may occur rather in case of direct contamination of surface water.", "author" : [ { "dropping-particle" : "", "family" : "Sihtm\u00e4e", "given" : "M.", "non-dropping-particle" : "", "parse-names" : false, "suffix" : "" }, { "dropping-particle" : "", "family" : "Blinova", "given" : "I.", "non-dropping-particle" : "", "parse-names" : false, "suffix" : "" }, { "dropping-particle" : "", "family" : "K\u00fcnnis-Beres", "given" : "K.", "non-dropping-particle" : "", "parse-names" : false, "suffix" : "" }, { "dropping-particle" : "", "family" : "Kanarbik", "given" : "L.", "non-dropping-particle" : "", "parse-names" : false, "suffix" : "" }, { "dropping-particle" : "", "family" : "Heinlaan", "given" : "M.", "non-dropping-particle" : "", "parse-names" : false, "suffix" : "" }, { "dropping-particle" : "", "family" : "Kahru", "given" : "A.", "non-dropping-particle" : "", "parse-names" : false, "suffix" : "" } ], "container-title" : "Applied Soil Ecology", "id" : "ITEM-1", "issued" : { "date-parts" : [ [ "2013", "10", "1" ] ] }, "page" : "215-224", "publisher" : "Elsevier", "title" : "Ecotoxicological effects of different glyphosate formulations", "type" : "article-journal", "volume" : "72" }, "uris" : [ "http://www.mendeley.com/documents/?uuid=50129863-f2ad-3317-bc05-f806cb259c92" ] }, { "id" : "ITEM-2", "itemData" : { "DOI" : "10.1016/J.SCITOTENV.2017.10.309", "ISSN" : "0048-9697", "abstract" : "The herbicide glyphosate, N-(phosphonomethyl) glycine, has been used extensively in the past 40years, under the assumption that side effects were minimal. However, in recent years, concerns have increased worldwide about the potential wide ranging direct and indirect health effects of the large scale use of glyphosate. In 2015, the World Health Organization reclassified glyphosate as probably carcinogenic to humans. A detailed overview is given of the scientific literature on the movement and residues of glyphosate and its breakdown product aminomethyl phosphonic acid (AMPA) in soil and water, their toxicity to macro- and microorganisms, their effects on microbial compositions and potential indirect effects on plant, animal and human health. Although the acute toxic effects of glyphosate and AMPA on mammals are low, there are animal data raising the possibility of health effects associated with chronic, ultra-low doses related to accumulation of these compounds in the environment. Intensive glyphosate use has led to the selection of glyphosate-resistant weeds and microorganisms. Shifts in microbial compositions due to selective pressure by glyphosate may have contributed to the proliferation of plant and animal pathogens. Research on a link between glyphosate and antibiotic resistance is still scarce but we hypothesize that the selection pressure for glyphosate-resistance in bacteria could lead to shifts in microbiome composition and increases in antibiotic resistance to clinically important antimicrobial agents. We recommend interdisciplinary research on the associations between low level chronic glyphosate exposure, distortions in microbial communities, expansion of antibiotic resistance and the emergence of animal, human and plant diseases. Independent research is needed to revisit the tolerance thresholds for glyphosate residues in water, food and animal feed taking all possible health risks into account.", "author" : [ { "dropping-particle" : "", "family" : "Bruggen", "given" : "A.H.C.", "non-dropping-particle" : "Van", "parse-names" : false, "suffix" : "" }, { "dropping-particle" : "", "family" : "He", "given" : "M.M.", "non-dropping-particle" : "", "parse-names" : false, "suffix" : "" }, { "dropping-particle" : "", "family" : "Shin", "given" : "K.", "non-dropping-particle" : "", "parse-names" : false, "suffix" : "" }, { "dropping-particle" : "", "family" : "Mai", "given" : "V.", "non-dropping-particle" : "", "parse-names" : false, "suffix" : "" }, { "dropping-particle" : "", "family" : "Jeong", "given" : "K.C.", "non-dropping-particle" : "", "parse-names" : false, "suffix" : "" }, { "dropping-particle" : "", "family" : "Finckh", "given" : "M.R.", "non-dropping-particle" : "", "parse-names" : false, "suffix" : "" }, { "dropping-particle" : "", "family" : "Morris", "given" : "J.G.", "non-dropping-particle" : "", "parse-names" : false, "suffix" : "" } ], "container-title" : "Science of The Total Environment", "id" : "ITEM-2", "issued" : { "date-parts" : [ [ "2018", "3", "1" ] ] }, "page" : "255-268", "publisher" : "Elsevier", "title" : "Environmental and health effects of the herbicide glyphosate", "type" : "article-journal", "volume" : "616-617" }, "uris" : [ "http://www.mendeley.com/documents/?uuid=52f958c8-cbc0-3e98-8e25-ff8a6bb3c65c" ] } ], "mendeley" : { "formattedCitation" : "(Sihtm\u00e4e &lt;i&gt;et al.&lt;/i&gt;, 2013; Van Bruggen &lt;i&gt;et al.&lt;/i&gt;, 2018)", "plainTextFormattedCitation" : "(Sihtm\u00e4e et al., 2013; Van Bruggen et al., 2018)", "previouslyFormattedCitation" : "(Sihtm\u00e4e &lt;i&gt;et al.&lt;/i&gt;, 2013; Van Bruggen &lt;i&gt;et al.&lt;/i&gt;, 2018)" }, "properties" : {  }, "schema" : "https://github.com/citation-style-language/schema/raw/master/csl-citation.json" }</w:instrText>
            </w:r>
            <w:r>
              <w:rPr>
                <w:sz w:val="18"/>
                <w:szCs w:val="18"/>
              </w:rPr>
              <w:fldChar w:fldCharType="separate"/>
            </w:r>
            <w:r w:rsidRPr="007759B2">
              <w:rPr>
                <w:noProof/>
                <w:sz w:val="18"/>
                <w:szCs w:val="18"/>
              </w:rPr>
              <w:t xml:space="preserve">(Sihtmäe </w:t>
            </w:r>
            <w:r w:rsidRPr="007759B2">
              <w:rPr>
                <w:i/>
                <w:noProof/>
                <w:sz w:val="18"/>
                <w:szCs w:val="18"/>
              </w:rPr>
              <w:t>et al.</w:t>
            </w:r>
            <w:r w:rsidRPr="007759B2">
              <w:rPr>
                <w:noProof/>
                <w:sz w:val="18"/>
                <w:szCs w:val="18"/>
              </w:rPr>
              <w:t xml:space="preserve">, 2013; Van Bruggen </w:t>
            </w:r>
            <w:r w:rsidRPr="007759B2">
              <w:rPr>
                <w:i/>
                <w:noProof/>
                <w:sz w:val="18"/>
                <w:szCs w:val="18"/>
              </w:rPr>
              <w:t>et al.</w:t>
            </w:r>
            <w:r w:rsidRPr="007759B2">
              <w:rPr>
                <w:noProof/>
                <w:sz w:val="18"/>
                <w:szCs w:val="18"/>
              </w:rPr>
              <w:t>, 2018)</w:t>
            </w:r>
            <w:r>
              <w:rPr>
                <w:sz w:val="18"/>
                <w:szCs w:val="18"/>
              </w:rPr>
              <w:fldChar w:fldCharType="end"/>
            </w:r>
          </w:p>
        </w:tc>
        <w:tc>
          <w:tcPr>
            <w:tcW w:w="2207" w:type="dxa"/>
          </w:tcPr>
          <w:p w14:paraId="0A1A4A65" w14:textId="1D19F17E" w:rsidR="000B7518" w:rsidRPr="001076A1" w:rsidRDefault="001076A1"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30 minutes</w:t>
            </w:r>
          </w:p>
        </w:tc>
        <w:tc>
          <w:tcPr>
            <w:tcW w:w="1628" w:type="dxa"/>
          </w:tcPr>
          <w:p w14:paraId="00370314" w14:textId="77777777" w:rsidR="000B7518" w:rsidRDefault="00A91B7C" w:rsidP="00697725">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EC50 – 7.6 mg.l</w:t>
            </w:r>
            <w:r w:rsidRPr="00A91B7C">
              <w:rPr>
                <w:sz w:val="18"/>
                <w:szCs w:val="18"/>
                <w:vertAlign w:val="superscript"/>
              </w:rPr>
              <w:t>-1</w:t>
            </w:r>
          </w:p>
          <w:p w14:paraId="2DA4C415" w14:textId="73642883" w:rsidR="00A91B7C" w:rsidRPr="00A91B7C" w:rsidRDefault="00A91B7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More toxic without adjuvants for </w:t>
            </w:r>
            <w:proofErr w:type="spellStart"/>
            <w:r>
              <w:rPr>
                <w:i/>
                <w:sz w:val="18"/>
                <w:szCs w:val="18"/>
              </w:rPr>
              <w:t>fischeri</w:t>
            </w:r>
            <w:proofErr w:type="spellEnd"/>
          </w:p>
        </w:tc>
        <w:tc>
          <w:tcPr>
            <w:tcW w:w="1239" w:type="dxa"/>
          </w:tcPr>
          <w:p w14:paraId="250326BB" w14:textId="5E8D3D4D" w:rsidR="000B7518" w:rsidRDefault="00E149BD" w:rsidP="0069772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MilliQ</w:t>
            </w:r>
            <w:proofErr w:type="spellEnd"/>
            <w:r>
              <w:rPr>
                <w:sz w:val="18"/>
                <w:szCs w:val="18"/>
              </w:rPr>
              <w:t xml:space="preserve"> H</w:t>
            </w:r>
            <w:r w:rsidRPr="00E149BD">
              <w:rPr>
                <w:sz w:val="18"/>
                <w:szCs w:val="18"/>
                <w:vertAlign w:val="subscript"/>
              </w:rPr>
              <w:t>2</w:t>
            </w:r>
            <w:r>
              <w:rPr>
                <w:sz w:val="18"/>
                <w:szCs w:val="18"/>
              </w:rPr>
              <w:t>O</w:t>
            </w:r>
          </w:p>
        </w:tc>
        <w:tc>
          <w:tcPr>
            <w:tcW w:w="2750" w:type="dxa"/>
          </w:tcPr>
          <w:p w14:paraId="04F1AA41" w14:textId="13ADAD44" w:rsidR="000B7518" w:rsidRDefault="00730636"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&lt;0.03 </w:t>
            </w:r>
            <w:r w:rsidR="006B267C">
              <w:rPr>
                <w:sz w:val="18"/>
                <w:szCs w:val="18"/>
              </w:rPr>
              <w:t>μ</w:t>
            </w:r>
            <w:r w:rsidR="00263EB5">
              <w:rPr>
                <w:sz w:val="18"/>
                <w:szCs w:val="18"/>
              </w:rPr>
              <w:t>g.l</w:t>
            </w:r>
            <w:r w:rsidR="00263EB5" w:rsidRPr="000E4A86">
              <w:rPr>
                <w:sz w:val="18"/>
                <w:szCs w:val="18"/>
                <w:vertAlign w:val="superscript"/>
              </w:rPr>
              <w:t>-1</w:t>
            </w:r>
            <w:r w:rsidR="00263EB5">
              <w:rPr>
                <w:sz w:val="18"/>
                <w:szCs w:val="18"/>
                <w:vertAlign w:val="superscript"/>
              </w:rPr>
              <w:t xml:space="preserve"> </w:t>
            </w:r>
            <w:r w:rsidR="00263EB5">
              <w:rPr>
                <w:sz w:val="18"/>
                <w:szCs w:val="18"/>
              </w:rPr>
              <w:t>(Sunningdale Tap Water)</w:t>
            </w:r>
          </w:p>
        </w:tc>
      </w:tr>
      <w:tr w:rsidR="00DA7035" w14:paraId="36677B06"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12C428FA" w14:textId="68C04ED7" w:rsidR="00DA7035" w:rsidRDefault="00DA7035" w:rsidP="00DA7035">
            <w:r>
              <w:t>Atrazine</w:t>
            </w:r>
          </w:p>
        </w:tc>
        <w:tc>
          <w:tcPr>
            <w:tcW w:w="1778" w:type="dxa"/>
          </w:tcPr>
          <w:p w14:paraId="0A64B9DE" w14:textId="03F92287"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 most commonly used herbicide</w:t>
            </w:r>
          </w:p>
        </w:tc>
        <w:tc>
          <w:tcPr>
            <w:tcW w:w="1549" w:type="dxa"/>
          </w:tcPr>
          <w:p w14:paraId="553B3238" w14:textId="2E5AEDFD" w:rsidR="00DA7035" w:rsidRDefault="00F41098"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Photosystem inhibition, endocrine disruptor?</w:t>
            </w:r>
          </w:p>
        </w:tc>
        <w:tc>
          <w:tcPr>
            <w:tcW w:w="1883" w:type="dxa"/>
          </w:tcPr>
          <w:p w14:paraId="5B026D80" w14:textId="73FB9BF2" w:rsidR="00DA7035" w:rsidRDefault="00F41098"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"10.1007/s00128-008-9517-3", "ISSN" : "0007-4861", "author" : [ { "dropping-particle" : "", "family" : "Palma", "given" : "P.", "non-dropping-particle" : "", "parse-names" : false, "suffix" : "" }, { "dropping-particle" : "", "family" : "Palma", "given" : "V. L.", "non-dropping-particle" : "", "parse-names" : false, "suffix" : "" }, { "dropping-particle" : "", "family" : "Fernandes", "given" : "R. M.", "non-dropping-particle" : "", "parse-names" : false, "suffix" : "" }, { "dropping-particle" : "", "family" : "Soares", "given" : "A. M. V. M.", "non-dropping-particle" : "", "parse-names" : false, "suffix" : "" }, { "dropping-particle" : "", "family" : "Barbosa", "given" : "I. R.", "non-dropping-particle" : "", "parse-names" : false, "suffix" : "" } ], "container-title" : "Bulletin of Environmental Contamination and Toxicology", "id" : "ITEM-1", "issue" : "5", "issued" : { "date-parts" : [ [ "2008", "11", "8" ] ] }, "page" : "485-489", "publisher" : "Springer-Verlag", "title" : "Acute Toxicity of Atrazine, Endosulfan Sulphate and Chlorpyrifos to Vibrio fischeri, Thamnocephalus platyurus and Daphnia magna, Relative to Their Concentrations in Surface Waters from the Alentejo Region of Portugal", "type" : "article-journal", "volume" : "81" }, "uris" : [ "http://www.mendeley.com/documents/?uuid=0cda6edf-b55b-3f0e-b066-deea51896c3e" ] } ], "mendeley" : { "formattedCitation" : "(Palma &lt;i&gt;et al.&lt;/i&gt;, 2008)", "plainTextFormattedCitation" : "(Palma et al., 2008)", "previouslyFormattedCitation" : "(Palma &lt;i&gt;et al.&lt;/i&gt;, 2008)" }, "properties" : {  }, "schema" : "https://github.com/citation-style-language/schema/raw/master/csl-citation.json" }</w:instrText>
            </w:r>
            <w:r>
              <w:rPr>
                <w:sz w:val="18"/>
                <w:szCs w:val="18"/>
              </w:rPr>
              <w:fldChar w:fldCharType="separate"/>
            </w:r>
            <w:r w:rsidRPr="00F41098">
              <w:rPr>
                <w:noProof/>
                <w:sz w:val="18"/>
                <w:szCs w:val="18"/>
              </w:rPr>
              <w:t xml:space="preserve">(Palma </w:t>
            </w:r>
            <w:r w:rsidRPr="00F41098">
              <w:rPr>
                <w:i/>
                <w:noProof/>
                <w:sz w:val="18"/>
                <w:szCs w:val="18"/>
              </w:rPr>
              <w:t>et al.</w:t>
            </w:r>
            <w:r w:rsidRPr="00F41098">
              <w:rPr>
                <w:noProof/>
                <w:sz w:val="18"/>
                <w:szCs w:val="18"/>
              </w:rPr>
              <w:t>, 2008)</w:t>
            </w:r>
            <w:r>
              <w:rPr>
                <w:sz w:val="18"/>
                <w:szCs w:val="18"/>
              </w:rPr>
              <w:fldChar w:fldCharType="end"/>
            </w:r>
          </w:p>
        </w:tc>
        <w:tc>
          <w:tcPr>
            <w:tcW w:w="2207" w:type="dxa"/>
          </w:tcPr>
          <w:p w14:paraId="072FBB91" w14:textId="5B2A7DD7"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30 minutes</w:t>
            </w:r>
          </w:p>
        </w:tc>
        <w:tc>
          <w:tcPr>
            <w:tcW w:w="1628" w:type="dxa"/>
          </w:tcPr>
          <w:p w14:paraId="35933173" w14:textId="77777777"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EC50 – 69.4 mg.l</w:t>
            </w:r>
            <w:r w:rsidRPr="00DA7035">
              <w:rPr>
                <w:sz w:val="18"/>
                <w:szCs w:val="18"/>
                <w:vertAlign w:val="superscript"/>
              </w:rPr>
              <w:t>-1</w:t>
            </w:r>
          </w:p>
          <w:p w14:paraId="4D3B6B03" w14:textId="6CC85221"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Another source: 39.9 mg.l</w:t>
            </w:r>
            <w:r w:rsidRPr="00DA7035">
              <w:rPr>
                <w:sz w:val="18"/>
                <w:szCs w:val="18"/>
                <w:vertAlign w:val="superscript"/>
              </w:rPr>
              <w:t>-1</w:t>
            </w:r>
          </w:p>
        </w:tc>
        <w:tc>
          <w:tcPr>
            <w:tcW w:w="1239" w:type="dxa"/>
          </w:tcPr>
          <w:p w14:paraId="7B853AE9" w14:textId="62CFE3E2" w:rsidR="00DA7035" w:rsidRDefault="00F41098"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Synthetic freshwater</w:t>
            </w:r>
          </w:p>
        </w:tc>
        <w:tc>
          <w:tcPr>
            <w:tcW w:w="2750" w:type="dxa"/>
          </w:tcPr>
          <w:p w14:paraId="41320145" w14:textId="55E27B5B" w:rsidR="00DA7035" w:rsidRPr="000B03BA" w:rsidRDefault="00D95C6D"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&lt;0.005</w:t>
            </w:r>
            <w:r w:rsidR="008739D8" w:rsidRPr="008739D8">
              <w:rPr>
                <w:sz w:val="18"/>
                <w:szCs w:val="18"/>
              </w:rPr>
              <w:t xml:space="preserve"> μg L</w:t>
            </w:r>
            <w:r w:rsidR="008739D8" w:rsidRPr="000B03BA">
              <w:rPr>
                <w:sz w:val="18"/>
                <w:szCs w:val="18"/>
                <w:vertAlign w:val="superscript"/>
              </w:rPr>
              <w:t>−1</w:t>
            </w:r>
            <w:r w:rsidR="000B03BA">
              <w:rPr>
                <w:sz w:val="18"/>
                <w:szCs w:val="18"/>
              </w:rPr>
              <w:t xml:space="preserve"> </w:t>
            </w:r>
            <w:r>
              <w:rPr>
                <w:sz w:val="18"/>
                <w:szCs w:val="18"/>
              </w:rPr>
              <w:t>(Sunningdale Tap Water)</w:t>
            </w:r>
          </w:p>
        </w:tc>
      </w:tr>
      <w:tr w:rsidR="005114EC" w14:paraId="1587D592" w14:textId="77777777" w:rsidTr="00DA703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tcPr>
          <w:p w14:paraId="38C4BF71" w14:textId="3C7109B0" w:rsidR="005114EC" w:rsidRDefault="005114EC" w:rsidP="005114EC">
            <w:r>
              <w:t>Cadmium</w:t>
            </w:r>
          </w:p>
        </w:tc>
        <w:tc>
          <w:tcPr>
            <w:tcW w:w="1778" w:type="dxa"/>
          </w:tcPr>
          <w:p w14:paraId="6EF123A5" w14:textId="29B0ED59"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Major anthropogenic pollutant</w:t>
            </w:r>
          </w:p>
        </w:tc>
        <w:tc>
          <w:tcPr>
            <w:tcW w:w="1549" w:type="dxa"/>
          </w:tcPr>
          <w:p w14:paraId="33F169BA" w14:textId="5ABAFE03"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1883" w:type="dxa"/>
          </w:tcPr>
          <w:p w14:paraId="4F71D6EA" w14:textId="0960F32D"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"ISSN" : "0375-6742",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13\u00a0t a\u22121 Fe, 4.3\u00a0t a\u22121 Mn, 4.2\u00a0t a\u22121 Cu, 3.6\u00a0t a\u22121 Zn and 1.4\u00a0t a\u22121 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207" w:type="dxa"/>
          </w:tcPr>
          <w:p w14:paraId="5D4EC0BF" w14:textId="3A67C5EB"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28" w:type="dxa"/>
          </w:tcPr>
          <w:p w14:paraId="31455540" w14:textId="013D1AD9"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EC50 - </w:t>
            </w:r>
            <w:r w:rsidRPr="004A0EDF">
              <w:rPr>
                <w:sz w:val="18"/>
                <w:szCs w:val="18"/>
              </w:rPr>
              <w:t>9.96</w:t>
            </w:r>
            <w:r>
              <w:rPr>
                <w:sz w:val="18"/>
              </w:rPr>
              <w:t xml:space="preserve"> mg.l</w:t>
            </w:r>
            <w:r w:rsidRPr="003A7406">
              <w:rPr>
                <w:sz w:val="18"/>
                <w:vertAlign w:val="superscript"/>
              </w:rPr>
              <w:t>-1</w:t>
            </w:r>
            <w:r>
              <w:rPr>
                <w:sz w:val="18"/>
              </w:rPr>
              <w:t>@ 30 minutes</w:t>
            </w:r>
          </w:p>
        </w:tc>
        <w:tc>
          <w:tcPr>
            <w:tcW w:w="1239" w:type="dxa"/>
          </w:tcPr>
          <w:p w14:paraId="4BE44760" w14:textId="6839FA75"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saline</w:t>
            </w:r>
          </w:p>
        </w:tc>
        <w:tc>
          <w:tcPr>
            <w:tcW w:w="2750" w:type="dxa"/>
          </w:tcPr>
          <w:p w14:paraId="0F930086" w14:textId="121C8916" w:rsidR="005114EC" w:rsidRPr="008739D8"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&lt;0.</w:t>
            </w:r>
            <w:r>
              <w:rPr>
                <w:sz w:val="18"/>
                <w:szCs w:val="18"/>
              </w:rPr>
              <w:t>20</w:t>
            </w:r>
            <w:r>
              <w:rPr>
                <w:sz w:val="18"/>
                <w:szCs w:val="18"/>
              </w:rPr>
              <w:t xml:space="preserve"> μg.l</w:t>
            </w:r>
            <w:r w:rsidRPr="000E4A86">
              <w:rPr>
                <w:sz w:val="18"/>
                <w:szCs w:val="18"/>
                <w:vertAlign w:val="superscript"/>
              </w:rPr>
              <w:t>-1</w:t>
            </w:r>
            <w:r>
              <w:rPr>
                <w:sz w:val="18"/>
                <w:szCs w:val="18"/>
                <w:vertAlign w:val="superscript"/>
              </w:rPr>
              <w:t xml:space="preserve"> </w:t>
            </w:r>
            <w:r>
              <w:rPr>
                <w:sz w:val="18"/>
                <w:szCs w:val="18"/>
              </w:rPr>
              <w:t>(Sunningdale Tap Water)</w:t>
            </w:r>
          </w:p>
        </w:tc>
      </w:tr>
      <w:tr w:rsidR="005114EC" w14:paraId="174A6469"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0FEC780C" w14:textId="7FF50999" w:rsidR="005114EC" w:rsidRDefault="005114EC" w:rsidP="005114EC">
            <w:r>
              <w:t>PHQ</w:t>
            </w:r>
          </w:p>
        </w:tc>
        <w:tc>
          <w:tcPr>
            <w:tcW w:w="1778" w:type="dxa"/>
          </w:tcPr>
          <w:p w14:paraId="7DC61D27" w14:textId="252F9177"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highly toxic </w:t>
            </w:r>
            <w:proofErr w:type="spellStart"/>
            <w:r>
              <w:rPr>
                <w:sz w:val="18"/>
                <w:szCs w:val="18"/>
              </w:rPr>
              <w:t>phototransformed</w:t>
            </w:r>
            <w:proofErr w:type="spellEnd"/>
            <w:r>
              <w:rPr>
                <w:sz w:val="18"/>
                <w:szCs w:val="18"/>
              </w:rPr>
              <w:t xml:space="preserve"> PAH</w:t>
            </w:r>
          </w:p>
        </w:tc>
        <w:tc>
          <w:tcPr>
            <w:tcW w:w="1549" w:type="dxa"/>
          </w:tcPr>
          <w:p w14:paraId="3459553C" w14:textId="38C82384"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Conversion into electrophilic metabolites?</w:t>
            </w:r>
          </w:p>
        </w:tc>
        <w:tc>
          <w:tcPr>
            <w:tcW w:w="1883" w:type="dxa"/>
          </w:tcPr>
          <w:p w14:paraId="6227A035" w14:textId="2B7CFB3B"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"mendeley" : { "formattedCitation" : "(Wang &lt;i&gt;et al.&lt;/i&gt;, 2009)", "plainTextFormattedCitation" : "(Wang et al., 2009)", "previouslyFormattedCitation" : "(Wang &lt;i&gt;et al.&lt;/i&gt;, 2009)" }, "properties" : {  }, "schema" : "https://github.com/citation-style-language/schema/raw/master/csl-citation.json" }</w:instrText>
            </w:r>
            <w:r>
              <w:rPr>
                <w:sz w:val="18"/>
                <w:szCs w:val="18"/>
              </w:rPr>
              <w:fldChar w:fldCharType="separate"/>
            </w:r>
            <w:r w:rsidRPr="00D43AEB">
              <w:rPr>
                <w:noProof/>
                <w:sz w:val="18"/>
                <w:szCs w:val="18"/>
              </w:rPr>
              <w:t xml:space="preserve">(Wang </w:t>
            </w:r>
            <w:r w:rsidRPr="00D43AEB">
              <w:rPr>
                <w:i/>
                <w:noProof/>
                <w:sz w:val="18"/>
                <w:szCs w:val="18"/>
              </w:rPr>
              <w:t>et al.</w:t>
            </w:r>
            <w:r w:rsidRPr="00D43AEB">
              <w:rPr>
                <w:noProof/>
                <w:sz w:val="18"/>
                <w:szCs w:val="18"/>
              </w:rPr>
              <w:t>, 2009)</w:t>
            </w:r>
            <w:r>
              <w:rPr>
                <w:sz w:val="18"/>
                <w:szCs w:val="18"/>
              </w:rPr>
              <w:fldChar w:fldCharType="end"/>
            </w:r>
          </w:p>
        </w:tc>
        <w:tc>
          <w:tcPr>
            <w:tcW w:w="2207" w:type="dxa"/>
          </w:tcPr>
          <w:p w14:paraId="253A010D" w14:textId="7A6988E6"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28" w:type="dxa"/>
          </w:tcPr>
          <w:p w14:paraId="3D470380" w14:textId="4620F79F"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EC50 - </w:t>
            </w:r>
            <w:r w:rsidRPr="004A0EDF">
              <w:rPr>
                <w:sz w:val="18"/>
                <w:szCs w:val="18"/>
              </w:rPr>
              <w:t>65.49</w:t>
            </w:r>
            <w:r>
              <w:rPr>
                <w:sz w:val="18"/>
              </w:rPr>
              <w:t xml:space="preserve"> ug.l</w:t>
            </w:r>
            <w:r w:rsidRPr="003A7406">
              <w:rPr>
                <w:sz w:val="18"/>
                <w:vertAlign w:val="superscript"/>
              </w:rPr>
              <w:t>-1</w:t>
            </w:r>
            <w:r>
              <w:rPr>
                <w:sz w:val="18"/>
              </w:rPr>
              <w:t>@ 30 minutes</w:t>
            </w:r>
          </w:p>
        </w:tc>
        <w:tc>
          <w:tcPr>
            <w:tcW w:w="1239" w:type="dxa"/>
          </w:tcPr>
          <w:p w14:paraId="685E0CAE" w14:textId="69551599"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saline</w:t>
            </w:r>
          </w:p>
        </w:tc>
        <w:tc>
          <w:tcPr>
            <w:tcW w:w="2750" w:type="dxa"/>
          </w:tcPr>
          <w:p w14:paraId="7B195E7A" w14:textId="75A79F0E" w:rsidR="005114EC" w:rsidRPr="008739D8"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Main source of human exposure is cigarette smoke (?)</w:t>
            </w:r>
          </w:p>
        </w:tc>
      </w:tr>
      <w:tr w:rsidR="005114EC" w14:paraId="15BE693D" w14:textId="77777777" w:rsidTr="00ED24B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shd w:val="clear" w:color="auto" w:fill="E2EFD9" w:themeFill="accent6" w:themeFillTint="33"/>
          </w:tcPr>
          <w:p w14:paraId="4EC0A6D3" w14:textId="294AA5D1" w:rsidR="005114EC" w:rsidRPr="00A8714C" w:rsidRDefault="005114EC" w:rsidP="005114EC">
            <w:r w:rsidRPr="00A8714C">
              <w:t>Copper</w:t>
            </w:r>
          </w:p>
        </w:tc>
        <w:tc>
          <w:tcPr>
            <w:tcW w:w="1778" w:type="dxa"/>
            <w:shd w:val="clear" w:color="auto" w:fill="E2EFD9" w:themeFill="accent6" w:themeFillTint="33"/>
          </w:tcPr>
          <w:p w14:paraId="4FCCDB78" w14:textId="2FC80F94" w:rsidR="005114EC" w:rsidRPr="00353F98"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sidRPr="00353F98">
              <w:rPr>
                <w:sz w:val="18"/>
              </w:rPr>
              <w:t>Major anthropogenic pollutant, and essential nutrient</w:t>
            </w:r>
          </w:p>
        </w:tc>
        <w:tc>
          <w:tcPr>
            <w:tcW w:w="1549" w:type="dxa"/>
            <w:shd w:val="clear" w:color="auto" w:fill="E2EFD9" w:themeFill="accent6" w:themeFillTint="33"/>
          </w:tcPr>
          <w:p w14:paraId="010C7D3D" w14:textId="290A73A3" w:rsidR="005114EC" w:rsidRPr="00353F98"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sidRPr="00353F98">
              <w:rPr>
                <w:sz w:val="18"/>
              </w:rPr>
              <w:t>Oxidative stress</w:t>
            </w:r>
          </w:p>
        </w:tc>
        <w:tc>
          <w:tcPr>
            <w:tcW w:w="1883" w:type="dxa"/>
            <w:shd w:val="clear" w:color="auto" w:fill="E2EFD9" w:themeFill="accent6" w:themeFillTint="33"/>
          </w:tcPr>
          <w:p w14:paraId="572D3D30" w14:textId="345D0FC7" w:rsidR="005114EC" w:rsidRPr="00353F98"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"ISSN" : "0375-6742",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13\u00a0t a\u22121 Fe, 4.3\u00a0t a\u22121 Mn, 4.2\u00a0t a\u22121 Cu, 3.6\u00a0t a\u22121 Zn and 1.4\u00a0t a\u22121 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207" w:type="dxa"/>
            <w:shd w:val="clear" w:color="auto" w:fill="E2EFD9" w:themeFill="accent6" w:themeFillTint="33"/>
          </w:tcPr>
          <w:p w14:paraId="7D9144D5" w14:textId="756BB404" w:rsidR="005114EC" w:rsidRPr="00546B24"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28" w:type="dxa"/>
            <w:shd w:val="clear" w:color="auto" w:fill="E2EFD9" w:themeFill="accent6" w:themeFillTint="33"/>
          </w:tcPr>
          <w:p w14:paraId="490AA859" w14:textId="0BAD99E0" w:rsidR="005114EC" w:rsidRPr="00353F98"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rPr>
              <w:t xml:space="preserve">EC50 - </w:t>
            </w:r>
            <w:r w:rsidRPr="00A8714C">
              <w:rPr>
                <w:sz w:val="18"/>
              </w:rPr>
              <w:t xml:space="preserve">146.88 </w:t>
            </w:r>
            <w:r>
              <w:rPr>
                <w:sz w:val="18"/>
              </w:rPr>
              <w:t>ug.l</w:t>
            </w:r>
            <w:r w:rsidRPr="003A7406">
              <w:rPr>
                <w:sz w:val="18"/>
                <w:vertAlign w:val="superscript"/>
              </w:rPr>
              <w:t>-1</w:t>
            </w:r>
            <w:r>
              <w:rPr>
                <w:sz w:val="18"/>
              </w:rPr>
              <w:t>@ 30 minutes</w:t>
            </w:r>
          </w:p>
        </w:tc>
        <w:tc>
          <w:tcPr>
            <w:tcW w:w="1239" w:type="dxa"/>
            <w:shd w:val="clear" w:color="auto" w:fill="E2EFD9" w:themeFill="accent6" w:themeFillTint="33"/>
          </w:tcPr>
          <w:p w14:paraId="38E939AC" w14:textId="773AF718" w:rsidR="005114EC" w:rsidRPr="00353F98"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saline</w:t>
            </w:r>
          </w:p>
        </w:tc>
        <w:tc>
          <w:tcPr>
            <w:tcW w:w="2750" w:type="dxa"/>
            <w:shd w:val="clear" w:color="auto" w:fill="E2EFD9" w:themeFill="accent6" w:themeFillTint="33"/>
          </w:tcPr>
          <w:p w14:paraId="66563F11" w14:textId="3368377B" w:rsidR="005114EC" w:rsidRPr="00353F98"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&lt;0.010 </w:t>
            </w:r>
            <w:r>
              <w:rPr>
                <w:sz w:val="18"/>
                <w:szCs w:val="18"/>
              </w:rPr>
              <w:t>mg.l</w:t>
            </w:r>
            <w:r w:rsidRPr="00C46368">
              <w:rPr>
                <w:sz w:val="18"/>
                <w:szCs w:val="18"/>
                <w:vertAlign w:val="superscript"/>
              </w:rPr>
              <w:t>-1</w:t>
            </w:r>
            <w:r>
              <w:rPr>
                <w:sz w:val="18"/>
                <w:szCs w:val="18"/>
                <w:vertAlign w:val="superscript"/>
              </w:rPr>
              <w:t xml:space="preserve"> </w:t>
            </w:r>
            <w:r>
              <w:rPr>
                <w:sz w:val="18"/>
                <w:szCs w:val="18"/>
              </w:rPr>
              <w:t>(Sunningdale Tap Water)</w:t>
            </w:r>
          </w:p>
        </w:tc>
      </w:tr>
      <w:tr w:rsidR="005114EC" w14:paraId="77EC08F4" w14:textId="77777777" w:rsidTr="00ED24BB">
        <w:trPr>
          <w:trHeight w:val="276"/>
        </w:trPr>
        <w:tc>
          <w:tcPr>
            <w:cnfStyle w:val="001000000000" w:firstRow="0" w:lastRow="0" w:firstColumn="1" w:lastColumn="0" w:oddVBand="0" w:evenVBand="0" w:oddHBand="0" w:evenHBand="0" w:firstRowFirstColumn="0" w:firstRowLastColumn="0" w:lastRowFirstColumn="0" w:lastRowLastColumn="0"/>
            <w:tcW w:w="1987" w:type="dxa"/>
            <w:shd w:val="clear" w:color="auto" w:fill="E2EFD9" w:themeFill="accent6" w:themeFillTint="33"/>
          </w:tcPr>
          <w:p w14:paraId="41DB3584" w14:textId="1C2DDBFB" w:rsidR="005114EC" w:rsidRPr="00A8714C" w:rsidRDefault="005114EC" w:rsidP="005114EC">
            <w:r>
              <w:t>Metaldehyde</w:t>
            </w:r>
          </w:p>
        </w:tc>
        <w:tc>
          <w:tcPr>
            <w:tcW w:w="1778" w:type="dxa"/>
            <w:shd w:val="clear" w:color="auto" w:fill="E2EFD9" w:themeFill="accent6" w:themeFillTint="33"/>
          </w:tcPr>
          <w:p w14:paraId="11A0EDCF" w14:textId="57EC711F" w:rsidR="005114EC" w:rsidRPr="00353F98" w:rsidRDefault="005114EC" w:rsidP="005114EC">
            <w:pPr>
              <w:cnfStyle w:val="000000000000" w:firstRow="0" w:lastRow="0" w:firstColumn="0" w:lastColumn="0" w:oddVBand="0" w:evenVBand="0" w:oddHBand="0" w:evenHBand="0" w:firstRowFirstColumn="0" w:firstRowLastColumn="0" w:lastRowFirstColumn="0" w:lastRowLastColumn="0"/>
              <w:rPr>
                <w:sz w:val="18"/>
              </w:rPr>
            </w:pPr>
            <w:r>
              <w:rPr>
                <w:sz w:val="18"/>
              </w:rPr>
              <w:t>Most common molluscicide, main cause of PCVs in UK</w:t>
            </w:r>
          </w:p>
        </w:tc>
        <w:tc>
          <w:tcPr>
            <w:tcW w:w="1549" w:type="dxa"/>
            <w:shd w:val="clear" w:color="auto" w:fill="E2EFD9" w:themeFill="accent6" w:themeFillTint="33"/>
          </w:tcPr>
          <w:p w14:paraId="65CFE468" w14:textId="23EC7967" w:rsidR="005114EC" w:rsidRPr="00353F98" w:rsidRDefault="005114EC" w:rsidP="005114EC">
            <w:pPr>
              <w:cnfStyle w:val="000000000000" w:firstRow="0" w:lastRow="0" w:firstColumn="0" w:lastColumn="0" w:oddVBand="0" w:evenVBand="0" w:oddHBand="0" w:evenHBand="0" w:firstRowFirstColumn="0" w:firstRowLastColumn="0" w:lastRowFirstColumn="0" w:lastRowLastColumn="0"/>
              <w:rPr>
                <w:sz w:val="18"/>
              </w:rPr>
            </w:pPr>
            <w:r>
              <w:rPr>
                <w:sz w:val="18"/>
              </w:rPr>
              <w:t>Inhibits metabolism/ damages CNS in molluscs, humans</w:t>
            </w:r>
          </w:p>
        </w:tc>
        <w:tc>
          <w:tcPr>
            <w:tcW w:w="1883" w:type="dxa"/>
            <w:shd w:val="clear" w:color="auto" w:fill="E2EFD9" w:themeFill="accent6" w:themeFillTint="33"/>
          </w:tcPr>
          <w:p w14:paraId="363EF2E9" w14:textId="77777777"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"10.1111/1751-7915.12719", "ISSN" : "17517915",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 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 "schema" : "https://github.com/citation-style-language/schema/raw/master/csl-citation.json" }</w:instrText>
            </w:r>
            <w:r>
              <w:rPr>
                <w:sz w:val="18"/>
                <w:szCs w:val="18"/>
              </w:rPr>
              <w:fldChar w:fldCharType="separate"/>
            </w:r>
            <w:r w:rsidRPr="005D2F0E">
              <w:rPr>
                <w:noProof/>
                <w:sz w:val="18"/>
                <w:szCs w:val="18"/>
              </w:rPr>
              <w:t xml:space="preserve">(Thomas </w:t>
            </w:r>
            <w:r w:rsidRPr="005D2F0E">
              <w:rPr>
                <w:i/>
                <w:noProof/>
                <w:sz w:val="18"/>
                <w:szCs w:val="18"/>
              </w:rPr>
              <w:t>et al.</w:t>
            </w:r>
            <w:r w:rsidRPr="005D2F0E">
              <w:rPr>
                <w:noProof/>
                <w:sz w:val="18"/>
                <w:szCs w:val="18"/>
              </w:rPr>
              <w:t>, 2017)</w:t>
            </w:r>
            <w:r>
              <w:rPr>
                <w:sz w:val="18"/>
                <w:szCs w:val="18"/>
              </w:rPr>
              <w:fldChar w:fldCharType="end"/>
            </w:r>
          </w:p>
          <w:p w14:paraId="737A4B2F" w14:textId="4A1B09EA"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only paper on bacteria and </w:t>
            </w:r>
            <w:proofErr w:type="spellStart"/>
            <w:r>
              <w:rPr>
                <w:sz w:val="18"/>
                <w:szCs w:val="18"/>
              </w:rPr>
              <w:lastRenderedPageBreak/>
              <w:t>metaldehyde</w:t>
            </w:r>
            <w:proofErr w:type="spellEnd"/>
            <w:r>
              <w:rPr>
                <w:sz w:val="18"/>
                <w:szCs w:val="18"/>
              </w:rPr>
              <w:t xml:space="preserve"> out there!</w:t>
            </w:r>
          </w:p>
        </w:tc>
        <w:tc>
          <w:tcPr>
            <w:tcW w:w="2207" w:type="dxa"/>
            <w:shd w:val="clear" w:color="auto" w:fill="E2EFD9" w:themeFill="accent6" w:themeFillTint="33"/>
          </w:tcPr>
          <w:p w14:paraId="6C30B4A0" w14:textId="77777777"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Metaldehyde is not normally broken down by water processing or aquatic bacteria</w:t>
            </w:r>
          </w:p>
          <w:p w14:paraId="35A34F5F" w14:textId="690E41DE"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But Acinetobacter E1 (soil) can use it as a food source!</w:t>
            </w:r>
          </w:p>
        </w:tc>
        <w:tc>
          <w:tcPr>
            <w:tcW w:w="1628" w:type="dxa"/>
            <w:shd w:val="clear" w:color="auto" w:fill="E2EFD9" w:themeFill="accent6" w:themeFillTint="33"/>
          </w:tcPr>
          <w:p w14:paraId="70220397" w14:textId="77777777"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rPr>
            </w:pPr>
            <w:r>
              <w:rPr>
                <w:sz w:val="18"/>
              </w:rPr>
              <w:lastRenderedPageBreak/>
              <w:t xml:space="preserve">0-1000 </w:t>
            </w:r>
            <w:proofErr w:type="spellStart"/>
            <w:r>
              <w:rPr>
                <w:sz w:val="18"/>
              </w:rPr>
              <w:t>μM</w:t>
            </w:r>
            <w:proofErr w:type="spellEnd"/>
          </w:p>
          <w:p w14:paraId="5528CEBF" w14:textId="78B95B64"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rPr>
            </w:pPr>
            <w:r>
              <w:rPr>
                <w:sz w:val="18"/>
              </w:rPr>
              <w:t>(not that it’s directly comparable)</w:t>
            </w:r>
          </w:p>
        </w:tc>
        <w:tc>
          <w:tcPr>
            <w:tcW w:w="1239" w:type="dxa"/>
            <w:shd w:val="clear" w:color="auto" w:fill="E2EFD9" w:themeFill="accent6" w:themeFillTint="33"/>
          </w:tcPr>
          <w:p w14:paraId="19904A0F" w14:textId="3C1CFBF8"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Mineral medium</w:t>
            </w:r>
          </w:p>
        </w:tc>
        <w:tc>
          <w:tcPr>
            <w:tcW w:w="2750" w:type="dxa"/>
            <w:shd w:val="clear" w:color="auto" w:fill="E2EFD9" w:themeFill="accent6" w:themeFillTint="33"/>
          </w:tcPr>
          <w:p w14:paraId="5B1ECBB0" w14:textId="77777777" w:rsidR="005114EC"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0.018 μg.l</w:t>
            </w:r>
            <w:r w:rsidRPr="00317194">
              <w:rPr>
                <w:sz w:val="18"/>
                <w:szCs w:val="18"/>
                <w:vertAlign w:val="superscript"/>
              </w:rPr>
              <w:t>-1</w:t>
            </w:r>
            <w:r>
              <w:rPr>
                <w:sz w:val="18"/>
                <w:szCs w:val="18"/>
              </w:rPr>
              <w:t>(Sunningdale Tap Water)</w:t>
            </w:r>
          </w:p>
          <w:p w14:paraId="4F75DEAA" w14:textId="33B7D97B" w:rsidR="005114EC" w:rsidRPr="00317194" w:rsidRDefault="005114EC" w:rsidP="005114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Present at 3-8% in commercial formulations, adjuvants unknown</w:t>
            </w:r>
          </w:p>
        </w:tc>
      </w:tr>
      <w:tr w:rsidR="005114EC" w14:paraId="37407436" w14:textId="77777777" w:rsidTr="00ED24B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shd w:val="clear" w:color="auto" w:fill="E2EFD9" w:themeFill="accent6" w:themeFillTint="33"/>
          </w:tcPr>
          <w:p w14:paraId="7715B72E" w14:textId="11AD7BA4" w:rsidR="005114EC" w:rsidRDefault="005114EC" w:rsidP="005114EC">
            <w:r>
              <w:t>Benzene</w:t>
            </w:r>
          </w:p>
        </w:tc>
        <w:tc>
          <w:tcPr>
            <w:tcW w:w="1778" w:type="dxa"/>
            <w:shd w:val="clear" w:color="auto" w:fill="E2EFD9" w:themeFill="accent6" w:themeFillTint="33"/>
          </w:tcPr>
          <w:p w14:paraId="17214FE2" w14:textId="320E7F45"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rPr>
            </w:pPr>
            <w:r>
              <w:rPr>
                <w:sz w:val="18"/>
              </w:rPr>
              <w:t>PAH petrol additive, used as stock in many synthesis pipelines</w:t>
            </w:r>
          </w:p>
        </w:tc>
        <w:tc>
          <w:tcPr>
            <w:tcW w:w="1549" w:type="dxa"/>
            <w:shd w:val="clear" w:color="auto" w:fill="E2EFD9" w:themeFill="accent6" w:themeFillTint="33"/>
          </w:tcPr>
          <w:p w14:paraId="7402416D" w14:textId="54E3B50F"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rPr>
            </w:pPr>
            <w:r>
              <w:rPr>
                <w:sz w:val="18"/>
              </w:rPr>
              <w:t>Mutagenesis</w:t>
            </w:r>
          </w:p>
        </w:tc>
        <w:tc>
          <w:tcPr>
            <w:tcW w:w="1883" w:type="dxa"/>
            <w:shd w:val="clear" w:color="auto" w:fill="E2EFD9" w:themeFill="accent6" w:themeFillTint="33"/>
          </w:tcPr>
          <w:p w14:paraId="1594F8DF" w14:textId="09BA1BDD"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"10.1016/J.CHEMOSPHERE.2006.06.031", "ISSN" : "0045-6535", "abstract" : "Despite the fact that creosote mainly consists of polycyclic aromatic hydrocarbons (PAHs), more polar compounds like phenolics, benzenes and N-, S-, O-heterocyclics dominate the groundwater downstream from creosote-contaminated sites. In this study, bioassay-directed fractionation, combined with fullscan GC\u2013MS, identified organic toxicants in creosote-contaminated groundwater. An organic extract of creosote-contaminated groundwater was fractionated on a polar silica column using high performance liquid chromatography (HPLC), and the toxicity of the fractions was measured by the Microtox\u00ae-bioassay. PAHs, which comprise up to 85% of pure creosote, accounted for only about 13% of total toxicity in the creosote-contaminated groundwater, while methylated benzenes, phenolics and N-heterocyclics accounted for ca. 80% of the measured toxicity. The fraction containing alkylated quinolines was the most toxic single fraction, accounting for 26% of the total measured toxicity. The results imply that focus on PAHs may underestimate risks associated with creosote-contaminated groundwater, and that environmental risk assessment should focus to a higher degree on substituted PAHs and phenolics because they are more toxic than the unsubstituted ones. Additionally, benzenes and N-heterocyclics (e.g., alkylated quinolines) should be assessed.", "author" : [ { "dropping-particle" : "", "family" : "Hartnik", "given" : "Thomas", "non-dropping-particle" : "", "parse-names" : false, "suffix" : "" }, { "dropping-particle" : "", "family" : "Norli", "given" : "Hans Ragnar", "non-dropping-particle" : "", "parse-names" : false, "suffix" : "" }, { "dropping-particle" : "", "family" : "Eggen", "given" : "Trine", "non-dropping-particle" : "", "parse-names" : false, "suffix" : "" }, { "dropping-particle" : "", "family" : "Breedveld", "given" : "Gijsbert D.", "non-dropping-particle" : "", "parse-names" : false, "suffix" : "" } ], "container-title" : "Chemosphere", "id" : "ITEM-1", "issue" : "3", "issued" : { "date-parts" : [ [ "2007", "1", "1" ] ] }, "page" : "435-443", "publisher" : "Pergamon", "title" : "Bioassay-directed identification of toxic organic compounds in creosote-contaminated groundwater", "type" : "article-journal", "volume" : "66" }, "uris" : [ "http://www.mendeley.com/documents/?uuid=7ebe31e6-d1ae-3112-8b1a-88efc0b6dcba" ] }, { "id" : "ITEM-2",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"ITEM-2", "issued" : { "date-parts" : [ [ "2009" ] ] }, "page" : "1-15", "title" : "Biodegradation aspects of Polycyclic Aromatic Hydrocarbons (PAHs): A review", "type" : "article-journal", "volume" : "169" }, "uris" : [ "http://www.mendeley.com/documents/?uuid=cb453e81-8f83-3a26-b533-014de2217afb" ] } ], "mendeley" : { "formattedCitation" : "(Hartnik &lt;i&gt;et al.&lt;/i&gt;, 2007; Haritash and Kaushik, 2009)", "plainTextFormattedCitation" : "(Hartnik et al., 2007; Haritash and Kaushik, 2009)", "previouslyFormattedCitation" : "(Hartnik &lt;i&gt;et al.&lt;/i&gt;, 2007; Haritash and Kaushik, 2009)" }, "properties" : {  }, "schema" : "https://github.com/citation-style-language/schema/raw/master/csl-citation.json" }</w:instrText>
            </w:r>
            <w:r>
              <w:rPr>
                <w:sz w:val="18"/>
                <w:szCs w:val="18"/>
              </w:rPr>
              <w:fldChar w:fldCharType="separate"/>
            </w:r>
            <w:r w:rsidRPr="007D1857">
              <w:rPr>
                <w:noProof/>
                <w:sz w:val="18"/>
                <w:szCs w:val="18"/>
              </w:rPr>
              <w:t xml:space="preserve">(Hartnik </w:t>
            </w:r>
            <w:r w:rsidRPr="007D1857">
              <w:rPr>
                <w:i/>
                <w:noProof/>
                <w:sz w:val="18"/>
                <w:szCs w:val="18"/>
              </w:rPr>
              <w:t>et al.</w:t>
            </w:r>
            <w:r w:rsidRPr="007D1857">
              <w:rPr>
                <w:noProof/>
                <w:sz w:val="18"/>
                <w:szCs w:val="18"/>
              </w:rPr>
              <w:t>, 2007; Haritash and Kaushik, 2009)</w:t>
            </w:r>
            <w:r>
              <w:rPr>
                <w:sz w:val="18"/>
                <w:szCs w:val="18"/>
              </w:rPr>
              <w:fldChar w:fldCharType="end"/>
            </w:r>
            <w:r>
              <w:rPr>
                <w:sz w:val="18"/>
                <w:szCs w:val="18"/>
              </w:rPr>
              <w:t xml:space="preserve"> </w:t>
            </w:r>
          </w:p>
        </w:tc>
        <w:tc>
          <w:tcPr>
            <w:tcW w:w="2207" w:type="dxa"/>
            <w:shd w:val="clear" w:color="auto" w:fill="E2EFD9" w:themeFill="accent6" w:themeFillTint="33"/>
          </w:tcPr>
          <w:p w14:paraId="5F16977B" w14:textId="77777777"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w:t>
            </w:r>
            <w:r>
              <w:rPr>
                <w:sz w:val="18"/>
                <w:szCs w:val="18"/>
              </w:rPr>
              <w:t>15</w:t>
            </w:r>
            <w:r>
              <w:rPr>
                <w:sz w:val="18"/>
                <w:szCs w:val="18"/>
              </w:rPr>
              <w:t xml:space="preserve"> minutes</w:t>
            </w:r>
          </w:p>
          <w:p w14:paraId="0F1C49AC" w14:textId="47C2449B"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Many aquatic bacteria are known to degrade benzene</w:t>
            </w:r>
          </w:p>
        </w:tc>
        <w:tc>
          <w:tcPr>
            <w:tcW w:w="1628" w:type="dxa"/>
            <w:shd w:val="clear" w:color="auto" w:fill="E2EFD9" w:themeFill="accent6" w:themeFillTint="33"/>
          </w:tcPr>
          <w:p w14:paraId="4B4309F9" w14:textId="1E5E300A"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EC50 </w:t>
            </w:r>
            <w:r w:rsidRPr="00DB6AFF">
              <w:rPr>
                <w:sz w:val="18"/>
              </w:rPr>
              <w:t>102.78</w:t>
            </w:r>
            <w:r>
              <w:rPr>
                <w:sz w:val="18"/>
              </w:rPr>
              <w:t xml:space="preserve"> mg.l</w:t>
            </w:r>
            <w:r w:rsidRPr="00DB6AFF">
              <w:rPr>
                <w:sz w:val="18"/>
                <w:vertAlign w:val="superscript"/>
              </w:rPr>
              <w:t>-1</w:t>
            </w:r>
          </w:p>
        </w:tc>
        <w:tc>
          <w:tcPr>
            <w:tcW w:w="1239" w:type="dxa"/>
            <w:shd w:val="clear" w:color="auto" w:fill="E2EFD9" w:themeFill="accent6" w:themeFillTint="33"/>
          </w:tcPr>
          <w:p w14:paraId="65E28207" w14:textId="04304D42"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DMSO</w:t>
            </w:r>
          </w:p>
        </w:tc>
        <w:tc>
          <w:tcPr>
            <w:tcW w:w="2750" w:type="dxa"/>
            <w:shd w:val="clear" w:color="auto" w:fill="E2EFD9" w:themeFill="accent6" w:themeFillTint="33"/>
          </w:tcPr>
          <w:p w14:paraId="07FCCB46" w14:textId="6C206B90"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w:t>
            </w:r>
            <w:r>
              <w:rPr>
                <w:sz w:val="18"/>
                <w:szCs w:val="18"/>
              </w:rPr>
              <w:t>2</w:t>
            </w:r>
            <w:r>
              <w:rPr>
                <w:sz w:val="18"/>
                <w:szCs w:val="18"/>
              </w:rPr>
              <w:t xml:space="preserve"> μg.l</w:t>
            </w:r>
            <w:r w:rsidRPr="00317194">
              <w:rPr>
                <w:sz w:val="18"/>
                <w:szCs w:val="18"/>
                <w:vertAlign w:val="superscript"/>
              </w:rPr>
              <w:t>-1</w:t>
            </w:r>
            <w:r>
              <w:rPr>
                <w:sz w:val="18"/>
                <w:szCs w:val="18"/>
              </w:rPr>
              <w:t xml:space="preserve"> </w:t>
            </w:r>
            <w:r>
              <w:rPr>
                <w:sz w:val="18"/>
                <w:szCs w:val="18"/>
              </w:rPr>
              <w:t>(Sunningdale Tap Water)</w:t>
            </w:r>
          </w:p>
          <w:p w14:paraId="3DA327F3" w14:textId="77777777" w:rsidR="005114EC" w:rsidRDefault="005114EC" w:rsidP="005114EC">
            <w:pPr>
              <w:cnfStyle w:val="000000100000" w:firstRow="0" w:lastRow="0" w:firstColumn="0" w:lastColumn="0" w:oddVBand="0" w:evenVBand="0" w:oddHBand="1" w:evenHBand="0" w:firstRowFirstColumn="0" w:firstRowLastColumn="0" w:lastRowFirstColumn="0" w:lastRowLastColumn="0"/>
              <w:rPr>
                <w:sz w:val="18"/>
                <w:szCs w:val="18"/>
              </w:rPr>
            </w:pPr>
          </w:p>
        </w:tc>
      </w:tr>
      <w:tr w:rsidR="00ED24BB" w14:paraId="394FB32D" w14:textId="77777777" w:rsidTr="00ED24BB">
        <w:trPr>
          <w:trHeight w:val="276"/>
        </w:trPr>
        <w:tc>
          <w:tcPr>
            <w:cnfStyle w:val="001000000000" w:firstRow="0" w:lastRow="0" w:firstColumn="1" w:lastColumn="0" w:oddVBand="0" w:evenVBand="0" w:oddHBand="0" w:evenHBand="0" w:firstRowFirstColumn="0" w:firstRowLastColumn="0" w:lastRowFirstColumn="0" w:lastRowLastColumn="0"/>
            <w:tcW w:w="1987" w:type="dxa"/>
            <w:shd w:val="clear" w:color="auto" w:fill="E2EFD9" w:themeFill="accent6" w:themeFillTint="33"/>
          </w:tcPr>
          <w:p w14:paraId="3F105B3E" w14:textId="6CDAFCCF" w:rsidR="00ED24BB" w:rsidRDefault="00ED24BB" w:rsidP="005114EC">
            <w:r>
              <w:t>Iron</w:t>
            </w:r>
          </w:p>
        </w:tc>
        <w:tc>
          <w:tcPr>
            <w:tcW w:w="1778" w:type="dxa"/>
            <w:shd w:val="clear" w:color="auto" w:fill="E2EFD9" w:themeFill="accent6" w:themeFillTint="33"/>
          </w:tcPr>
          <w:p w14:paraId="71893ED3" w14:textId="77777777" w:rsidR="00ED24BB" w:rsidRDefault="00ED24BB" w:rsidP="005114EC">
            <w:pPr>
              <w:cnfStyle w:val="000000000000" w:firstRow="0" w:lastRow="0" w:firstColumn="0" w:lastColumn="0" w:oddVBand="0" w:evenVBand="0" w:oddHBand="0" w:evenHBand="0" w:firstRowFirstColumn="0" w:firstRowLastColumn="0" w:lastRowFirstColumn="0" w:lastRowLastColumn="0"/>
              <w:rPr>
                <w:sz w:val="18"/>
              </w:rPr>
            </w:pPr>
          </w:p>
        </w:tc>
        <w:tc>
          <w:tcPr>
            <w:tcW w:w="1549" w:type="dxa"/>
            <w:shd w:val="clear" w:color="auto" w:fill="E2EFD9" w:themeFill="accent6" w:themeFillTint="33"/>
          </w:tcPr>
          <w:p w14:paraId="393C14AC" w14:textId="77777777" w:rsidR="00ED24BB" w:rsidRDefault="00ED24BB" w:rsidP="005114EC">
            <w:pPr>
              <w:cnfStyle w:val="000000000000" w:firstRow="0" w:lastRow="0" w:firstColumn="0" w:lastColumn="0" w:oddVBand="0" w:evenVBand="0" w:oddHBand="0" w:evenHBand="0" w:firstRowFirstColumn="0" w:firstRowLastColumn="0" w:lastRowFirstColumn="0" w:lastRowLastColumn="0"/>
              <w:rPr>
                <w:sz w:val="18"/>
              </w:rPr>
            </w:pPr>
          </w:p>
        </w:tc>
        <w:tc>
          <w:tcPr>
            <w:tcW w:w="1883" w:type="dxa"/>
            <w:shd w:val="clear" w:color="auto" w:fill="E2EFD9" w:themeFill="accent6" w:themeFillTint="33"/>
          </w:tcPr>
          <w:p w14:paraId="50F1D33D" w14:textId="77777777" w:rsidR="00ED24BB" w:rsidRDefault="00ED24BB" w:rsidP="005114EC">
            <w:pPr>
              <w:cnfStyle w:val="000000000000" w:firstRow="0" w:lastRow="0" w:firstColumn="0" w:lastColumn="0" w:oddVBand="0" w:evenVBand="0" w:oddHBand="0" w:evenHBand="0" w:firstRowFirstColumn="0" w:firstRowLastColumn="0" w:lastRowFirstColumn="0" w:lastRowLastColumn="0"/>
              <w:rPr>
                <w:sz w:val="18"/>
                <w:szCs w:val="18"/>
              </w:rPr>
            </w:pPr>
          </w:p>
        </w:tc>
        <w:tc>
          <w:tcPr>
            <w:tcW w:w="2207" w:type="dxa"/>
            <w:shd w:val="clear" w:color="auto" w:fill="E2EFD9" w:themeFill="accent6" w:themeFillTint="33"/>
          </w:tcPr>
          <w:p w14:paraId="6841B34F" w14:textId="77777777" w:rsidR="00ED24BB" w:rsidRDefault="00ED24BB" w:rsidP="005114EC">
            <w:pPr>
              <w:cnfStyle w:val="000000000000" w:firstRow="0" w:lastRow="0" w:firstColumn="0" w:lastColumn="0" w:oddVBand="0" w:evenVBand="0" w:oddHBand="0" w:evenHBand="0" w:firstRowFirstColumn="0" w:firstRowLastColumn="0" w:lastRowFirstColumn="0" w:lastRowLastColumn="0"/>
              <w:rPr>
                <w:sz w:val="18"/>
                <w:szCs w:val="18"/>
              </w:rPr>
            </w:pPr>
          </w:p>
        </w:tc>
        <w:tc>
          <w:tcPr>
            <w:tcW w:w="1628" w:type="dxa"/>
            <w:shd w:val="clear" w:color="auto" w:fill="E2EFD9" w:themeFill="accent6" w:themeFillTint="33"/>
          </w:tcPr>
          <w:p w14:paraId="3B88C9F9" w14:textId="77777777" w:rsidR="00ED24BB" w:rsidRDefault="00ED24BB" w:rsidP="005114EC">
            <w:pPr>
              <w:cnfStyle w:val="000000000000" w:firstRow="0" w:lastRow="0" w:firstColumn="0" w:lastColumn="0" w:oddVBand="0" w:evenVBand="0" w:oddHBand="0" w:evenHBand="0" w:firstRowFirstColumn="0" w:firstRowLastColumn="0" w:lastRowFirstColumn="0" w:lastRowLastColumn="0"/>
              <w:rPr>
                <w:sz w:val="18"/>
              </w:rPr>
            </w:pPr>
          </w:p>
        </w:tc>
        <w:tc>
          <w:tcPr>
            <w:tcW w:w="1239" w:type="dxa"/>
            <w:shd w:val="clear" w:color="auto" w:fill="E2EFD9" w:themeFill="accent6" w:themeFillTint="33"/>
          </w:tcPr>
          <w:p w14:paraId="09B91AFE" w14:textId="77777777" w:rsidR="00ED24BB" w:rsidRDefault="00ED24BB" w:rsidP="005114EC">
            <w:pPr>
              <w:cnfStyle w:val="000000000000" w:firstRow="0" w:lastRow="0" w:firstColumn="0" w:lastColumn="0" w:oddVBand="0" w:evenVBand="0" w:oddHBand="0" w:evenHBand="0" w:firstRowFirstColumn="0" w:firstRowLastColumn="0" w:lastRowFirstColumn="0" w:lastRowLastColumn="0"/>
              <w:rPr>
                <w:sz w:val="18"/>
                <w:szCs w:val="18"/>
              </w:rPr>
            </w:pPr>
          </w:p>
        </w:tc>
        <w:tc>
          <w:tcPr>
            <w:tcW w:w="2750" w:type="dxa"/>
            <w:shd w:val="clear" w:color="auto" w:fill="E2EFD9" w:themeFill="accent6" w:themeFillTint="33"/>
          </w:tcPr>
          <w:p w14:paraId="0994D11A" w14:textId="496C57C6" w:rsidR="00ED24BB" w:rsidRDefault="00387987" w:rsidP="003879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&lt;15</w:t>
            </w:r>
            <w:r w:rsidR="00D240DB">
              <w:rPr>
                <w:sz w:val="18"/>
                <w:szCs w:val="18"/>
              </w:rPr>
              <w:t>.0</w:t>
            </w:r>
            <w:bookmarkStart w:id="0" w:name="_GoBack"/>
            <w:bookmarkEnd w:id="0"/>
            <w:r>
              <w:rPr>
                <w:sz w:val="18"/>
                <w:szCs w:val="18"/>
              </w:rPr>
              <w:t xml:space="preserve"> μg.l</w:t>
            </w:r>
            <w:r w:rsidRPr="00317194">
              <w:rPr>
                <w:sz w:val="18"/>
                <w:szCs w:val="18"/>
                <w:vertAlign w:val="superscript"/>
              </w:rPr>
              <w:t>-1</w:t>
            </w:r>
            <w:r>
              <w:rPr>
                <w:sz w:val="18"/>
                <w:szCs w:val="18"/>
              </w:rPr>
              <w:t xml:space="preserve"> (Sunningdale Tap Water)</w:t>
            </w:r>
          </w:p>
          <w:p w14:paraId="1D4D4B55" w14:textId="27CEC9DB" w:rsidR="00387987" w:rsidRDefault="00387987" w:rsidP="003879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Included as </w:t>
            </w:r>
            <w:proofErr w:type="spellStart"/>
            <w:r>
              <w:rPr>
                <w:sz w:val="18"/>
                <w:szCs w:val="18"/>
              </w:rPr>
              <w:t>Silwood</w:t>
            </w:r>
            <w:proofErr w:type="spellEnd"/>
            <w:r>
              <w:rPr>
                <w:sz w:val="18"/>
                <w:szCs w:val="18"/>
              </w:rPr>
              <w:t xml:space="preserve"> water is iron-rich</w:t>
            </w:r>
          </w:p>
        </w:tc>
      </w:tr>
    </w:tbl>
    <w:p w14:paraId="63834BCA" w14:textId="77777777" w:rsidR="001916E1" w:rsidRDefault="001916E1"/>
    <w:sectPr w:rsidR="001916E1" w:rsidSect="00C6332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13"/>
    <w:rsid w:val="0000308B"/>
    <w:rsid w:val="00011BB1"/>
    <w:rsid w:val="0001644A"/>
    <w:rsid w:val="00032577"/>
    <w:rsid w:val="000402F9"/>
    <w:rsid w:val="0004463E"/>
    <w:rsid w:val="000552E5"/>
    <w:rsid w:val="00081477"/>
    <w:rsid w:val="000820B9"/>
    <w:rsid w:val="00083B7B"/>
    <w:rsid w:val="000A6982"/>
    <w:rsid w:val="000A7B72"/>
    <w:rsid w:val="000B03BA"/>
    <w:rsid w:val="000B7518"/>
    <w:rsid w:val="000B75C7"/>
    <w:rsid w:val="000C4873"/>
    <w:rsid w:val="000D0172"/>
    <w:rsid w:val="000D03BC"/>
    <w:rsid w:val="000D5565"/>
    <w:rsid w:val="000D67FE"/>
    <w:rsid w:val="000E4A86"/>
    <w:rsid w:val="000E5CF0"/>
    <w:rsid w:val="000F44F0"/>
    <w:rsid w:val="0010465C"/>
    <w:rsid w:val="00104F33"/>
    <w:rsid w:val="001076A1"/>
    <w:rsid w:val="00114CA8"/>
    <w:rsid w:val="0012215C"/>
    <w:rsid w:val="00122B45"/>
    <w:rsid w:val="0012501D"/>
    <w:rsid w:val="00127648"/>
    <w:rsid w:val="001360BB"/>
    <w:rsid w:val="001408F6"/>
    <w:rsid w:val="001409C2"/>
    <w:rsid w:val="0015272F"/>
    <w:rsid w:val="0017381B"/>
    <w:rsid w:val="0017772D"/>
    <w:rsid w:val="001801D9"/>
    <w:rsid w:val="001916E1"/>
    <w:rsid w:val="001B0675"/>
    <w:rsid w:val="001B4A5D"/>
    <w:rsid w:val="001C7035"/>
    <w:rsid w:val="001E7E68"/>
    <w:rsid w:val="00204DD5"/>
    <w:rsid w:val="00234990"/>
    <w:rsid w:val="00246A6F"/>
    <w:rsid w:val="00251337"/>
    <w:rsid w:val="0025734E"/>
    <w:rsid w:val="00262A75"/>
    <w:rsid w:val="00263EB5"/>
    <w:rsid w:val="00265641"/>
    <w:rsid w:val="002777FC"/>
    <w:rsid w:val="00281713"/>
    <w:rsid w:val="002C6AB5"/>
    <w:rsid w:val="002D3B7E"/>
    <w:rsid w:val="00317194"/>
    <w:rsid w:val="003179D7"/>
    <w:rsid w:val="0032265D"/>
    <w:rsid w:val="003249C8"/>
    <w:rsid w:val="00331AE2"/>
    <w:rsid w:val="003507EF"/>
    <w:rsid w:val="00353F98"/>
    <w:rsid w:val="003662EC"/>
    <w:rsid w:val="0037585A"/>
    <w:rsid w:val="00387987"/>
    <w:rsid w:val="003A7406"/>
    <w:rsid w:val="003A7E82"/>
    <w:rsid w:val="003B07A1"/>
    <w:rsid w:val="003B3C0F"/>
    <w:rsid w:val="003C3E64"/>
    <w:rsid w:val="003C7FC1"/>
    <w:rsid w:val="003E6C62"/>
    <w:rsid w:val="00410B02"/>
    <w:rsid w:val="00412353"/>
    <w:rsid w:val="00412F3A"/>
    <w:rsid w:val="00436334"/>
    <w:rsid w:val="00447101"/>
    <w:rsid w:val="004634E3"/>
    <w:rsid w:val="00483606"/>
    <w:rsid w:val="00484255"/>
    <w:rsid w:val="004A0EDF"/>
    <w:rsid w:val="004A30FC"/>
    <w:rsid w:val="004A62AF"/>
    <w:rsid w:val="004B5980"/>
    <w:rsid w:val="004C409E"/>
    <w:rsid w:val="004D632C"/>
    <w:rsid w:val="004E1786"/>
    <w:rsid w:val="004E3735"/>
    <w:rsid w:val="004E74DB"/>
    <w:rsid w:val="005114EC"/>
    <w:rsid w:val="00546B24"/>
    <w:rsid w:val="00551CA0"/>
    <w:rsid w:val="00556A7F"/>
    <w:rsid w:val="0057181B"/>
    <w:rsid w:val="00597EE2"/>
    <w:rsid w:val="005A4B07"/>
    <w:rsid w:val="005D2F0E"/>
    <w:rsid w:val="005F1E11"/>
    <w:rsid w:val="00607063"/>
    <w:rsid w:val="0061081C"/>
    <w:rsid w:val="00612F99"/>
    <w:rsid w:val="006141BB"/>
    <w:rsid w:val="006365A4"/>
    <w:rsid w:val="00656171"/>
    <w:rsid w:val="006567C0"/>
    <w:rsid w:val="00656955"/>
    <w:rsid w:val="0066270A"/>
    <w:rsid w:val="006640BF"/>
    <w:rsid w:val="0066692B"/>
    <w:rsid w:val="00682913"/>
    <w:rsid w:val="006869E1"/>
    <w:rsid w:val="00697725"/>
    <w:rsid w:val="006A0205"/>
    <w:rsid w:val="006B267C"/>
    <w:rsid w:val="006B2C3A"/>
    <w:rsid w:val="006F3175"/>
    <w:rsid w:val="0070143E"/>
    <w:rsid w:val="00730636"/>
    <w:rsid w:val="007365FF"/>
    <w:rsid w:val="00740454"/>
    <w:rsid w:val="00744FC4"/>
    <w:rsid w:val="007524ED"/>
    <w:rsid w:val="007642D9"/>
    <w:rsid w:val="007759B2"/>
    <w:rsid w:val="007859C7"/>
    <w:rsid w:val="007861EA"/>
    <w:rsid w:val="00792ED3"/>
    <w:rsid w:val="00796C61"/>
    <w:rsid w:val="007A41C0"/>
    <w:rsid w:val="007D1857"/>
    <w:rsid w:val="007D2F58"/>
    <w:rsid w:val="007E0D87"/>
    <w:rsid w:val="007E27E5"/>
    <w:rsid w:val="00803936"/>
    <w:rsid w:val="008078C4"/>
    <w:rsid w:val="00820A61"/>
    <w:rsid w:val="00826348"/>
    <w:rsid w:val="00830426"/>
    <w:rsid w:val="008308C9"/>
    <w:rsid w:val="008368AF"/>
    <w:rsid w:val="0085378E"/>
    <w:rsid w:val="00862030"/>
    <w:rsid w:val="008639EE"/>
    <w:rsid w:val="00863A0C"/>
    <w:rsid w:val="008739D8"/>
    <w:rsid w:val="0088404E"/>
    <w:rsid w:val="00884159"/>
    <w:rsid w:val="0089737B"/>
    <w:rsid w:val="008B7B37"/>
    <w:rsid w:val="008C32F2"/>
    <w:rsid w:val="008C692C"/>
    <w:rsid w:val="008C6F96"/>
    <w:rsid w:val="008D0EAA"/>
    <w:rsid w:val="008E657E"/>
    <w:rsid w:val="008F4E3F"/>
    <w:rsid w:val="00902572"/>
    <w:rsid w:val="00912A59"/>
    <w:rsid w:val="00913873"/>
    <w:rsid w:val="00923281"/>
    <w:rsid w:val="0093508C"/>
    <w:rsid w:val="00960623"/>
    <w:rsid w:val="0098153F"/>
    <w:rsid w:val="0098566A"/>
    <w:rsid w:val="00990F70"/>
    <w:rsid w:val="00993B87"/>
    <w:rsid w:val="009F574E"/>
    <w:rsid w:val="00A02A26"/>
    <w:rsid w:val="00A16FB1"/>
    <w:rsid w:val="00A24ED8"/>
    <w:rsid w:val="00A3251D"/>
    <w:rsid w:val="00A403DD"/>
    <w:rsid w:val="00A46D6B"/>
    <w:rsid w:val="00A617D9"/>
    <w:rsid w:val="00A8371B"/>
    <w:rsid w:val="00A8714C"/>
    <w:rsid w:val="00A90D48"/>
    <w:rsid w:val="00A91B7C"/>
    <w:rsid w:val="00A97DC4"/>
    <w:rsid w:val="00AA2D51"/>
    <w:rsid w:val="00AA411E"/>
    <w:rsid w:val="00AB6146"/>
    <w:rsid w:val="00AC2837"/>
    <w:rsid w:val="00AE00BF"/>
    <w:rsid w:val="00AE268D"/>
    <w:rsid w:val="00AF2DCE"/>
    <w:rsid w:val="00AF5864"/>
    <w:rsid w:val="00AF7915"/>
    <w:rsid w:val="00B14AAC"/>
    <w:rsid w:val="00B36B4D"/>
    <w:rsid w:val="00B56868"/>
    <w:rsid w:val="00BA6E83"/>
    <w:rsid w:val="00BB5579"/>
    <w:rsid w:val="00BC1A0E"/>
    <w:rsid w:val="00BC3020"/>
    <w:rsid w:val="00BC639A"/>
    <w:rsid w:val="00C03BA1"/>
    <w:rsid w:val="00C46368"/>
    <w:rsid w:val="00C50484"/>
    <w:rsid w:val="00C60637"/>
    <w:rsid w:val="00C63326"/>
    <w:rsid w:val="00C64BB1"/>
    <w:rsid w:val="00C72D33"/>
    <w:rsid w:val="00C76767"/>
    <w:rsid w:val="00C84067"/>
    <w:rsid w:val="00C878E1"/>
    <w:rsid w:val="00C903F0"/>
    <w:rsid w:val="00C95CA7"/>
    <w:rsid w:val="00C97AD1"/>
    <w:rsid w:val="00CA151E"/>
    <w:rsid w:val="00CA3310"/>
    <w:rsid w:val="00CC0DF5"/>
    <w:rsid w:val="00CE1771"/>
    <w:rsid w:val="00CE5537"/>
    <w:rsid w:val="00CE6208"/>
    <w:rsid w:val="00CF33FF"/>
    <w:rsid w:val="00CF69BC"/>
    <w:rsid w:val="00D001D4"/>
    <w:rsid w:val="00D02544"/>
    <w:rsid w:val="00D240DB"/>
    <w:rsid w:val="00D26269"/>
    <w:rsid w:val="00D33180"/>
    <w:rsid w:val="00D343E1"/>
    <w:rsid w:val="00D43AEB"/>
    <w:rsid w:val="00D6127C"/>
    <w:rsid w:val="00D70C50"/>
    <w:rsid w:val="00D745B7"/>
    <w:rsid w:val="00D95C6D"/>
    <w:rsid w:val="00DA6762"/>
    <w:rsid w:val="00DA7035"/>
    <w:rsid w:val="00DB1B6C"/>
    <w:rsid w:val="00DB31DA"/>
    <w:rsid w:val="00DB481A"/>
    <w:rsid w:val="00DB6AFF"/>
    <w:rsid w:val="00DD542C"/>
    <w:rsid w:val="00E14415"/>
    <w:rsid w:val="00E149BD"/>
    <w:rsid w:val="00E15ECF"/>
    <w:rsid w:val="00E46194"/>
    <w:rsid w:val="00E53B17"/>
    <w:rsid w:val="00E64588"/>
    <w:rsid w:val="00E901B5"/>
    <w:rsid w:val="00E97F60"/>
    <w:rsid w:val="00EA2D3E"/>
    <w:rsid w:val="00EA728E"/>
    <w:rsid w:val="00ED24BB"/>
    <w:rsid w:val="00EF0F60"/>
    <w:rsid w:val="00EF4548"/>
    <w:rsid w:val="00F073C9"/>
    <w:rsid w:val="00F27800"/>
    <w:rsid w:val="00F3066B"/>
    <w:rsid w:val="00F3068C"/>
    <w:rsid w:val="00F37475"/>
    <w:rsid w:val="00F41098"/>
    <w:rsid w:val="00F45DCD"/>
    <w:rsid w:val="00F675C4"/>
    <w:rsid w:val="00F85620"/>
    <w:rsid w:val="00FA09F7"/>
    <w:rsid w:val="00FA7E6E"/>
    <w:rsid w:val="00FC51C2"/>
    <w:rsid w:val="00FD1ECE"/>
    <w:rsid w:val="00FE0425"/>
    <w:rsid w:val="00FF64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CDE"/>
  <w15:chartTrackingRefBased/>
  <w15:docId w15:val="{074D592A-7454-4E21-B8B6-362638E7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918272">
      <w:bodyDiv w:val="1"/>
      <w:marLeft w:val="0"/>
      <w:marRight w:val="0"/>
      <w:marTop w:val="0"/>
      <w:marBottom w:val="0"/>
      <w:divBdr>
        <w:top w:val="none" w:sz="0" w:space="0" w:color="auto"/>
        <w:left w:val="none" w:sz="0" w:space="0" w:color="auto"/>
        <w:bottom w:val="none" w:sz="0" w:space="0" w:color="auto"/>
        <w:right w:val="none" w:sz="0" w:space="0" w:color="auto"/>
      </w:divBdr>
    </w:div>
    <w:div w:id="15702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4357-E003-492D-A2BE-523AF1FF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8729</Words>
  <Characters>49757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15</cp:revision>
  <dcterms:created xsi:type="dcterms:W3CDTF">2018-04-28T11:28:00Z</dcterms:created>
  <dcterms:modified xsi:type="dcterms:W3CDTF">2018-04-28T13:17:00Z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