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PlainTable1"/>
        <w:tblpPr w:leftFromText="180" w:rightFromText="180" w:vertAnchor="page" w:horzAnchor="margin" w:tblpXSpec="center" w:tblpY="736"/>
        <w:tblW w:w="15077" w:type="dxa"/>
        <w:tblLook w:val="04A0" w:firstRow="1" w:lastRow="0" w:firstColumn="1" w:lastColumn="0" w:noHBand="0" w:noVBand="1"/>
      </w:tblPr>
      <w:tblGrid>
        <w:gridCol w:w="1994"/>
        <w:gridCol w:w="1784"/>
        <w:gridCol w:w="1554"/>
        <w:gridCol w:w="1890"/>
        <w:gridCol w:w="2215"/>
        <w:gridCol w:w="1634"/>
        <w:gridCol w:w="1243"/>
        <w:gridCol w:w="2763"/>
      </w:tblGrid>
      <w:tr w:rsidR="00DA7035" w14:paraId="654F0031" w14:textId="77777777" w:rsidTr="0042618B">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94" w:type="dxa"/>
            <w:shd w:val="clear" w:color="auto" w:fill="A6A6A6" w:themeFill="background1" w:themeFillShade="A6"/>
          </w:tcPr>
          <w:p w14:paraId="2C933DF7" w14:textId="77777777" w:rsidR="00697725" w:rsidRDefault="00697725" w:rsidP="00697725">
            <w:r>
              <w:t>Stressor</w:t>
            </w:r>
          </w:p>
        </w:tc>
        <w:tc>
          <w:tcPr>
            <w:tcW w:w="1784" w:type="dxa"/>
            <w:shd w:val="clear" w:color="auto" w:fill="A6A6A6" w:themeFill="background1" w:themeFillShade="A6"/>
          </w:tcPr>
          <w:p w14:paraId="27BCF3FD" w14:textId="77777777" w:rsidR="00697725" w:rsidRDefault="00697725" w:rsidP="00697725">
            <w:pPr>
              <w:cnfStyle w:val="100000000000" w:firstRow="1" w:lastRow="0" w:firstColumn="0" w:lastColumn="0" w:oddVBand="0" w:evenVBand="0" w:oddHBand="0" w:evenHBand="0" w:firstRowFirstColumn="0" w:firstRowLastColumn="0" w:lastRowFirstColumn="0" w:lastRowLastColumn="0"/>
            </w:pPr>
            <w:r>
              <w:t>Relevance</w:t>
            </w:r>
          </w:p>
        </w:tc>
        <w:tc>
          <w:tcPr>
            <w:tcW w:w="1554" w:type="dxa"/>
            <w:shd w:val="clear" w:color="auto" w:fill="A6A6A6" w:themeFill="background1" w:themeFillShade="A6"/>
          </w:tcPr>
          <w:p w14:paraId="16E900C9" w14:textId="77777777" w:rsidR="00697725" w:rsidRDefault="00697725" w:rsidP="00697725">
            <w:pPr>
              <w:cnfStyle w:val="100000000000" w:firstRow="1" w:lastRow="0" w:firstColumn="0" w:lastColumn="0" w:oddVBand="0" w:evenVBand="0" w:oddHBand="0" w:evenHBand="0" w:firstRowFirstColumn="0" w:firstRowLastColumn="0" w:lastRowFirstColumn="0" w:lastRowLastColumn="0"/>
            </w:pPr>
            <w:r>
              <w:t>Mechanism</w:t>
            </w:r>
          </w:p>
        </w:tc>
        <w:tc>
          <w:tcPr>
            <w:tcW w:w="1890" w:type="dxa"/>
            <w:shd w:val="clear" w:color="auto" w:fill="A6A6A6" w:themeFill="background1" w:themeFillShade="A6"/>
          </w:tcPr>
          <w:p w14:paraId="03CFEAA0" w14:textId="77777777" w:rsidR="00697725" w:rsidRDefault="00697725" w:rsidP="00697725">
            <w:pPr>
              <w:cnfStyle w:val="100000000000" w:firstRow="1" w:lastRow="0" w:firstColumn="0" w:lastColumn="0" w:oddVBand="0" w:evenVBand="0" w:oddHBand="0" w:evenHBand="0" w:firstRowFirstColumn="0" w:firstRowLastColumn="0" w:lastRowFirstColumn="0" w:lastRowLastColumn="0"/>
            </w:pPr>
            <w:r>
              <w:t>Literature</w:t>
            </w:r>
          </w:p>
        </w:tc>
        <w:tc>
          <w:tcPr>
            <w:tcW w:w="2215" w:type="dxa"/>
            <w:shd w:val="clear" w:color="auto" w:fill="A6A6A6" w:themeFill="background1" w:themeFillShade="A6"/>
          </w:tcPr>
          <w:p w14:paraId="5A68BA2A" w14:textId="77777777" w:rsidR="00697725" w:rsidRDefault="00697725" w:rsidP="00697725">
            <w:pPr>
              <w:cnfStyle w:val="100000000000" w:firstRow="1" w:lastRow="0" w:firstColumn="0" w:lastColumn="0" w:oddVBand="0" w:evenVBand="0" w:oddHBand="0" w:evenHBand="0" w:firstRowFirstColumn="0" w:firstRowLastColumn="0" w:lastRowFirstColumn="0" w:lastRowLastColumn="0"/>
            </w:pPr>
            <w:r>
              <w:t>Findings</w:t>
            </w:r>
          </w:p>
        </w:tc>
        <w:tc>
          <w:tcPr>
            <w:tcW w:w="1634" w:type="dxa"/>
            <w:shd w:val="clear" w:color="auto" w:fill="A6A6A6" w:themeFill="background1" w:themeFillShade="A6"/>
          </w:tcPr>
          <w:p w14:paraId="7EBAC661" w14:textId="77777777" w:rsidR="00697725" w:rsidRDefault="00697725" w:rsidP="00697725">
            <w:pPr>
              <w:cnfStyle w:val="100000000000" w:firstRow="1" w:lastRow="0" w:firstColumn="0" w:lastColumn="0" w:oddVBand="0" w:evenVBand="0" w:oddHBand="0" w:evenHBand="0" w:firstRowFirstColumn="0" w:firstRowLastColumn="0" w:lastRowFirstColumn="0" w:lastRowLastColumn="0"/>
            </w:pPr>
            <w:r>
              <w:t xml:space="preserve">Study Conc. </w:t>
            </w:r>
          </w:p>
        </w:tc>
        <w:tc>
          <w:tcPr>
            <w:tcW w:w="1243" w:type="dxa"/>
            <w:shd w:val="clear" w:color="auto" w:fill="A6A6A6" w:themeFill="background1" w:themeFillShade="A6"/>
          </w:tcPr>
          <w:p w14:paraId="5E59715F" w14:textId="0EE9478F" w:rsidR="00697725" w:rsidRDefault="00697725" w:rsidP="00697725">
            <w:pPr>
              <w:cnfStyle w:val="100000000000" w:firstRow="1" w:lastRow="0" w:firstColumn="0" w:lastColumn="0" w:oddVBand="0" w:evenVBand="0" w:oddHBand="0" w:evenHBand="0" w:firstRowFirstColumn="0" w:firstRowLastColumn="0" w:lastRowFirstColumn="0" w:lastRowLastColumn="0"/>
            </w:pPr>
            <w:r>
              <w:t xml:space="preserve">Solvent </w:t>
            </w:r>
          </w:p>
        </w:tc>
        <w:tc>
          <w:tcPr>
            <w:tcW w:w="2763" w:type="dxa"/>
            <w:shd w:val="clear" w:color="auto" w:fill="A6A6A6" w:themeFill="background1" w:themeFillShade="A6"/>
          </w:tcPr>
          <w:p w14:paraId="285F265A" w14:textId="124494AC" w:rsidR="00697725" w:rsidRDefault="001B4032" w:rsidP="00697725">
            <w:pPr>
              <w:cnfStyle w:val="100000000000" w:firstRow="1" w:lastRow="0" w:firstColumn="0" w:lastColumn="0" w:oddVBand="0" w:evenVBand="0" w:oddHBand="0" w:evenHBand="0" w:firstRowFirstColumn="0" w:firstRowLastColumn="0" w:lastRowFirstColumn="0" w:lastRowLastColumn="0"/>
            </w:pPr>
            <w:r>
              <w:t>Legislative Limit</w:t>
            </w:r>
            <w:r w:rsidR="00E34473">
              <w:t>/Field Dose</w:t>
            </w:r>
          </w:p>
        </w:tc>
      </w:tr>
      <w:tr w:rsidR="0061480A" w14:paraId="00891587" w14:textId="77777777" w:rsidTr="003417B9">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077" w:type="dxa"/>
            <w:gridSpan w:val="8"/>
            <w:shd w:val="clear" w:color="auto" w:fill="DEEAF6" w:themeFill="accent5" w:themeFillTint="33"/>
          </w:tcPr>
          <w:p w14:paraId="5CE2B6BB" w14:textId="542B4E05" w:rsidR="0061480A" w:rsidRDefault="0061480A" w:rsidP="00697725">
            <w:pPr>
              <w:rPr>
                <w:sz w:val="18"/>
                <w:szCs w:val="18"/>
              </w:rPr>
            </w:pPr>
            <w:r>
              <w:t>Antibiotics</w:t>
            </w:r>
          </w:p>
        </w:tc>
      </w:tr>
      <w:tr w:rsidR="00DA7035" w14:paraId="15E9093C" w14:textId="77777777" w:rsidTr="0042618B">
        <w:trPr>
          <w:trHeight w:val="285"/>
        </w:trPr>
        <w:tc>
          <w:tcPr>
            <w:cnfStyle w:val="001000000000" w:firstRow="0" w:lastRow="0" w:firstColumn="1" w:lastColumn="0" w:oddVBand="0" w:evenVBand="0" w:oddHBand="0" w:evenHBand="0" w:firstRowFirstColumn="0" w:firstRowLastColumn="0" w:lastRowFirstColumn="0" w:lastRowLastColumn="0"/>
            <w:tcW w:w="1994" w:type="dxa"/>
            <w:shd w:val="clear" w:color="auto" w:fill="DEEAF6" w:themeFill="accent5" w:themeFillTint="33"/>
          </w:tcPr>
          <w:p w14:paraId="76A437DC" w14:textId="679E21FB" w:rsidR="00697725" w:rsidRPr="003417B9" w:rsidRDefault="00C50484" w:rsidP="00697725">
            <w:pPr>
              <w:rPr>
                <w:b w:val="0"/>
              </w:rPr>
            </w:pPr>
            <w:r w:rsidRPr="003417B9">
              <w:rPr>
                <w:b w:val="0"/>
              </w:rPr>
              <w:t>Chloramphenicol</w:t>
            </w:r>
          </w:p>
        </w:tc>
        <w:tc>
          <w:tcPr>
            <w:tcW w:w="1784" w:type="dxa"/>
            <w:shd w:val="clear" w:color="auto" w:fill="DEEAF6" w:themeFill="accent5" w:themeFillTint="33"/>
          </w:tcPr>
          <w:p w14:paraId="14FFE797" w14:textId="6E36418A" w:rsidR="00697725" w:rsidRPr="008639EE" w:rsidRDefault="00C50484" w:rsidP="0069772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Common and long-used antibiotic (bacteriostatic)</w:t>
            </w:r>
          </w:p>
        </w:tc>
        <w:tc>
          <w:tcPr>
            <w:tcW w:w="1554" w:type="dxa"/>
            <w:shd w:val="clear" w:color="auto" w:fill="DEEAF6" w:themeFill="accent5" w:themeFillTint="33"/>
          </w:tcPr>
          <w:p w14:paraId="3864384A" w14:textId="2BFC5365" w:rsidR="00697725" w:rsidRPr="008639EE" w:rsidRDefault="00C50484" w:rsidP="0069772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Inhibits protein chain elongation via peptidyl transferase</w:t>
            </w:r>
          </w:p>
        </w:tc>
        <w:tc>
          <w:tcPr>
            <w:tcW w:w="1890" w:type="dxa"/>
            <w:shd w:val="clear" w:color="auto" w:fill="DEEAF6" w:themeFill="accent5" w:themeFillTint="33"/>
          </w:tcPr>
          <w:p w14:paraId="77D03DB4" w14:textId="46C2816A" w:rsidR="00697725" w:rsidRPr="008639EE" w:rsidRDefault="00C50484" w:rsidP="0069772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CD43F8">
              <w:rPr>
                <w:sz w:val="18"/>
                <w:szCs w:val="18"/>
              </w:rPr>
              <w:instrText>ADDIN CSL_CITATION { "citationItems" : [ { "id" : "ITEM-1", "itemData" : { "DOI" : "10.1016/S0045-6535(98)00560-8", "ISSN" : "0045-6535", "abstract" : "Despite their common use the fate and effects of antibiotics in the environment are largely unknown. These compounds may enter the environment through different pathways, resulting in the contamination of waste water or fresh water, where bacteria are most likely the primarily affected organisms. In this paper the toxicity of several drugs, reflecting the most important groups of antibiotics and chemotherapeutics, towards Vibrio fischeri are presented. The chronic bioluminescence inhibition assay with Vibrio fischeri is shown to be sensitive against many of the high volume antibiotics used for veterinary purposes and in aquaculture. Thus the assay may be a valuable tool for an effects assessment and biomonitoring of these xenobiotics. The available data for both parts of the risk assessment procedure \u2014 exposure assessment and effects assessment \u2014 have to be regarded as insufficient for most antibiotics. When the available data about environmental concentrations of antibiotics are compared with their toxicity towards Vibrio fischeri, direct effects on natural microbial communities are to be expected.", "author" : [ { "dropping-particle" : "", "family" : "Backhaus", "given" : "T.", "non-dropping-particle" : "", "parse-names" : false, "suffix" : "" }, { "dropping-particle" : "", "family" : "Grimme", "given" : "L.H.", "non-dropping-particle" : "", "parse-names" : false, "suffix" : "" } ], "container-title" : "Chemosphere", "id" : "ITEM-1", "issue" : "14", "issued" : { "date-parts" : [ [ "1999", "6", "1" ] ] }, "page" : "3291-3301", "publisher" : "Pergamon", "title" : "The toxicity of antibiotic agents to the luminescent bacterium Vibrio fischeri", "type" : "article-journal", "volume" : "38" }, "uris" : [ "http://www.mendeley.com/documents/?uuid=8096c6bc-6756-37a2-a65b-b8550b405abe" ] }, { "id" : "ITEM-2", "itemData" : { "DOI" : "10.1016/J.CHEMOSPHERE.2008.11.086", "ISSN" : "0045-6535", "abstract" : "Although antibiotics have been used in large quantities for some decades, until recently the existence of these substances in the environment has received little notice. It is only in recent years that a more complex investigation of antibiotic substances has been undertaken in order to permit an assessment of the environmental risks they may pose. Within the last decade an increasing number of studies covering antibiotic input, occurrence, fate and effects have been published, but there is still a lack of understanding and knowledge about antibiotics in the aquatic environment despite the numerous studies performed. This review addresses the present state of knowledge concerning the input, occurrence, fate and effects of antibiotics in the environment. It brings up important questions that are still open, and addresses some significant issues which must be tackled in the future for a better understanding of the behavior of antibiotics in the environment, as well as the risks associated with their occurrence. Questions related to resistance in the environment that may be caused by antibiotics will be addressed in the second part.", "author" : [ { "dropping-particle" : "", "family" : "K\u00fcmmerer", "given" : "Klaus", "non-dropping-particle" : "", "parse-names" : false, "suffix" : "" } ], "container-title" : "Chemosphere", "id" : "ITEM-2", "issue" : "4", "issued" : { "date-parts" : [ [ "2009", "4", "1" ] ] }, "page" : "417-434", "publisher" : "Pergamon", "title" : "Antibiotics in the aquatic environment \u2013 A review \u2013 Part I", "type" : "article-journal", "volume" : "75" }, "uris" : [ "http://www.mendeley.com/documents/?uuid=b06c2a86-462f-3969-be7d-4a1ae8677648" ] } ], "mendeley" : { "formattedCitation" : "(Backhaus and Grimme, 1999; K\u00fcmmerer, 2009)", "plainTextFormattedCitation" : "(Backhaus and Grimme, 1999; K\u00fcmmerer, 2009)", "previouslyFormattedCitation" : "(Backhaus and Grimme, 1999; K\u00fcmmerer, 2009)" }, "properties" : { "noteIndex" : 0 }, "schema" : "https://github.com/citation-style-language/schema/raw/master/csl-citation.json" }</w:instrText>
            </w:r>
            <w:r>
              <w:rPr>
                <w:sz w:val="18"/>
                <w:szCs w:val="18"/>
              </w:rPr>
              <w:fldChar w:fldCharType="separate"/>
            </w:r>
            <w:r w:rsidRPr="00C50484">
              <w:rPr>
                <w:noProof/>
                <w:sz w:val="18"/>
                <w:szCs w:val="18"/>
              </w:rPr>
              <w:t>(Backhaus and Grimme, 1999; Kümmerer, 2009)</w:t>
            </w:r>
            <w:r>
              <w:rPr>
                <w:sz w:val="18"/>
                <w:szCs w:val="18"/>
              </w:rPr>
              <w:fldChar w:fldCharType="end"/>
            </w:r>
          </w:p>
        </w:tc>
        <w:tc>
          <w:tcPr>
            <w:tcW w:w="2215" w:type="dxa"/>
            <w:shd w:val="clear" w:color="auto" w:fill="DEEAF6" w:themeFill="accent5" w:themeFillTint="33"/>
          </w:tcPr>
          <w:p w14:paraId="0ADC25E5" w14:textId="5FA531DB" w:rsidR="00697725" w:rsidRPr="003249C8" w:rsidRDefault="003249C8" w:rsidP="0069772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Toxic to </w:t>
            </w:r>
            <w:r w:rsidRPr="003249C8">
              <w:rPr>
                <w:i/>
                <w:sz w:val="18"/>
                <w:szCs w:val="18"/>
              </w:rPr>
              <w:t xml:space="preserve">V. </w:t>
            </w:r>
            <w:proofErr w:type="spellStart"/>
            <w:r w:rsidRPr="003249C8">
              <w:rPr>
                <w:i/>
                <w:sz w:val="18"/>
                <w:szCs w:val="18"/>
              </w:rPr>
              <w:t>fischeri</w:t>
            </w:r>
            <w:proofErr w:type="spellEnd"/>
            <w:r>
              <w:rPr>
                <w:sz w:val="18"/>
                <w:szCs w:val="18"/>
              </w:rPr>
              <w:t xml:space="preserve"> over chronic (24h) exposures</w:t>
            </w:r>
          </w:p>
        </w:tc>
        <w:tc>
          <w:tcPr>
            <w:tcW w:w="1634" w:type="dxa"/>
            <w:shd w:val="clear" w:color="auto" w:fill="DEEAF6" w:themeFill="accent5" w:themeFillTint="33"/>
          </w:tcPr>
          <w:p w14:paraId="30EA18E3" w14:textId="77777777" w:rsidR="00697725" w:rsidRDefault="00D02544" w:rsidP="00697725">
            <w:pPr>
              <w:cnfStyle w:val="000000000000" w:firstRow="0" w:lastRow="0" w:firstColumn="0" w:lastColumn="0" w:oddVBand="0" w:evenVBand="0" w:oddHBand="0" w:evenHBand="0" w:firstRowFirstColumn="0" w:firstRowLastColumn="0" w:lastRowFirstColumn="0" w:lastRowLastColumn="0"/>
              <w:rPr>
                <w:sz w:val="18"/>
                <w:szCs w:val="18"/>
                <w:vertAlign w:val="subscript"/>
              </w:rPr>
            </w:pPr>
            <w:r>
              <w:rPr>
                <w:sz w:val="18"/>
                <w:szCs w:val="18"/>
              </w:rPr>
              <w:t>EC90 – 0.129 mg.l</w:t>
            </w:r>
            <w:r w:rsidRPr="00551CA0">
              <w:rPr>
                <w:sz w:val="18"/>
                <w:szCs w:val="18"/>
                <w:vertAlign w:val="superscript"/>
              </w:rPr>
              <w:t>-1</w:t>
            </w:r>
          </w:p>
          <w:p w14:paraId="33E20C47" w14:textId="73A61A65" w:rsidR="00D02544" w:rsidRDefault="00D02544" w:rsidP="00697725">
            <w:pPr>
              <w:cnfStyle w:val="000000000000" w:firstRow="0" w:lastRow="0" w:firstColumn="0" w:lastColumn="0" w:oddVBand="0" w:evenVBand="0" w:oddHBand="0" w:evenHBand="0" w:firstRowFirstColumn="0" w:firstRowLastColumn="0" w:lastRowFirstColumn="0" w:lastRowLastColumn="0"/>
              <w:rPr>
                <w:sz w:val="18"/>
                <w:szCs w:val="18"/>
                <w:vertAlign w:val="subscript"/>
              </w:rPr>
            </w:pPr>
            <w:r>
              <w:rPr>
                <w:sz w:val="18"/>
                <w:szCs w:val="18"/>
              </w:rPr>
              <w:t>EC50 – 0.064 mg.l</w:t>
            </w:r>
            <w:r w:rsidRPr="00551CA0">
              <w:rPr>
                <w:sz w:val="18"/>
                <w:szCs w:val="18"/>
                <w:vertAlign w:val="superscript"/>
              </w:rPr>
              <w:t>-1</w:t>
            </w:r>
          </w:p>
          <w:p w14:paraId="3AA66D47" w14:textId="77297B26" w:rsidR="00D02544" w:rsidRPr="008639EE" w:rsidRDefault="00D02544" w:rsidP="0069772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EC90 – 0.019 mg.l</w:t>
            </w:r>
            <w:r w:rsidRPr="00551CA0">
              <w:rPr>
                <w:sz w:val="18"/>
                <w:szCs w:val="18"/>
                <w:vertAlign w:val="superscript"/>
              </w:rPr>
              <w:t>-1</w:t>
            </w:r>
          </w:p>
        </w:tc>
        <w:tc>
          <w:tcPr>
            <w:tcW w:w="1243" w:type="dxa"/>
            <w:shd w:val="clear" w:color="auto" w:fill="DEEAF6" w:themeFill="accent5" w:themeFillTint="33"/>
          </w:tcPr>
          <w:p w14:paraId="1DBB0148" w14:textId="5F4A9B55" w:rsidR="00697725" w:rsidRPr="008639EE" w:rsidRDefault="00D02544" w:rsidP="0069772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Stock solution?</w:t>
            </w:r>
          </w:p>
        </w:tc>
        <w:tc>
          <w:tcPr>
            <w:tcW w:w="2763" w:type="dxa"/>
            <w:shd w:val="clear" w:color="auto" w:fill="DEEAF6" w:themeFill="accent5" w:themeFillTint="33"/>
          </w:tcPr>
          <w:p w14:paraId="2A2CDB62" w14:textId="538A12EB" w:rsidR="00697725" w:rsidRPr="008639EE" w:rsidRDefault="00551CA0" w:rsidP="0069772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Up to </w:t>
            </w:r>
            <w:r w:rsidRPr="00E44C83">
              <w:rPr>
                <w:b/>
                <w:sz w:val="18"/>
                <w:szCs w:val="18"/>
              </w:rPr>
              <w:t>60 ng.l</w:t>
            </w:r>
            <w:r w:rsidRPr="00E44C83">
              <w:rPr>
                <w:b/>
                <w:sz w:val="18"/>
                <w:szCs w:val="18"/>
                <w:vertAlign w:val="superscript"/>
              </w:rPr>
              <w:t>-1</w:t>
            </w:r>
            <w:r>
              <w:rPr>
                <w:sz w:val="18"/>
                <w:szCs w:val="18"/>
              </w:rPr>
              <w:t xml:space="preserve"> in surface water</w:t>
            </w:r>
          </w:p>
        </w:tc>
      </w:tr>
      <w:tr w:rsidR="00BA4812" w14:paraId="2AB173C4" w14:textId="77777777" w:rsidTr="0042618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94" w:type="dxa"/>
            <w:shd w:val="clear" w:color="auto" w:fill="DEEAF6" w:themeFill="accent5" w:themeFillTint="33"/>
          </w:tcPr>
          <w:p w14:paraId="78D4B5A1" w14:textId="2DF5E195" w:rsidR="00BA4812" w:rsidRPr="003417B9" w:rsidRDefault="00BA4812" w:rsidP="00BA4812">
            <w:pPr>
              <w:rPr>
                <w:b w:val="0"/>
              </w:rPr>
            </w:pPr>
            <w:r w:rsidRPr="003417B9">
              <w:rPr>
                <w:b w:val="0"/>
              </w:rPr>
              <w:t>Amoxycillin</w:t>
            </w:r>
          </w:p>
        </w:tc>
        <w:tc>
          <w:tcPr>
            <w:tcW w:w="1784" w:type="dxa"/>
            <w:shd w:val="clear" w:color="auto" w:fill="DEEAF6" w:themeFill="accent5" w:themeFillTint="33"/>
          </w:tcPr>
          <w:p w14:paraId="1348C8AB" w14:textId="4CDBE7AC" w:rsidR="00BA4812" w:rsidRDefault="00BA4812" w:rsidP="00BA48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Common antibiotic</w:t>
            </w:r>
          </w:p>
        </w:tc>
        <w:tc>
          <w:tcPr>
            <w:tcW w:w="1554" w:type="dxa"/>
            <w:shd w:val="clear" w:color="auto" w:fill="DEEAF6" w:themeFill="accent5" w:themeFillTint="33"/>
          </w:tcPr>
          <w:p w14:paraId="6A47003D" w14:textId="2B538375" w:rsidR="00BA4812" w:rsidRDefault="00BA4812" w:rsidP="00BA48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Beta-lactam inhibition?</w:t>
            </w:r>
          </w:p>
        </w:tc>
        <w:tc>
          <w:tcPr>
            <w:tcW w:w="1890" w:type="dxa"/>
            <w:shd w:val="clear" w:color="auto" w:fill="DEEAF6" w:themeFill="accent5" w:themeFillTint="33"/>
          </w:tcPr>
          <w:p w14:paraId="40E1263C" w14:textId="44819C71" w:rsidR="00BA4812" w:rsidRDefault="00BA4812" w:rsidP="00BA48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CD43F8">
              <w:rPr>
                <w:sz w:val="18"/>
                <w:szCs w:val="18"/>
              </w:rPr>
              <w:instrText>ADDIN CSL_CITATION { "citationItems" : [ { "id" : "ITEM-1", "itemData" : { "DOI" : "10.1016/j.marpolbul.2004.10.038", "ISBN" : "0025-326X", "ISSN" : "0025326X", "PMID" : "15757723", "abstract" : "Awareness of antibiotics in wastewaters and aquatic ecosystems is growing as investigations into alternate pollutants increase and analytical techniques for detecting these chemicals improve. The presence of three antibiotics (ciprofloxacin, norfloxacin and cephalexin) was evaluated in both sewage effluent and environmental waters downstream from a sewage discharge. Bacteria cultured from the sewage bioreactor and receiving waters were tested for resistance against six antibiotics (ciprofloxacin, tetracycline, ampicillin, trimethoprim, erythromycin and trimethoprim/sulphamethoxazole) and effects of short term exposure (24 h) to antibiotics on bacterial denitrification rates were examined. Antibiotics were detected entering the sewage treatment plant with varying levels of removal during the treatment process. Antibiotics were also detected in effluent entering receiving waters and detectable 500 m from the source. Among the bacteria cultured from the sewage bioreactor, resistance was displayed against all six antibiotics tested and bacteria cultured from receiving waters were resistant against two of the antibiotics tested. Rates of denitrification were observed to decrease in response to some antibiotics and not to others, though this was only observed at concentrations exceeding those likely to be found in the environment. Findings from this preliminary research have indicated that antibiotics are entering our aquatic systems and pose a potential threat to ecosystem function and potentially human health. \u00a9 2004 Elsevier Ltd. All rights reserved.", "author" : [ { "dropping-particle" : "", "family" : "Costanzo", "given" : "Simon D.", "non-dropping-particle" : "", "parse-names" : false, "suffix" : "" }, { "dropping-particle" : "", "family" : "Murby", "given" : "John", "non-dropping-particle" : "", "parse-names" : false, "suffix" : "" }, { "dropping-particle" : "", "family" : "Bates", "given" : "John", "non-dropping-particle" : "", "parse-names" : false, "suffix" : "" } ], "container-title" : "Marine Pollution Bulletin", "id" : "ITEM-1", "issue" : "1-4", "issued" : { "date-parts" : [ [ "2005", "1", "1" ] ] }, "page" : "218-223", "publisher" : "Pergamon", "title" : "Ecosystem response to antibiotics entering the aquatic environment", "type" : "paper-conference", "volume" : "51" }, "uris" : [ "http://www.mendeley.com/documents/?uuid=7ba76c62-75db-3a70-89c8-154bbb41ceb9" ] } ], "mendeley" : { "formattedCitation" : "(Costanzo, Murby and Bates, 2005)", "plainTextFormattedCitation" : "(Costanzo, Murby and Bates, 2005)", "previouslyFormattedCitation" : "(Costanzo, Murby and Bates, 2005)" }, "properties" : { "noteIndex" : 0 }, "schema" : "https://github.com/citation-style-language/schema/raw/master/csl-citation.json" }</w:instrText>
            </w:r>
            <w:r>
              <w:rPr>
                <w:sz w:val="18"/>
                <w:szCs w:val="18"/>
              </w:rPr>
              <w:fldChar w:fldCharType="separate"/>
            </w:r>
            <w:r w:rsidRPr="00B14AAC">
              <w:rPr>
                <w:noProof/>
                <w:sz w:val="18"/>
                <w:szCs w:val="18"/>
              </w:rPr>
              <w:t>(Costanzo, Murby and Bates, 2005)</w:t>
            </w:r>
            <w:r>
              <w:rPr>
                <w:sz w:val="18"/>
                <w:szCs w:val="18"/>
              </w:rPr>
              <w:fldChar w:fldCharType="end"/>
            </w:r>
          </w:p>
        </w:tc>
        <w:tc>
          <w:tcPr>
            <w:tcW w:w="2215" w:type="dxa"/>
            <w:shd w:val="clear" w:color="auto" w:fill="DEEAF6" w:themeFill="accent5" w:themeFillTint="33"/>
          </w:tcPr>
          <w:p w14:paraId="1884B23A" w14:textId="5F54C985" w:rsidR="00BA4812" w:rsidRDefault="00BA4812" w:rsidP="00BA48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 evidence of resistance in sewerage or stream bacteria</w:t>
            </w:r>
          </w:p>
        </w:tc>
        <w:tc>
          <w:tcPr>
            <w:tcW w:w="1634" w:type="dxa"/>
            <w:shd w:val="clear" w:color="auto" w:fill="DEEAF6" w:themeFill="accent5" w:themeFillTint="33"/>
          </w:tcPr>
          <w:p w14:paraId="35B61A29" w14:textId="52C3E6EE" w:rsidR="00BA4812" w:rsidRDefault="00BA4812" w:rsidP="00BA48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Significant drop in mean denitrification rates (33%) by bacteria @ 1mg.l</w:t>
            </w:r>
            <w:r w:rsidRPr="00C64BB1">
              <w:rPr>
                <w:sz w:val="18"/>
                <w:szCs w:val="18"/>
                <w:vertAlign w:val="superscript"/>
              </w:rPr>
              <w:t>-1</w:t>
            </w:r>
          </w:p>
        </w:tc>
        <w:tc>
          <w:tcPr>
            <w:tcW w:w="1243" w:type="dxa"/>
            <w:shd w:val="clear" w:color="auto" w:fill="DEEAF6" w:themeFill="accent5" w:themeFillTint="33"/>
          </w:tcPr>
          <w:p w14:paraId="26166E7D" w14:textId="77777777" w:rsidR="00BA4812" w:rsidRDefault="00BA4812" w:rsidP="00BA4812">
            <w:pPr>
              <w:cnfStyle w:val="000000100000" w:firstRow="0" w:lastRow="0" w:firstColumn="0" w:lastColumn="0" w:oddVBand="0" w:evenVBand="0" w:oddHBand="1" w:evenHBand="0" w:firstRowFirstColumn="0" w:firstRowLastColumn="0" w:lastRowFirstColumn="0" w:lastRowLastColumn="0"/>
              <w:rPr>
                <w:sz w:val="18"/>
                <w:szCs w:val="18"/>
              </w:rPr>
            </w:pPr>
          </w:p>
        </w:tc>
        <w:tc>
          <w:tcPr>
            <w:tcW w:w="2763" w:type="dxa"/>
            <w:shd w:val="clear" w:color="auto" w:fill="DEEAF6" w:themeFill="accent5" w:themeFillTint="33"/>
          </w:tcPr>
          <w:p w14:paraId="459971D9" w14:textId="51660EC6" w:rsidR="00BA4812" w:rsidRDefault="00E44C83" w:rsidP="00BA481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No testing/evaluation of new pharmaceuticals is required if predicted environmental concentration will be </w:t>
            </w:r>
            <w:r w:rsidRPr="00E44C83">
              <w:rPr>
                <w:b/>
                <w:sz w:val="18"/>
                <w:szCs w:val="18"/>
              </w:rPr>
              <w:t>&lt;0.01 µg.l</w:t>
            </w:r>
            <w:r w:rsidRPr="00E44C83">
              <w:rPr>
                <w:b/>
                <w:sz w:val="18"/>
                <w:szCs w:val="18"/>
                <w:vertAlign w:val="superscript"/>
              </w:rPr>
              <w:t>-1</w:t>
            </w:r>
          </w:p>
        </w:tc>
      </w:tr>
      <w:tr w:rsidR="0061480A" w14:paraId="0AD8B917" w14:textId="77777777" w:rsidTr="003417B9">
        <w:trPr>
          <w:trHeight w:val="270"/>
        </w:trPr>
        <w:tc>
          <w:tcPr>
            <w:cnfStyle w:val="001000000000" w:firstRow="0" w:lastRow="0" w:firstColumn="1" w:lastColumn="0" w:oddVBand="0" w:evenVBand="0" w:oddHBand="0" w:evenHBand="0" w:firstRowFirstColumn="0" w:firstRowLastColumn="0" w:lastRowFirstColumn="0" w:lastRowLastColumn="0"/>
            <w:tcW w:w="15077" w:type="dxa"/>
            <w:gridSpan w:val="8"/>
            <w:shd w:val="clear" w:color="auto" w:fill="FBE4D5" w:themeFill="accent2" w:themeFillTint="33"/>
          </w:tcPr>
          <w:p w14:paraId="499C4390" w14:textId="15BD1345" w:rsidR="0061480A" w:rsidRDefault="0061480A" w:rsidP="00E3314C">
            <w:pPr>
              <w:rPr>
                <w:sz w:val="18"/>
                <w:szCs w:val="18"/>
              </w:rPr>
            </w:pPr>
            <w:r>
              <w:t>Pesticides</w:t>
            </w:r>
          </w:p>
        </w:tc>
      </w:tr>
      <w:tr w:rsidR="00E3314C" w14:paraId="22303916" w14:textId="77777777" w:rsidTr="0042618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94" w:type="dxa"/>
            <w:shd w:val="clear" w:color="auto" w:fill="FBE4D5" w:themeFill="accent2" w:themeFillTint="33"/>
          </w:tcPr>
          <w:p w14:paraId="4BB0BAFB" w14:textId="47F75D0F" w:rsidR="00E3314C" w:rsidRPr="003417B9" w:rsidRDefault="00E3314C" w:rsidP="00E3314C">
            <w:pPr>
              <w:rPr>
                <w:b w:val="0"/>
              </w:rPr>
            </w:pPr>
            <w:r w:rsidRPr="003417B9">
              <w:rPr>
                <w:b w:val="0"/>
              </w:rPr>
              <w:t>Atrazine</w:t>
            </w:r>
            <w:r w:rsidR="00C83700">
              <w:rPr>
                <w:b w:val="0"/>
              </w:rPr>
              <w:t xml:space="preserve"> (Triazine)</w:t>
            </w:r>
          </w:p>
        </w:tc>
        <w:tc>
          <w:tcPr>
            <w:tcW w:w="1784" w:type="dxa"/>
            <w:shd w:val="clear" w:color="auto" w:fill="FBE4D5" w:themeFill="accent2" w:themeFillTint="33"/>
          </w:tcPr>
          <w:p w14:paraId="56021948" w14:textId="0C21ED28" w:rsidR="00E3314C" w:rsidRPr="008639EE" w:rsidRDefault="00E3314C" w:rsidP="00E3314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Second most commonly used herbicide</w:t>
            </w:r>
          </w:p>
        </w:tc>
        <w:tc>
          <w:tcPr>
            <w:tcW w:w="1554" w:type="dxa"/>
            <w:shd w:val="clear" w:color="auto" w:fill="FBE4D5" w:themeFill="accent2" w:themeFillTint="33"/>
          </w:tcPr>
          <w:p w14:paraId="2990C0CA" w14:textId="0C93CF35" w:rsidR="00E3314C" w:rsidRDefault="00E3314C" w:rsidP="00E3314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Photosystem inhibition, endocrine disruptor?</w:t>
            </w:r>
          </w:p>
        </w:tc>
        <w:tc>
          <w:tcPr>
            <w:tcW w:w="1890" w:type="dxa"/>
            <w:shd w:val="clear" w:color="auto" w:fill="FBE4D5" w:themeFill="accent2" w:themeFillTint="33"/>
          </w:tcPr>
          <w:p w14:paraId="3140D2DC" w14:textId="04CFBC03" w:rsidR="00E3314C" w:rsidRPr="008639EE" w:rsidRDefault="00E3314C" w:rsidP="00E3314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CD43F8">
              <w:rPr>
                <w:sz w:val="18"/>
                <w:szCs w:val="18"/>
              </w:rPr>
              <w:instrText>ADDIN CSL_CITATION { "citationItems" : [ { "id" : "ITEM-1", "itemData" : { "DOI" : "10.1007/s00128-008-9517-3", "ISSN" : "0007-4861", "author" : [ { "dropping-particle" : "", "family" : "Palma", "given" : "P.", "non-dropping-particle" : "", "parse-names" : false, "suffix" : "" }, { "dropping-particle" : "", "family" : "Palma", "given" : "V. L.", "non-dropping-particle" : "", "parse-names" : false, "suffix" : "" }, { "dropping-particle" : "", "family" : "Fernandes", "given" : "R. M.", "non-dropping-particle" : "", "parse-names" : false, "suffix" : "" }, { "dropping-particle" : "", "family" : "Soares", "given" : "A. M. V. M.", "non-dropping-particle" : "", "parse-names" : false, "suffix" : "" }, { "dropping-particle" : "", "family" : "Barbosa", "given" : "I. R.", "non-dropping-particle" : "", "parse-names" : false, "suffix" : "" } ], "container-title" : "Bulletin of Environmental Contamination and Toxicology", "id" : "ITEM-1", "issue" : "5", "issued" : { "date-parts" : [ [ "2008", "11", "8" ] ] }, "page" : "485-489", "publisher" : "Springer-Verlag", "title" : "Acute Toxicity of Atrazine, Endosulfan Sulphate and Chlorpyrifos to Vibrio fischeri, Thamnocephalus platyurus and Daphnia magna, Relative to Their Concentrations in Surface Waters from the Alentejo Region of Portugal", "type" : "article-journal", "volume" : "81" }, "uris" : [ "http://www.mendeley.com/documents/?uuid=0cda6edf-b55b-3f0e-b066-deea51896c3e" ] } ], "mendeley" : { "formattedCitation" : "(Palma &lt;i&gt;et al.&lt;/i&gt;, 2008)", "plainTextFormattedCitation" : "(Palma et al., 2008)", "previouslyFormattedCitation" : "(Palma &lt;i&gt;et al.&lt;/i&gt;, 2008)" }, "properties" : { "noteIndex" : 0 }, "schema" : "https://github.com/citation-style-language/schema/raw/master/csl-citation.json" }</w:instrText>
            </w:r>
            <w:r>
              <w:rPr>
                <w:sz w:val="18"/>
                <w:szCs w:val="18"/>
              </w:rPr>
              <w:fldChar w:fldCharType="separate"/>
            </w:r>
            <w:r w:rsidRPr="00F41098">
              <w:rPr>
                <w:noProof/>
                <w:sz w:val="18"/>
                <w:szCs w:val="18"/>
              </w:rPr>
              <w:t xml:space="preserve">(Palma </w:t>
            </w:r>
            <w:r w:rsidRPr="00F41098">
              <w:rPr>
                <w:i/>
                <w:noProof/>
                <w:sz w:val="18"/>
                <w:szCs w:val="18"/>
              </w:rPr>
              <w:t>et al.</w:t>
            </w:r>
            <w:r w:rsidRPr="00F41098">
              <w:rPr>
                <w:noProof/>
                <w:sz w:val="18"/>
                <w:szCs w:val="18"/>
              </w:rPr>
              <w:t>, 2008)</w:t>
            </w:r>
            <w:r>
              <w:rPr>
                <w:sz w:val="18"/>
                <w:szCs w:val="18"/>
              </w:rPr>
              <w:fldChar w:fldCharType="end"/>
            </w:r>
          </w:p>
        </w:tc>
        <w:tc>
          <w:tcPr>
            <w:tcW w:w="2215" w:type="dxa"/>
            <w:shd w:val="clear" w:color="auto" w:fill="FBE4D5" w:themeFill="accent2" w:themeFillTint="33"/>
          </w:tcPr>
          <w:p w14:paraId="1EE614B8" w14:textId="72A49552" w:rsidR="00E3314C" w:rsidRPr="008639EE" w:rsidRDefault="00E3314C" w:rsidP="00E3314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Inhibition of luminescence in </w:t>
            </w:r>
            <w:r w:rsidRPr="001076A1">
              <w:rPr>
                <w:i/>
                <w:sz w:val="18"/>
                <w:szCs w:val="18"/>
              </w:rPr>
              <w:t xml:space="preserve">V. </w:t>
            </w:r>
            <w:proofErr w:type="spellStart"/>
            <w:r w:rsidRPr="001076A1">
              <w:rPr>
                <w:i/>
                <w:sz w:val="18"/>
                <w:szCs w:val="18"/>
              </w:rPr>
              <w:t>fischeri</w:t>
            </w:r>
            <w:proofErr w:type="spellEnd"/>
            <w:r>
              <w:rPr>
                <w:sz w:val="18"/>
                <w:szCs w:val="18"/>
              </w:rPr>
              <w:t xml:space="preserve"> in 30 minutes</w:t>
            </w:r>
          </w:p>
        </w:tc>
        <w:tc>
          <w:tcPr>
            <w:tcW w:w="1634" w:type="dxa"/>
            <w:shd w:val="clear" w:color="auto" w:fill="FBE4D5" w:themeFill="accent2" w:themeFillTint="33"/>
          </w:tcPr>
          <w:p w14:paraId="2F014DFF" w14:textId="77777777" w:rsidR="00E3314C" w:rsidRDefault="00E3314C" w:rsidP="00E3314C">
            <w:pPr>
              <w:cnfStyle w:val="000000100000" w:firstRow="0" w:lastRow="0" w:firstColumn="0" w:lastColumn="0" w:oddVBand="0" w:evenVBand="0" w:oddHBand="1" w:evenHBand="0" w:firstRowFirstColumn="0" w:firstRowLastColumn="0" w:lastRowFirstColumn="0" w:lastRowLastColumn="0"/>
              <w:rPr>
                <w:sz w:val="18"/>
                <w:szCs w:val="18"/>
                <w:vertAlign w:val="superscript"/>
              </w:rPr>
            </w:pPr>
            <w:r>
              <w:rPr>
                <w:sz w:val="18"/>
                <w:szCs w:val="18"/>
              </w:rPr>
              <w:t>EC50 – 69.4 mg.l</w:t>
            </w:r>
            <w:r w:rsidRPr="00DA7035">
              <w:rPr>
                <w:sz w:val="18"/>
                <w:szCs w:val="18"/>
                <w:vertAlign w:val="superscript"/>
              </w:rPr>
              <w:t>-1</w:t>
            </w:r>
          </w:p>
          <w:p w14:paraId="7BB5A5AA" w14:textId="6019F5FE" w:rsidR="00E3314C" w:rsidRPr="008639EE" w:rsidRDefault="00E3314C" w:rsidP="00E3314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Another source: 39.9 mg.l</w:t>
            </w:r>
            <w:r w:rsidRPr="00DA7035">
              <w:rPr>
                <w:sz w:val="18"/>
                <w:szCs w:val="18"/>
                <w:vertAlign w:val="superscript"/>
              </w:rPr>
              <w:t>-1</w:t>
            </w:r>
          </w:p>
        </w:tc>
        <w:tc>
          <w:tcPr>
            <w:tcW w:w="1243" w:type="dxa"/>
            <w:shd w:val="clear" w:color="auto" w:fill="FBE4D5" w:themeFill="accent2" w:themeFillTint="33"/>
          </w:tcPr>
          <w:p w14:paraId="02A16E43" w14:textId="5EFF009E" w:rsidR="00E3314C" w:rsidRPr="008639EE" w:rsidRDefault="00E3314C" w:rsidP="00E3314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Synthetic freshwater</w:t>
            </w:r>
          </w:p>
        </w:tc>
        <w:tc>
          <w:tcPr>
            <w:tcW w:w="2763" w:type="dxa"/>
            <w:shd w:val="clear" w:color="auto" w:fill="FBE4D5" w:themeFill="accent2" w:themeFillTint="33"/>
          </w:tcPr>
          <w:p w14:paraId="060FAB6D" w14:textId="427F8B15" w:rsidR="00E3314C" w:rsidRPr="00C46368" w:rsidRDefault="00E34473" w:rsidP="00E3447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 1 ug.l</w:t>
            </w:r>
            <w:r w:rsidRPr="00AE268D">
              <w:rPr>
                <w:sz w:val="18"/>
                <w:szCs w:val="18"/>
                <w:vertAlign w:val="superscript"/>
              </w:rPr>
              <w:t>-1</w:t>
            </w:r>
          </w:p>
        </w:tc>
      </w:tr>
      <w:tr w:rsidR="003417B9" w14:paraId="53C4F959" w14:textId="77777777" w:rsidTr="0042618B">
        <w:trPr>
          <w:trHeight w:val="270"/>
        </w:trPr>
        <w:tc>
          <w:tcPr>
            <w:cnfStyle w:val="001000000000" w:firstRow="0" w:lastRow="0" w:firstColumn="1" w:lastColumn="0" w:oddVBand="0" w:evenVBand="0" w:oddHBand="0" w:evenHBand="0" w:firstRowFirstColumn="0" w:firstRowLastColumn="0" w:lastRowFirstColumn="0" w:lastRowLastColumn="0"/>
            <w:tcW w:w="1994" w:type="dxa"/>
            <w:shd w:val="clear" w:color="auto" w:fill="FBE4D5" w:themeFill="accent2" w:themeFillTint="33"/>
          </w:tcPr>
          <w:p w14:paraId="01CB79F8" w14:textId="706424B6" w:rsidR="00E3314C" w:rsidRPr="003417B9" w:rsidRDefault="00E3314C" w:rsidP="00E3314C">
            <w:pPr>
              <w:rPr>
                <w:b w:val="0"/>
              </w:rPr>
            </w:pPr>
            <w:r w:rsidRPr="003417B9">
              <w:rPr>
                <w:b w:val="0"/>
              </w:rPr>
              <w:t>Metaldehyde</w:t>
            </w:r>
          </w:p>
        </w:tc>
        <w:tc>
          <w:tcPr>
            <w:tcW w:w="1784" w:type="dxa"/>
            <w:shd w:val="clear" w:color="auto" w:fill="FBE4D5" w:themeFill="accent2" w:themeFillTint="33"/>
          </w:tcPr>
          <w:p w14:paraId="7612CC0C" w14:textId="4CE141AB" w:rsidR="00E3314C" w:rsidRDefault="00E3314C" w:rsidP="00E3314C">
            <w:pPr>
              <w:cnfStyle w:val="000000000000" w:firstRow="0" w:lastRow="0" w:firstColumn="0" w:lastColumn="0" w:oddVBand="0" w:evenVBand="0" w:oddHBand="0" w:evenHBand="0" w:firstRowFirstColumn="0" w:firstRowLastColumn="0" w:lastRowFirstColumn="0" w:lastRowLastColumn="0"/>
              <w:rPr>
                <w:sz w:val="18"/>
                <w:szCs w:val="18"/>
              </w:rPr>
            </w:pPr>
            <w:r>
              <w:rPr>
                <w:sz w:val="18"/>
              </w:rPr>
              <w:t>Most common molluscicide, main cause of PCVs in UK</w:t>
            </w:r>
          </w:p>
        </w:tc>
        <w:tc>
          <w:tcPr>
            <w:tcW w:w="1554" w:type="dxa"/>
            <w:shd w:val="clear" w:color="auto" w:fill="FBE4D5" w:themeFill="accent2" w:themeFillTint="33"/>
          </w:tcPr>
          <w:p w14:paraId="4A2AE7F7" w14:textId="78A11828" w:rsidR="00E3314C" w:rsidRDefault="00E3314C" w:rsidP="00E3314C">
            <w:pPr>
              <w:cnfStyle w:val="000000000000" w:firstRow="0" w:lastRow="0" w:firstColumn="0" w:lastColumn="0" w:oddVBand="0" w:evenVBand="0" w:oddHBand="0" w:evenHBand="0" w:firstRowFirstColumn="0" w:firstRowLastColumn="0" w:lastRowFirstColumn="0" w:lastRowLastColumn="0"/>
              <w:rPr>
                <w:sz w:val="18"/>
                <w:szCs w:val="18"/>
              </w:rPr>
            </w:pPr>
            <w:r>
              <w:rPr>
                <w:sz w:val="18"/>
              </w:rPr>
              <w:t>Inhibits metabolism/ damages CNS in molluscs, humans</w:t>
            </w:r>
          </w:p>
        </w:tc>
        <w:tc>
          <w:tcPr>
            <w:tcW w:w="1890" w:type="dxa"/>
            <w:shd w:val="clear" w:color="auto" w:fill="FBE4D5" w:themeFill="accent2" w:themeFillTint="33"/>
          </w:tcPr>
          <w:p w14:paraId="5728AAF8" w14:textId="59CE0A42" w:rsidR="00E3314C" w:rsidRDefault="00E3314C" w:rsidP="00E3314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CD43F8">
              <w:rPr>
                <w:sz w:val="18"/>
                <w:szCs w:val="18"/>
              </w:rPr>
              <w:instrText>ADDIN CSL_CITATION { "citationItems" : [ { "id" : "ITEM-1", "itemData" : { "DOI" : "10.1111/1751-7915.12719", "ISSN" : "17517915", "author" : [ { "dropping-particle" : "", "family" : "Thomas", "given" : "John C.", "non-dropping-particle" : "", "parse-names" : false, "suffix" : "" }, { "dropping-particle" : "", "family" : "Helgason", "given" : "Thorunn", "non-dropping-particle" : "", "parse-names" : false, "suffix" : "" }, { "dropping-particle" : "", "family" : "Sinclair", "given" : "Chris J.", "non-dropping-particle" : "", "parse-names" : false, "suffix" : "" }, { "dropping-particle" : "", "family" : "Moir", "given" : "James W. B.", "non-dropping-particle" : "", "parse-names" : false, "suffix" : "" } ], "container-title" : "Microbial Biotechnology", "id" : "ITEM-1", "issue" : "6", "issued" : { "date-parts" : [ [ "2017", "11", "1" ] ] }, "page" : "1824-1829", "publisher" : "Wiley/Blackwell (10.1111)", "title" : "Isolation and characterization of metaldehyde-degrading bacteria from domestic soils", "type" : "article-journal", "volume" : "10" }, "uris" : [ "http://www.mendeley.com/documents/?uuid=8ccaf50e-ab82-31ee-89c0-930d0f13030e" ] } ], "mendeley" : { "formattedCitation" : "(Thomas &lt;i&gt;et al.&lt;/i&gt;, 2017)", "plainTextFormattedCitation" : "(Thomas et al., 2017)", "previouslyFormattedCitation" : "(Thomas &lt;i&gt;et al.&lt;/i&gt;, 2017)" }, "properties" : { "noteIndex" : 0 }, "schema" : "https://github.com/citation-style-language/schema/raw/master/csl-citation.json" }</w:instrText>
            </w:r>
            <w:r>
              <w:rPr>
                <w:sz w:val="18"/>
                <w:szCs w:val="18"/>
              </w:rPr>
              <w:fldChar w:fldCharType="separate"/>
            </w:r>
            <w:r w:rsidRPr="005D2F0E">
              <w:rPr>
                <w:noProof/>
                <w:sz w:val="18"/>
                <w:szCs w:val="18"/>
              </w:rPr>
              <w:t xml:space="preserve">(Thomas </w:t>
            </w:r>
            <w:r w:rsidRPr="005D2F0E">
              <w:rPr>
                <w:i/>
                <w:noProof/>
                <w:sz w:val="18"/>
                <w:szCs w:val="18"/>
              </w:rPr>
              <w:t>et al.</w:t>
            </w:r>
            <w:r w:rsidRPr="005D2F0E">
              <w:rPr>
                <w:noProof/>
                <w:sz w:val="18"/>
                <w:szCs w:val="18"/>
              </w:rPr>
              <w:t>, 2017)</w:t>
            </w:r>
            <w:r>
              <w:rPr>
                <w:sz w:val="18"/>
                <w:szCs w:val="18"/>
              </w:rPr>
              <w:fldChar w:fldCharType="end"/>
            </w:r>
          </w:p>
          <w:p w14:paraId="6B11C605" w14:textId="4E33D06C" w:rsidR="00E3314C" w:rsidRDefault="00E3314C" w:rsidP="00E3314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The only paper on bacteria and </w:t>
            </w:r>
            <w:proofErr w:type="spellStart"/>
            <w:r>
              <w:rPr>
                <w:sz w:val="18"/>
                <w:szCs w:val="18"/>
              </w:rPr>
              <w:t>metaldehyde</w:t>
            </w:r>
            <w:proofErr w:type="spellEnd"/>
            <w:r>
              <w:rPr>
                <w:sz w:val="18"/>
                <w:szCs w:val="18"/>
              </w:rPr>
              <w:t xml:space="preserve"> out there!</w:t>
            </w:r>
          </w:p>
        </w:tc>
        <w:tc>
          <w:tcPr>
            <w:tcW w:w="2215" w:type="dxa"/>
            <w:shd w:val="clear" w:color="auto" w:fill="FBE4D5" w:themeFill="accent2" w:themeFillTint="33"/>
          </w:tcPr>
          <w:p w14:paraId="34CFA164" w14:textId="77777777" w:rsidR="00E3314C" w:rsidRDefault="00E3314C" w:rsidP="00E3314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Metaldehyde is not normally broken down by water processing or aquatic bacteria</w:t>
            </w:r>
          </w:p>
          <w:p w14:paraId="23E69F1C" w14:textId="1C6F5139" w:rsidR="00E3314C" w:rsidRDefault="00E3314C" w:rsidP="00E3314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But Acinetobacter E1 (soil) can use it as a food source!</w:t>
            </w:r>
          </w:p>
        </w:tc>
        <w:tc>
          <w:tcPr>
            <w:tcW w:w="1634" w:type="dxa"/>
            <w:shd w:val="clear" w:color="auto" w:fill="FBE4D5" w:themeFill="accent2" w:themeFillTint="33"/>
          </w:tcPr>
          <w:p w14:paraId="758BADA7" w14:textId="77777777" w:rsidR="00E3314C" w:rsidRDefault="00E3314C" w:rsidP="00E3314C">
            <w:pPr>
              <w:cnfStyle w:val="000000000000" w:firstRow="0" w:lastRow="0" w:firstColumn="0" w:lastColumn="0" w:oddVBand="0" w:evenVBand="0" w:oddHBand="0" w:evenHBand="0" w:firstRowFirstColumn="0" w:firstRowLastColumn="0" w:lastRowFirstColumn="0" w:lastRowLastColumn="0"/>
              <w:rPr>
                <w:sz w:val="18"/>
              </w:rPr>
            </w:pPr>
            <w:r>
              <w:rPr>
                <w:sz w:val="18"/>
              </w:rPr>
              <w:t xml:space="preserve">0-1000 </w:t>
            </w:r>
            <w:proofErr w:type="spellStart"/>
            <w:r>
              <w:rPr>
                <w:sz w:val="18"/>
              </w:rPr>
              <w:t>μM</w:t>
            </w:r>
            <w:proofErr w:type="spellEnd"/>
          </w:p>
          <w:p w14:paraId="6172C139" w14:textId="0A91D77B" w:rsidR="00E3314C" w:rsidRDefault="00E3314C" w:rsidP="00E3314C">
            <w:pPr>
              <w:cnfStyle w:val="000000000000" w:firstRow="0" w:lastRow="0" w:firstColumn="0" w:lastColumn="0" w:oddVBand="0" w:evenVBand="0" w:oddHBand="0" w:evenHBand="0" w:firstRowFirstColumn="0" w:firstRowLastColumn="0" w:lastRowFirstColumn="0" w:lastRowLastColumn="0"/>
              <w:rPr>
                <w:sz w:val="18"/>
                <w:szCs w:val="18"/>
              </w:rPr>
            </w:pPr>
            <w:r>
              <w:rPr>
                <w:sz w:val="18"/>
              </w:rPr>
              <w:t>(not that it’s directly comparable)</w:t>
            </w:r>
          </w:p>
        </w:tc>
        <w:tc>
          <w:tcPr>
            <w:tcW w:w="1243" w:type="dxa"/>
            <w:shd w:val="clear" w:color="auto" w:fill="FBE4D5" w:themeFill="accent2" w:themeFillTint="33"/>
          </w:tcPr>
          <w:p w14:paraId="0A6B8F90" w14:textId="18044E3F" w:rsidR="00E3314C" w:rsidRDefault="00E3314C" w:rsidP="00E3314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Mineral medium</w:t>
            </w:r>
          </w:p>
        </w:tc>
        <w:tc>
          <w:tcPr>
            <w:tcW w:w="2763" w:type="dxa"/>
            <w:shd w:val="clear" w:color="auto" w:fill="FBE4D5" w:themeFill="accent2" w:themeFillTint="33"/>
          </w:tcPr>
          <w:p w14:paraId="32076B23" w14:textId="77777777" w:rsidR="00E34473" w:rsidRDefault="00E34473" w:rsidP="00E3447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 1 ug.l</w:t>
            </w:r>
            <w:r w:rsidRPr="00AE268D">
              <w:rPr>
                <w:sz w:val="18"/>
                <w:szCs w:val="18"/>
                <w:vertAlign w:val="superscript"/>
              </w:rPr>
              <w:t>-1</w:t>
            </w:r>
          </w:p>
          <w:p w14:paraId="5B6F3159" w14:textId="779D2622" w:rsidR="00E3314C" w:rsidRDefault="00E3314C" w:rsidP="00E3314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Present at 3-8% in commercial formulations, adjuvants unknown</w:t>
            </w:r>
          </w:p>
        </w:tc>
      </w:tr>
      <w:tr w:rsidR="0061480A" w14:paraId="4E9345E6" w14:textId="77777777" w:rsidTr="003417B9">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5077" w:type="dxa"/>
            <w:gridSpan w:val="8"/>
            <w:shd w:val="clear" w:color="auto" w:fill="D0CECE" w:themeFill="background2" w:themeFillShade="E6"/>
          </w:tcPr>
          <w:p w14:paraId="528EE27A" w14:textId="3C6C3D6D" w:rsidR="0061480A" w:rsidRDefault="0061480A" w:rsidP="00E3314C">
            <w:pPr>
              <w:rPr>
                <w:sz w:val="18"/>
                <w:szCs w:val="18"/>
              </w:rPr>
            </w:pPr>
            <w:r>
              <w:t>Heavy Metals</w:t>
            </w:r>
          </w:p>
        </w:tc>
      </w:tr>
      <w:tr w:rsidR="0061480A" w14:paraId="36677B06" w14:textId="77777777" w:rsidTr="0042618B">
        <w:trPr>
          <w:trHeight w:val="270"/>
        </w:trPr>
        <w:tc>
          <w:tcPr>
            <w:cnfStyle w:val="001000000000" w:firstRow="0" w:lastRow="0" w:firstColumn="1" w:lastColumn="0" w:oddVBand="0" w:evenVBand="0" w:oddHBand="0" w:evenHBand="0" w:firstRowFirstColumn="0" w:firstRowLastColumn="0" w:lastRowFirstColumn="0" w:lastRowLastColumn="0"/>
            <w:tcW w:w="1994" w:type="dxa"/>
            <w:shd w:val="clear" w:color="auto" w:fill="D0CECE" w:themeFill="background2" w:themeFillShade="E6"/>
          </w:tcPr>
          <w:p w14:paraId="12C428FA" w14:textId="23BFC8F6" w:rsidR="0061480A" w:rsidRPr="003417B9" w:rsidRDefault="0061480A" w:rsidP="0061480A">
            <w:pPr>
              <w:rPr>
                <w:b w:val="0"/>
              </w:rPr>
            </w:pPr>
            <w:r w:rsidRPr="003417B9">
              <w:rPr>
                <w:b w:val="0"/>
              </w:rPr>
              <w:t>Copper</w:t>
            </w:r>
          </w:p>
        </w:tc>
        <w:tc>
          <w:tcPr>
            <w:tcW w:w="1784" w:type="dxa"/>
            <w:shd w:val="clear" w:color="auto" w:fill="D0CECE" w:themeFill="background2" w:themeFillShade="E6"/>
          </w:tcPr>
          <w:p w14:paraId="0A64B9DE" w14:textId="3D53A862" w:rsidR="0061480A" w:rsidRDefault="0061480A" w:rsidP="0061480A">
            <w:pPr>
              <w:cnfStyle w:val="000000000000" w:firstRow="0" w:lastRow="0" w:firstColumn="0" w:lastColumn="0" w:oddVBand="0" w:evenVBand="0" w:oddHBand="0" w:evenHBand="0" w:firstRowFirstColumn="0" w:firstRowLastColumn="0" w:lastRowFirstColumn="0" w:lastRowLastColumn="0"/>
              <w:rPr>
                <w:sz w:val="18"/>
                <w:szCs w:val="18"/>
              </w:rPr>
            </w:pPr>
            <w:r w:rsidRPr="00353F98">
              <w:rPr>
                <w:sz w:val="18"/>
              </w:rPr>
              <w:t>Major anthropogenic pollutant, and essential nutrient</w:t>
            </w:r>
          </w:p>
        </w:tc>
        <w:tc>
          <w:tcPr>
            <w:tcW w:w="1554" w:type="dxa"/>
            <w:shd w:val="clear" w:color="auto" w:fill="D0CECE" w:themeFill="background2" w:themeFillShade="E6"/>
          </w:tcPr>
          <w:p w14:paraId="553B3238" w14:textId="4C568BC8" w:rsidR="0061480A" w:rsidRDefault="0061480A" w:rsidP="0061480A">
            <w:pPr>
              <w:cnfStyle w:val="000000000000" w:firstRow="0" w:lastRow="0" w:firstColumn="0" w:lastColumn="0" w:oddVBand="0" w:evenVBand="0" w:oddHBand="0" w:evenHBand="0" w:firstRowFirstColumn="0" w:firstRowLastColumn="0" w:lastRowFirstColumn="0" w:lastRowLastColumn="0"/>
              <w:rPr>
                <w:sz w:val="18"/>
                <w:szCs w:val="18"/>
              </w:rPr>
            </w:pPr>
            <w:r w:rsidRPr="00353F98">
              <w:rPr>
                <w:sz w:val="18"/>
              </w:rPr>
              <w:t>Oxidative stress</w:t>
            </w:r>
          </w:p>
        </w:tc>
        <w:tc>
          <w:tcPr>
            <w:tcW w:w="1890" w:type="dxa"/>
            <w:shd w:val="clear" w:color="auto" w:fill="D0CECE" w:themeFill="background2" w:themeFillShade="E6"/>
          </w:tcPr>
          <w:p w14:paraId="5B026D80" w14:textId="37D44119" w:rsidR="0061480A" w:rsidRDefault="0061480A" w:rsidP="0061480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CD43F8">
              <w:rPr>
                <w:sz w:val="18"/>
                <w:szCs w:val="18"/>
              </w:rPr>
              <w:instrText>ADDIN CSL_CITATION { "citationItems" : [ { "id" : "ITEM-1", "itemData" : { "DOI" : "10.1002/tox.20411", "ISBN" : "1522-7278 (Electronic)\\r1520-4081 (Linking)", "ISSN" : "1522-7278 (ELECTRONIC) 1520-4081 (LINKING)", "abstract" : "Transition metals and polycyclic aromatic hydrocarbons (PAHs) are cocontaminants at many sites. Contaminants in mixtures are known to interact with biological systems in ways that can greatly alter the toxicity of individual compounds. The toxicities (individually and as mixtures) of copper (Cu), a redox- active metal; cadmium (Cd), a nonredox active metal; and phenanthrenequinone (PHQ), a redox-active oxygenated PAH, were examined using the bioluminescent bacterium Vibrio fischeri. We found that the cotoxicity of Cu/PHQ was dependent on the ratio of concentrations of each chemical in the mixture. Different interaction types (synergism, antagonism, and additivity) were observed with different combinations of these toxicants. The interaction types changed from antagonism at a low Cu to PHQ ratio (1:4), to additive at an intermediate Cu to PHQ ratio (2:3), to synergistic at higher Cu to PHQ ratios (3:2 and 4:1). In contrast to Cu/PHQ mixtures, the cotoxicity of Cd/PHQ did not change at different mixture ratios and was found for the most part to be additive. For the individual chemicals and their mixtures, reactive oxygen species (ROS) production was observed in V. fischeri, suggesting that individual and mixture toxicity of Cu, Cd, and PHQ to V fischeri involves ROS-related mechanisms. This study shows that mixture ratios can alter individual chemical toxicity, and should be taken into account in risk assessment. \u00a9 2008 Wiley Periodicals, Inc.", "author" : [ { "dropping-particle" : "", "family" : "Wang", "given" : "Wenxi", "non-dropping-particle" : "", "parse-names" : false, "suffix" : "" }, { "dropping-particle" : "", "family" : "Lampi", "given" : "Mark A.", "non-dropping-particle" : "", "parse-names" : false, "suffix" : "" }, { "dropping-particle" : "", "family" : "Huang", "given" : "X D", "non-dropping-particle" : "", "parse-names" : false, "suffix" : "" }, { "dropping-particle" : "", "family" : "Gerhardt", "given" : "Karen", "non-dropping-particle" : "", "parse-names" : false, "suffix" : "" }, { "dropping-particle" : "", "family" : "Dixon", "given" : "D. George", "non-dropping-particle" : "", "parse-names" : false, "suffix" : "" }, { "dropping-particle" : "", "family" : "Greenberg", "given" : "Bruce M.", "non-dropping-particle" : "", "parse-names" : false, "suffix" : "" } ], "container-title" : "Environmental Toxicology", "id" : "ITEM-1", "issue" : "2", "issued" : { "date-parts" : [ [ "2009", "4", "1" ] ] }, "page" : "166-177", "publisher" : "Wiley-Blackwell", "title" : "Assessment of mixture toxicity of copper, cadmium, and phenanthrenequinone to the marine bacterium vibrio fischeri", "type" : "article-journal", "volume" : "24" }, "uris" : [ "http://www.mendeley.com/documents/?uuid=096596ca-e338-33ac-98c7-151bf3088f92" ] }, { "id" : "ITEM-2", "itemData" : { "DOI" : "10.1016/J.GEXPLO.2008.03.003", "ISSN" : "0375-6742", "abstract" : "Acid mine waters have the potential to seriously impair the environmental quality of aquatic systems long after mining activities have ceased. This detailed study of dissolved and particulate metal fluxes from adits, drains and streams in the River Tamar catchment, southwest England, showed that seven specific sources, of the 25 adits and streams surveyed, accounted for more than 75% each of the 13\u00a0t a\u22121 Fe, 4.3\u00a0t a\u22121 Mn, 4.2\u00a0t a\u22121 Cu, 3.6\u00a0t a\u22121 Zn and 1.4\u00a0t a\u22121 As that we estimated to be discharged annually from the abandoned metalliferous mining area centred around Calstock and Gunnislake. Upstream of this study area, widespread multi-metallic mineralisation contributed to the flux of Fe, Mn, As, Co, Cu and Zn within the River Tamar. Simple mass balance calculations indicated that a large proportion (\u226550% for most dissolved and particulate metals) of the metal flux in the River Tamar was unaccounted for by our survey, and therefore is likely to have an important diffuse component, which is subject to ongoing investigations. Potential impacts of mine contamination on the estuarine environment are discussed. The study provided information necessary to prioritise monitoring and remediation efforts in the context of sustainable catchment management.", "author" : [ { "dropping-particle" : "", "family" : "Mighanetara", "given" : "Krongkaew", "non-dropping-particle" : "", "parse-names" : false, "suffix" : "" }, { "dropping-particle" : "", "family" : "Braungardt", "given" : "Charlotte B.", "non-dropping-particle" : "", "parse-names" : false, "suffix" : "" }, { "dropping-particle" : "", "family" : "Rieuwerts", "given" : "John S.", "non-dropping-particle" : "", "parse-names" : false, "suffix" : "" }, { "dropping-particle" : "", "family" : "Azizi", "given" : "Fethi", "non-dropping-particle" : "", "parse-names" : false, "suffix" : "" } ], "container-title" : "Journal of Geochemical Exploration", "id" : "ITEM-2", "issue" : "2-3", "issued" : { "date-parts" : [ [ "2009", "2", "1" ] ] }, "page" : "116-124", "publisher" : "Elsevier", "title" : "Contaminant fluxes from point and diffuse sources from abandoned mines in the River Tamar catchment, UK", "type" : "article-journal", "volume" : "100" }, "uris" : [ "http://www.mendeley.com/documents/?uuid=d4ed3aa3-578c-3a6e-803e-7e3502c9ed47" ] } ], "mendeley" : { "formattedCitation" : "(Mighanetara &lt;i&gt;et al.&lt;/i&gt;, 2009; Wang &lt;i&gt;et al.&lt;/i&gt;, 2009)", "plainTextFormattedCitation" : "(Mighanetara et al., 2009; Wang et al., 2009)", "previouslyFormattedCitation" : "(Mighanetara &lt;i&gt;et al.&lt;/i&gt;, 2009; Wang &lt;i&gt;et al.&lt;/i&gt;, 2009)" }, "properties" : { "noteIndex" : 0 }, "schema" : "https://github.com/citation-style-language/schema/raw/master/csl-citation.json" }</w:instrText>
            </w:r>
            <w:r>
              <w:rPr>
                <w:sz w:val="18"/>
                <w:szCs w:val="18"/>
              </w:rPr>
              <w:fldChar w:fldCharType="separate"/>
            </w:r>
            <w:r w:rsidRPr="00D43AEB">
              <w:rPr>
                <w:noProof/>
                <w:sz w:val="18"/>
                <w:szCs w:val="18"/>
              </w:rPr>
              <w:t xml:space="preserve">(Mighanetara </w:t>
            </w:r>
            <w:r w:rsidRPr="00D43AEB">
              <w:rPr>
                <w:i/>
                <w:noProof/>
                <w:sz w:val="18"/>
                <w:szCs w:val="18"/>
              </w:rPr>
              <w:t>et al.</w:t>
            </w:r>
            <w:r w:rsidRPr="00D43AEB">
              <w:rPr>
                <w:noProof/>
                <w:sz w:val="18"/>
                <w:szCs w:val="18"/>
              </w:rPr>
              <w:t xml:space="preserve">, 2009; Wang </w:t>
            </w:r>
            <w:r w:rsidRPr="00D43AEB">
              <w:rPr>
                <w:i/>
                <w:noProof/>
                <w:sz w:val="18"/>
                <w:szCs w:val="18"/>
              </w:rPr>
              <w:t>et al.</w:t>
            </w:r>
            <w:r w:rsidRPr="00D43AEB">
              <w:rPr>
                <w:noProof/>
                <w:sz w:val="18"/>
                <w:szCs w:val="18"/>
              </w:rPr>
              <w:t>, 2009)</w:t>
            </w:r>
            <w:r>
              <w:rPr>
                <w:sz w:val="18"/>
                <w:szCs w:val="18"/>
              </w:rPr>
              <w:fldChar w:fldCharType="end"/>
            </w:r>
          </w:p>
        </w:tc>
        <w:tc>
          <w:tcPr>
            <w:tcW w:w="2215" w:type="dxa"/>
            <w:shd w:val="clear" w:color="auto" w:fill="D0CECE" w:themeFill="background2" w:themeFillShade="E6"/>
          </w:tcPr>
          <w:p w14:paraId="072FBB91" w14:textId="46408237" w:rsidR="0061480A" w:rsidRDefault="0061480A" w:rsidP="0061480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Inhibition of luminescence in </w:t>
            </w:r>
            <w:r w:rsidRPr="001076A1">
              <w:rPr>
                <w:i/>
                <w:sz w:val="18"/>
                <w:szCs w:val="18"/>
              </w:rPr>
              <w:t xml:space="preserve">V. </w:t>
            </w:r>
            <w:proofErr w:type="spellStart"/>
            <w:r w:rsidRPr="001076A1">
              <w:rPr>
                <w:i/>
                <w:sz w:val="18"/>
                <w:szCs w:val="18"/>
              </w:rPr>
              <w:t>fischeri</w:t>
            </w:r>
            <w:proofErr w:type="spellEnd"/>
            <w:r>
              <w:rPr>
                <w:sz w:val="18"/>
                <w:szCs w:val="18"/>
              </w:rPr>
              <w:t xml:space="preserve"> in 60 minutes</w:t>
            </w:r>
          </w:p>
        </w:tc>
        <w:tc>
          <w:tcPr>
            <w:tcW w:w="1634" w:type="dxa"/>
            <w:shd w:val="clear" w:color="auto" w:fill="D0CECE" w:themeFill="background2" w:themeFillShade="E6"/>
          </w:tcPr>
          <w:p w14:paraId="4D3B6B03" w14:textId="59641C85" w:rsidR="0061480A" w:rsidRDefault="0061480A" w:rsidP="0061480A">
            <w:pPr>
              <w:cnfStyle w:val="000000000000" w:firstRow="0" w:lastRow="0" w:firstColumn="0" w:lastColumn="0" w:oddVBand="0" w:evenVBand="0" w:oddHBand="0" w:evenHBand="0" w:firstRowFirstColumn="0" w:firstRowLastColumn="0" w:lastRowFirstColumn="0" w:lastRowLastColumn="0"/>
              <w:rPr>
                <w:sz w:val="18"/>
                <w:szCs w:val="18"/>
              </w:rPr>
            </w:pPr>
            <w:r>
              <w:rPr>
                <w:sz w:val="18"/>
              </w:rPr>
              <w:t xml:space="preserve">EC50 - </w:t>
            </w:r>
            <w:r w:rsidRPr="00A8714C">
              <w:rPr>
                <w:sz w:val="18"/>
              </w:rPr>
              <w:t xml:space="preserve">146.88 </w:t>
            </w:r>
            <w:r>
              <w:rPr>
                <w:sz w:val="18"/>
              </w:rPr>
              <w:t>ug.l</w:t>
            </w:r>
            <w:r w:rsidRPr="003A7406">
              <w:rPr>
                <w:sz w:val="18"/>
                <w:vertAlign w:val="superscript"/>
              </w:rPr>
              <w:t>-1</w:t>
            </w:r>
            <w:r>
              <w:rPr>
                <w:sz w:val="18"/>
              </w:rPr>
              <w:t>@ 30 minutes</w:t>
            </w:r>
          </w:p>
        </w:tc>
        <w:tc>
          <w:tcPr>
            <w:tcW w:w="1243" w:type="dxa"/>
            <w:shd w:val="clear" w:color="auto" w:fill="D0CECE" w:themeFill="background2" w:themeFillShade="E6"/>
          </w:tcPr>
          <w:p w14:paraId="7B853AE9" w14:textId="536F6BFB" w:rsidR="0061480A" w:rsidRDefault="0061480A" w:rsidP="0061480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 saline</w:t>
            </w:r>
          </w:p>
        </w:tc>
        <w:tc>
          <w:tcPr>
            <w:tcW w:w="2763" w:type="dxa"/>
            <w:shd w:val="clear" w:color="auto" w:fill="D0CECE" w:themeFill="background2" w:themeFillShade="E6"/>
          </w:tcPr>
          <w:p w14:paraId="7C75AA60" w14:textId="77777777" w:rsidR="0061480A" w:rsidRDefault="0061480A" w:rsidP="0061480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&lt;0.010 mg.l</w:t>
            </w:r>
            <w:r w:rsidRPr="00C46368">
              <w:rPr>
                <w:sz w:val="18"/>
                <w:szCs w:val="18"/>
                <w:vertAlign w:val="superscript"/>
              </w:rPr>
              <w:t>-1</w:t>
            </w:r>
            <w:r>
              <w:rPr>
                <w:sz w:val="18"/>
                <w:szCs w:val="18"/>
                <w:vertAlign w:val="superscript"/>
              </w:rPr>
              <w:t xml:space="preserve"> </w:t>
            </w:r>
            <w:r>
              <w:rPr>
                <w:sz w:val="18"/>
                <w:szCs w:val="18"/>
              </w:rPr>
              <w:t>(Sunningdale Tap Water)</w:t>
            </w:r>
          </w:p>
          <w:p w14:paraId="41320145" w14:textId="02FD2B9A" w:rsidR="00E44C83" w:rsidRPr="00E44C83" w:rsidRDefault="009F585C" w:rsidP="0061480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 m</w:t>
            </w:r>
            <w:r w:rsidR="00E44C83">
              <w:rPr>
                <w:sz w:val="18"/>
                <w:szCs w:val="18"/>
              </w:rPr>
              <w:t>g.l</w:t>
            </w:r>
            <w:r w:rsidR="00E44C83" w:rsidRPr="00E44C83">
              <w:rPr>
                <w:sz w:val="18"/>
                <w:szCs w:val="18"/>
                <w:vertAlign w:val="superscript"/>
              </w:rPr>
              <w:t>-1</w:t>
            </w:r>
            <w:r w:rsidR="00E44C83">
              <w:rPr>
                <w:sz w:val="18"/>
                <w:szCs w:val="18"/>
              </w:rPr>
              <w:t xml:space="preserve"> </w:t>
            </w:r>
            <w:bookmarkStart w:id="0" w:name="_GoBack"/>
            <w:bookmarkEnd w:id="0"/>
            <w:r w:rsidR="00E44C83">
              <w:rPr>
                <w:sz w:val="18"/>
                <w:szCs w:val="18"/>
              </w:rPr>
              <w:t>(varies with hardness)</w:t>
            </w:r>
          </w:p>
        </w:tc>
      </w:tr>
      <w:tr w:rsidR="0061480A" w14:paraId="1587D592" w14:textId="77777777" w:rsidTr="0042618B">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994" w:type="dxa"/>
            <w:shd w:val="clear" w:color="auto" w:fill="D0CECE" w:themeFill="background2" w:themeFillShade="E6"/>
          </w:tcPr>
          <w:p w14:paraId="38C4BF71" w14:textId="3C7109B0" w:rsidR="00E3314C" w:rsidRPr="003417B9" w:rsidRDefault="00E3314C" w:rsidP="00E3314C">
            <w:pPr>
              <w:rPr>
                <w:b w:val="0"/>
              </w:rPr>
            </w:pPr>
            <w:r w:rsidRPr="003417B9">
              <w:rPr>
                <w:b w:val="0"/>
              </w:rPr>
              <w:t>Cadmium</w:t>
            </w:r>
          </w:p>
        </w:tc>
        <w:tc>
          <w:tcPr>
            <w:tcW w:w="1784" w:type="dxa"/>
            <w:shd w:val="clear" w:color="auto" w:fill="D0CECE" w:themeFill="background2" w:themeFillShade="E6"/>
          </w:tcPr>
          <w:p w14:paraId="6EF123A5" w14:textId="29B0ED59" w:rsidR="00E3314C" w:rsidRDefault="00E3314C" w:rsidP="00E3314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Major anthropogenic pollutant</w:t>
            </w:r>
          </w:p>
        </w:tc>
        <w:tc>
          <w:tcPr>
            <w:tcW w:w="1554" w:type="dxa"/>
            <w:shd w:val="clear" w:color="auto" w:fill="D0CECE" w:themeFill="background2" w:themeFillShade="E6"/>
          </w:tcPr>
          <w:p w14:paraId="33F169BA" w14:textId="5ABAFE03" w:rsidR="00E3314C" w:rsidRDefault="00E3314C" w:rsidP="00E3314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Oxidative stress</w:t>
            </w:r>
          </w:p>
        </w:tc>
        <w:tc>
          <w:tcPr>
            <w:tcW w:w="1890" w:type="dxa"/>
            <w:shd w:val="clear" w:color="auto" w:fill="D0CECE" w:themeFill="background2" w:themeFillShade="E6"/>
          </w:tcPr>
          <w:p w14:paraId="4F71D6EA" w14:textId="2BE6F660" w:rsidR="00E3314C" w:rsidRDefault="00E3314C" w:rsidP="00E3314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CD43F8">
              <w:rPr>
                <w:sz w:val="18"/>
                <w:szCs w:val="18"/>
              </w:rPr>
              <w:instrText>ADDIN CSL_CITATION { "citationItems" : [ { "id" : "ITEM-1", "itemData" : { "DOI" : "10.1002/tox.20411", "ISBN" : "1522-7278 (Electronic)\\r1520-4081 (Linking)", "ISSN" : "1522-7278 (ELECTRONIC) 1520-4081 (LINKING)", "abstract" : "Transition metals and polycyclic aromatic hydrocarbons (PAHs) are cocontaminants at many sites. Contaminants in mixtures are known to interact with biological systems in ways that can greatly alter the toxicity of individual compounds. The toxicities (individually and as mixtures) of copper (Cu), a redox- active metal; cadmium (Cd), a nonredox active metal; and phenanthrenequinone (PHQ), a redox-active oxygenated PAH, were examined using the bioluminescent bacterium Vibrio fischeri. We found that the cotoxicity of Cu/PHQ was dependent on the ratio of concentrations of each chemical in the mixture. Different interaction types (synergism, antagonism, and additivity) were observed with different combinations of these toxicants. The interaction types changed from antagonism at a low Cu to PHQ ratio (1:4), to additive at an intermediate Cu to PHQ ratio (2:3), to synergistic at higher Cu to PHQ ratios (3:2 and 4:1). In contrast to Cu/PHQ mixtures, the cotoxicity of Cd/PHQ did not change at different mixture ratios and was found for the most part to be additive. For the individual chemicals and their mixtures, reactive oxygen species (ROS) production was observed in V. fischeri, suggesting that individual and mixture toxicity of Cu, Cd, and PHQ to V fischeri involves ROS-related mechanisms. This study shows that mixture ratios can alter individual chemical toxicity, and should be taken into account in risk assessment. \u00a9 2008 Wiley Periodicals, Inc.", "author" : [ { "dropping-particle" : "", "family" : "Wang", "given" : "Wenxi", "non-dropping-particle" : "", "parse-names" : false, "suffix" : "" }, { "dropping-particle" : "", "family" : "Lampi", "given" : "Mark A.", "non-dropping-particle" : "", "parse-names" : false, "suffix" : "" }, { "dropping-particle" : "", "family" : "Huang", "given" : "X D", "non-dropping-particle" : "", "parse-names" : false, "suffix" : "" }, { "dropping-particle" : "", "family" : "Gerhardt", "given" : "Karen", "non-dropping-particle" : "", "parse-names" : false, "suffix" : "" }, { "dropping-particle" : "", "family" : "Dixon", "given" : "D. George", "non-dropping-particle" : "", "parse-names" : false, "suffix" : "" }, { "dropping-particle" : "", "family" : "Greenberg", "given" : "Bruce M.", "non-dropping-particle" : "", "parse-names" : false, "suffix" : "" } ], "container-title" : "Environmental Toxicology", "id" : "ITEM-1", "issue" : "2", "issued" : { "date-parts" : [ [ "2009", "4", "1" ] ] }, "page" : "166-177", "publisher" : "Wiley-Blackwell", "title" : "Assessment of mixture toxicity of copper, cadmium, and phenanthrenequinone to the marine bacterium vibrio fischeri", "type" : "article-journal", "volume" : "24" }, "uris" : [ "http://www.mendeley.com/documents/?uuid=096596ca-e338-33ac-98c7-151bf3088f92" ] }, { "id" : "ITEM-2", "itemData" : { "DOI" : "10.1016/J.GEXPLO.2008.03.003", "ISSN" : "0375-6742", "abstract" : "Acid mine waters have the potential to seriously impair the environmental quality of aquatic systems long after mining activities have ceased. This detailed study of dissolved and particulate metal fluxes from adits, drains and streams in the River Tamar catchment, southwest England, showed that seven specific sources, of the 25 adits and streams surveyed, accounted for more than 75% each of the 13\u00a0t a\u22121 Fe, 4.3\u00a0t a\u22121 Mn, 4.2\u00a0t a\u22121 Cu, 3.6\u00a0t a\u22121 Zn and 1.4\u00a0t a\u22121 As that we estimated to be discharged annually from the abandoned metalliferous mining area centred around Calstock and Gunnislake. Upstream of this study area, widespread multi-metallic mineralisation contributed to the flux of Fe, Mn, As, Co, Cu and Zn within the River Tamar. Simple mass balance calculations indicated that a large proportion (\u226550% for most dissolved and particulate metals) of the metal flux in the River Tamar was unaccounted for by our survey, and therefore is likely to have an important diffuse component, which is subject to ongoing investigations. Potential impacts of mine contamination on the estuarine environment are discussed. The study provided information necessary to prioritise monitoring and remediation efforts in the context of sustainable catchment management.", "author" : [ { "dropping-particle" : "", "family" : "Mighanetara", "given" : "Krongkaew", "non-dropping-particle" : "", "parse-names" : false, "suffix" : "" }, { "dropping-particle" : "", "family" : "Braungardt", "given" : "Charlotte B.", "non-dropping-particle" : "", "parse-names" : false, "suffix" : "" }, { "dropping-particle" : "", "family" : "Rieuwerts", "given" : "John S.", "non-dropping-particle" : "", "parse-names" : false, "suffix" : "" }, { "dropping-particle" : "", "family" : "Azizi", "given" : "Fethi", "non-dropping-particle" : "", "parse-names" : false, "suffix" : "" } ], "container-title" : "Journal of Geochemical Exploration", "id" : "ITEM-2", "issue" : "2-3", "issued" : { "date-parts" : [ [ "2009", "2", "1" ] ] }, "page" : "116-124", "publisher" : "Elsevier", "title" : "Contaminant fluxes from point and diffuse sources from abandoned mines in the River Tamar catchment, UK", "type" : "article-journal", "volume" : "100" }, "uris" : [ "http://www.mendeley.com/documents/?uuid=d4ed3aa3-578c-3a6e-803e-7e3502c9ed47" ] } ], "mendeley" : { "formattedCitation" : "(Mighanetara &lt;i&gt;et al.&lt;/i&gt;, 2009; Wang &lt;i&gt;et al.&lt;/i&gt;, 2009)", "plainTextFormattedCitation" : "(Mighanetara et al., 2009; Wang et al., 2009)", "previouslyFormattedCitation" : "(Mighanetara &lt;i&gt;et al.&lt;/i&gt;, 2009; Wang &lt;i&gt;et al.&lt;/i&gt;, 2009)" }, "properties" : { "noteIndex" : 0 }, "schema" : "https://github.com/citation-style-language/schema/raw/master/csl-citation.json" }</w:instrText>
            </w:r>
            <w:r>
              <w:rPr>
                <w:sz w:val="18"/>
                <w:szCs w:val="18"/>
              </w:rPr>
              <w:fldChar w:fldCharType="separate"/>
            </w:r>
            <w:r w:rsidRPr="00D43AEB">
              <w:rPr>
                <w:noProof/>
                <w:sz w:val="18"/>
                <w:szCs w:val="18"/>
              </w:rPr>
              <w:t xml:space="preserve">(Mighanetara </w:t>
            </w:r>
            <w:r w:rsidRPr="00D43AEB">
              <w:rPr>
                <w:i/>
                <w:noProof/>
                <w:sz w:val="18"/>
                <w:szCs w:val="18"/>
              </w:rPr>
              <w:t>et al.</w:t>
            </w:r>
            <w:r w:rsidRPr="00D43AEB">
              <w:rPr>
                <w:noProof/>
                <w:sz w:val="18"/>
                <w:szCs w:val="18"/>
              </w:rPr>
              <w:t xml:space="preserve">, 2009; Wang </w:t>
            </w:r>
            <w:r w:rsidRPr="00D43AEB">
              <w:rPr>
                <w:i/>
                <w:noProof/>
                <w:sz w:val="18"/>
                <w:szCs w:val="18"/>
              </w:rPr>
              <w:t>et al.</w:t>
            </w:r>
            <w:r w:rsidRPr="00D43AEB">
              <w:rPr>
                <w:noProof/>
                <w:sz w:val="18"/>
                <w:szCs w:val="18"/>
              </w:rPr>
              <w:t>, 2009)</w:t>
            </w:r>
            <w:r>
              <w:rPr>
                <w:sz w:val="18"/>
                <w:szCs w:val="18"/>
              </w:rPr>
              <w:fldChar w:fldCharType="end"/>
            </w:r>
          </w:p>
        </w:tc>
        <w:tc>
          <w:tcPr>
            <w:tcW w:w="2215" w:type="dxa"/>
            <w:shd w:val="clear" w:color="auto" w:fill="D0CECE" w:themeFill="background2" w:themeFillShade="E6"/>
          </w:tcPr>
          <w:p w14:paraId="5D4EC0BF" w14:textId="3A67C5EB" w:rsidR="00E3314C" w:rsidRDefault="00E3314C" w:rsidP="00E3314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Inhibition of luminescence in </w:t>
            </w:r>
            <w:r w:rsidRPr="001076A1">
              <w:rPr>
                <w:i/>
                <w:sz w:val="18"/>
                <w:szCs w:val="18"/>
              </w:rPr>
              <w:t xml:space="preserve">V. </w:t>
            </w:r>
            <w:proofErr w:type="spellStart"/>
            <w:r w:rsidRPr="001076A1">
              <w:rPr>
                <w:i/>
                <w:sz w:val="18"/>
                <w:szCs w:val="18"/>
              </w:rPr>
              <w:t>fischeri</w:t>
            </w:r>
            <w:proofErr w:type="spellEnd"/>
            <w:r>
              <w:rPr>
                <w:sz w:val="18"/>
                <w:szCs w:val="18"/>
              </w:rPr>
              <w:t xml:space="preserve"> in 60 minutes</w:t>
            </w:r>
          </w:p>
        </w:tc>
        <w:tc>
          <w:tcPr>
            <w:tcW w:w="1634" w:type="dxa"/>
            <w:shd w:val="clear" w:color="auto" w:fill="D0CECE" w:themeFill="background2" w:themeFillShade="E6"/>
          </w:tcPr>
          <w:p w14:paraId="31455540" w14:textId="013D1AD9" w:rsidR="00E3314C" w:rsidRDefault="00E3314C" w:rsidP="00E3314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EC50 - </w:t>
            </w:r>
            <w:r w:rsidRPr="004A0EDF">
              <w:rPr>
                <w:sz w:val="18"/>
                <w:szCs w:val="18"/>
              </w:rPr>
              <w:t>9.96</w:t>
            </w:r>
            <w:r>
              <w:rPr>
                <w:sz w:val="18"/>
              </w:rPr>
              <w:t xml:space="preserve"> mg.l</w:t>
            </w:r>
            <w:r w:rsidRPr="003A7406">
              <w:rPr>
                <w:sz w:val="18"/>
                <w:vertAlign w:val="superscript"/>
              </w:rPr>
              <w:t>-1</w:t>
            </w:r>
            <w:r>
              <w:rPr>
                <w:sz w:val="18"/>
              </w:rPr>
              <w:t>@ 30 minutes</w:t>
            </w:r>
          </w:p>
        </w:tc>
        <w:tc>
          <w:tcPr>
            <w:tcW w:w="1243" w:type="dxa"/>
            <w:shd w:val="clear" w:color="auto" w:fill="D0CECE" w:themeFill="background2" w:themeFillShade="E6"/>
          </w:tcPr>
          <w:p w14:paraId="4BE44760" w14:textId="6839FA75" w:rsidR="00E3314C" w:rsidRDefault="00E3314C" w:rsidP="00E3314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 saline</w:t>
            </w:r>
          </w:p>
        </w:tc>
        <w:tc>
          <w:tcPr>
            <w:tcW w:w="2763" w:type="dxa"/>
            <w:shd w:val="clear" w:color="auto" w:fill="D0CECE" w:themeFill="background2" w:themeFillShade="E6"/>
          </w:tcPr>
          <w:p w14:paraId="0F930086" w14:textId="0FAED66C" w:rsidR="00E3314C" w:rsidRPr="00E0712D" w:rsidRDefault="00E0712D" w:rsidP="00E3314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 ug.l</w:t>
            </w:r>
            <w:r w:rsidRPr="00AE268D">
              <w:rPr>
                <w:sz w:val="18"/>
                <w:szCs w:val="18"/>
                <w:vertAlign w:val="superscript"/>
              </w:rPr>
              <w:t>-1</w:t>
            </w:r>
            <w:r>
              <w:rPr>
                <w:sz w:val="18"/>
                <w:szCs w:val="18"/>
                <w:vertAlign w:val="superscript"/>
              </w:rPr>
              <w:t xml:space="preserve"> </w:t>
            </w:r>
            <w:r>
              <w:rPr>
                <w:sz w:val="18"/>
                <w:szCs w:val="18"/>
              </w:rPr>
              <w:t>(tap water)</w:t>
            </w:r>
          </w:p>
        </w:tc>
      </w:tr>
      <w:tr w:rsidR="0061480A" w14:paraId="15BE693D" w14:textId="77777777" w:rsidTr="003417B9">
        <w:trPr>
          <w:trHeight w:val="270"/>
        </w:trPr>
        <w:tc>
          <w:tcPr>
            <w:cnfStyle w:val="001000000000" w:firstRow="0" w:lastRow="0" w:firstColumn="1" w:lastColumn="0" w:oddVBand="0" w:evenVBand="0" w:oddHBand="0" w:evenHBand="0" w:firstRowFirstColumn="0" w:firstRowLastColumn="0" w:lastRowFirstColumn="0" w:lastRowLastColumn="0"/>
            <w:tcW w:w="15077" w:type="dxa"/>
            <w:gridSpan w:val="8"/>
            <w:shd w:val="clear" w:color="auto" w:fill="FFF2CC" w:themeFill="accent4" w:themeFillTint="33"/>
          </w:tcPr>
          <w:p w14:paraId="66563F11" w14:textId="66579364" w:rsidR="0061480A" w:rsidRPr="00353F98" w:rsidRDefault="00042C30" w:rsidP="00E3314C">
            <w:pPr>
              <w:rPr>
                <w:sz w:val="18"/>
                <w:szCs w:val="18"/>
              </w:rPr>
            </w:pPr>
            <w:r>
              <w:t>(Poly)a</w:t>
            </w:r>
            <w:r w:rsidR="0061480A">
              <w:t>romatic Hydrocarbons</w:t>
            </w:r>
            <w:r w:rsidR="00636C9C">
              <w:t xml:space="preserve"> </w:t>
            </w:r>
          </w:p>
        </w:tc>
      </w:tr>
      <w:tr w:rsidR="00042C30" w14:paraId="77EC08F4" w14:textId="77777777" w:rsidTr="0042618B">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994" w:type="dxa"/>
            <w:shd w:val="clear" w:color="auto" w:fill="FFF2CC" w:themeFill="accent4" w:themeFillTint="33"/>
          </w:tcPr>
          <w:p w14:paraId="41DB3584" w14:textId="39F7E223" w:rsidR="00042C30" w:rsidRPr="003417B9" w:rsidRDefault="00042C30" w:rsidP="00042C30">
            <w:pPr>
              <w:rPr>
                <w:b w:val="0"/>
              </w:rPr>
            </w:pPr>
            <w:r>
              <w:rPr>
                <w:b w:val="0"/>
              </w:rPr>
              <w:t>Benzo[a]pyrene (PAH)</w:t>
            </w:r>
          </w:p>
        </w:tc>
        <w:tc>
          <w:tcPr>
            <w:tcW w:w="1784" w:type="dxa"/>
            <w:shd w:val="clear" w:color="auto" w:fill="FFF2CC" w:themeFill="accent4" w:themeFillTint="33"/>
          </w:tcPr>
          <w:p w14:paraId="11A0EDCF" w14:textId="48F60F5D" w:rsidR="00042C30" w:rsidRPr="00353F98" w:rsidRDefault="00AF7143" w:rsidP="00042C30">
            <w:pPr>
              <w:cnfStyle w:val="000000100000" w:firstRow="0" w:lastRow="0" w:firstColumn="0" w:lastColumn="0" w:oddVBand="0" w:evenVBand="0" w:oddHBand="1" w:evenHBand="0" w:firstRowFirstColumn="0" w:firstRowLastColumn="0" w:lastRowFirstColumn="0" w:lastRowLastColumn="0"/>
              <w:rPr>
                <w:sz w:val="18"/>
              </w:rPr>
            </w:pPr>
            <w:r>
              <w:rPr>
                <w:sz w:val="18"/>
              </w:rPr>
              <w:t xml:space="preserve">Highly toxic PAH produced by incomplete combustion </w:t>
            </w:r>
          </w:p>
        </w:tc>
        <w:tc>
          <w:tcPr>
            <w:tcW w:w="1554" w:type="dxa"/>
            <w:shd w:val="clear" w:color="auto" w:fill="FFF2CC" w:themeFill="accent4" w:themeFillTint="33"/>
          </w:tcPr>
          <w:p w14:paraId="65CFE468" w14:textId="6A4E5FCD" w:rsidR="00042C30" w:rsidRPr="00353F98" w:rsidRDefault="00AF7143" w:rsidP="00042C30">
            <w:pPr>
              <w:cnfStyle w:val="000000100000" w:firstRow="0" w:lastRow="0" w:firstColumn="0" w:lastColumn="0" w:oddVBand="0" w:evenVBand="0" w:oddHBand="1" w:evenHBand="0" w:firstRowFirstColumn="0" w:firstRowLastColumn="0" w:lastRowFirstColumn="0" w:lastRowLastColumn="0"/>
              <w:rPr>
                <w:sz w:val="18"/>
              </w:rPr>
            </w:pPr>
            <w:r>
              <w:rPr>
                <w:sz w:val="18"/>
                <w:szCs w:val="18"/>
              </w:rPr>
              <w:t>Membrane damage, DNA damage</w:t>
            </w:r>
          </w:p>
        </w:tc>
        <w:tc>
          <w:tcPr>
            <w:tcW w:w="1890" w:type="dxa"/>
            <w:shd w:val="clear" w:color="auto" w:fill="FFF2CC" w:themeFill="accent4" w:themeFillTint="33"/>
          </w:tcPr>
          <w:p w14:paraId="737A4B2F" w14:textId="4A5F1E44" w:rsidR="00042C30" w:rsidRDefault="00CD43F8" w:rsidP="00042C3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 "citationItems" : [ { "id" : "ITEM-1", "itemData" : { "DOI" : "10.1016/S0964-8305(00)00052-4", "ISSN" : "0964-8305", "abstract" : "Over the past 30 years, research on the microbial degradation of polycyclic aromatic hydrocarbons (PAHs) has resulted in the isolation of numerous genera of bacteria, fungi and algae capable of degrading low molecular weight PAHs (compounds containing three or less fused benzene rings). High molecular weight PAHs (compounds containing four or more fused benzene rings) are generally recalcitrant to microbial attack, although some fungi and algae are capable of transforming these compounds. Until recently, only a few genera of bacteria have been isolated with the ability to utilise four-ring PAHs as sole carbon and energy sources while cometabolism of five-ring compounds has been reported. The focuss of this review is on the high molecular weight PAH benzo[a]pyrene (BaP). There is concern about the presence of BaP in the environment because of its carcinogenicity, teratogenicity and toxicity. BaP has been observed to accumulate in marine organisms and plants which could indirectly cause human exposure through food consumption. This review provides an outline of the occurrence of BaP in the environment and the ability of bacteria, fungi and algae to degrade the compound, including pathways for BaP degradation by these organisms. In addition, approaches for improving microbial degradation of BaP are discussed.", "author" : [ { "dropping-particle" : "", "family" : "Juhasz", "given" : "Albert L", "non-dropping-particle" : "", "parse-names" : false, "suffix" : "" }, { "dropping-particle" : "", "family" : "Naidu", "given" : "Ravendra", "non-dropping-particle" : "", "parse-names" : false, "suffix" : "" } ], "container-title" : "International Biodeterioration &amp; Biodegradation", "id" : "ITEM-1", "issue" : "1-2", "issued" : { "date-parts" : [ [ "2000", "1", "1" ] ] }, "page" : "57-88", "publisher" : "Elsevier", "title" : "Bioremediation of high molecular weight polycyclic aromatic hydrocarbons: a review of the microbial degradation of benzo[a]pyrene", "type" : "article-journal", "volume" : "45" }, "uris" : [ "http://www.mendeley.com/documents/?uuid=3541d871-961b-382c-b4a7-8c0196cc5f4d" ] } ], "mendeley" : { "formattedCitation" : "(Juhasz and Naidu, 2000)", "plainTextFormattedCitation" : "(Juhasz and Naidu, 2000)" }, "properties" : { "noteIndex" : 0 }, "schema" : "https://github.com/citation-style-language/schema/raw/master/csl-citation.json" }</w:instrText>
            </w:r>
            <w:r>
              <w:rPr>
                <w:sz w:val="18"/>
                <w:szCs w:val="18"/>
              </w:rPr>
              <w:fldChar w:fldCharType="separate"/>
            </w:r>
            <w:r w:rsidRPr="00CD43F8">
              <w:rPr>
                <w:noProof/>
                <w:sz w:val="18"/>
                <w:szCs w:val="18"/>
              </w:rPr>
              <w:t>(Juhasz and Naidu, 2000)</w:t>
            </w:r>
            <w:r>
              <w:rPr>
                <w:sz w:val="18"/>
                <w:szCs w:val="18"/>
              </w:rPr>
              <w:fldChar w:fldCharType="end"/>
            </w:r>
          </w:p>
        </w:tc>
        <w:tc>
          <w:tcPr>
            <w:tcW w:w="2215" w:type="dxa"/>
            <w:shd w:val="clear" w:color="auto" w:fill="FFF2CC" w:themeFill="accent4" w:themeFillTint="33"/>
          </w:tcPr>
          <w:p w14:paraId="35A34F5F" w14:textId="068B3232" w:rsidR="00042C30" w:rsidRDefault="00CD43F8" w:rsidP="00042C3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Many bacteria can degrade Benzo[a]pyrene</w:t>
            </w:r>
          </w:p>
        </w:tc>
        <w:tc>
          <w:tcPr>
            <w:tcW w:w="1634" w:type="dxa"/>
            <w:shd w:val="clear" w:color="auto" w:fill="FFF2CC" w:themeFill="accent4" w:themeFillTint="33"/>
          </w:tcPr>
          <w:p w14:paraId="5528CEBF" w14:textId="4DCF4EEC" w:rsidR="00042C30" w:rsidRDefault="00610F4D" w:rsidP="00042C30">
            <w:pPr>
              <w:cnfStyle w:val="000000100000" w:firstRow="0" w:lastRow="0" w:firstColumn="0" w:lastColumn="0" w:oddVBand="0" w:evenVBand="0" w:oddHBand="1" w:evenHBand="0" w:firstRowFirstColumn="0" w:firstRowLastColumn="0" w:lastRowFirstColumn="0" w:lastRowLastColumn="0"/>
              <w:rPr>
                <w:sz w:val="18"/>
              </w:rPr>
            </w:pPr>
            <w:r>
              <w:rPr>
                <w:sz w:val="18"/>
              </w:rPr>
              <w:t>various</w:t>
            </w:r>
          </w:p>
        </w:tc>
        <w:tc>
          <w:tcPr>
            <w:tcW w:w="1243" w:type="dxa"/>
            <w:shd w:val="clear" w:color="auto" w:fill="FFF2CC" w:themeFill="accent4" w:themeFillTint="33"/>
          </w:tcPr>
          <w:p w14:paraId="19904A0F" w14:textId="2A19B576" w:rsidR="00042C30" w:rsidRDefault="00610F4D" w:rsidP="00042C3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various</w:t>
            </w:r>
          </w:p>
        </w:tc>
        <w:tc>
          <w:tcPr>
            <w:tcW w:w="2763" w:type="dxa"/>
            <w:shd w:val="clear" w:color="auto" w:fill="FFF2CC" w:themeFill="accent4" w:themeFillTint="33"/>
          </w:tcPr>
          <w:p w14:paraId="6D2F64BC" w14:textId="68954105" w:rsidR="00042C30" w:rsidRPr="00B1020E" w:rsidRDefault="00042C30" w:rsidP="00042C3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 ug.l</w:t>
            </w:r>
            <w:r w:rsidRPr="00C83700">
              <w:rPr>
                <w:sz w:val="18"/>
                <w:szCs w:val="18"/>
                <w:vertAlign w:val="superscript"/>
              </w:rPr>
              <w:t>-1</w:t>
            </w:r>
            <w:r>
              <w:rPr>
                <w:sz w:val="18"/>
                <w:szCs w:val="18"/>
              </w:rPr>
              <w:t xml:space="preserve"> (tap water)</w:t>
            </w:r>
          </w:p>
          <w:p w14:paraId="4F75DEAA" w14:textId="38FD6C45" w:rsidR="00042C30" w:rsidRPr="00317194" w:rsidRDefault="00042C30" w:rsidP="00042C30">
            <w:pPr>
              <w:cnfStyle w:val="000000100000" w:firstRow="0" w:lastRow="0" w:firstColumn="0" w:lastColumn="0" w:oddVBand="0" w:evenVBand="0" w:oddHBand="1" w:evenHBand="0" w:firstRowFirstColumn="0" w:firstRowLastColumn="0" w:lastRowFirstColumn="0" w:lastRowLastColumn="0"/>
              <w:rPr>
                <w:sz w:val="18"/>
                <w:szCs w:val="18"/>
              </w:rPr>
            </w:pPr>
          </w:p>
        </w:tc>
      </w:tr>
      <w:tr w:rsidR="003417B9" w14:paraId="37407436" w14:textId="77777777" w:rsidTr="0042618B">
        <w:trPr>
          <w:trHeight w:val="270"/>
        </w:trPr>
        <w:tc>
          <w:tcPr>
            <w:cnfStyle w:val="001000000000" w:firstRow="0" w:lastRow="0" w:firstColumn="1" w:lastColumn="0" w:oddVBand="0" w:evenVBand="0" w:oddHBand="0" w:evenHBand="0" w:firstRowFirstColumn="0" w:firstRowLastColumn="0" w:lastRowFirstColumn="0" w:lastRowLastColumn="0"/>
            <w:tcW w:w="1994" w:type="dxa"/>
            <w:shd w:val="clear" w:color="auto" w:fill="FFF2CC" w:themeFill="accent4" w:themeFillTint="33"/>
          </w:tcPr>
          <w:p w14:paraId="7715B72E" w14:textId="6F1565B4" w:rsidR="0061480A" w:rsidRPr="003417B9" w:rsidRDefault="0061480A" w:rsidP="0061480A">
            <w:pPr>
              <w:rPr>
                <w:b w:val="0"/>
              </w:rPr>
            </w:pPr>
            <w:r w:rsidRPr="003417B9">
              <w:rPr>
                <w:b w:val="0"/>
              </w:rPr>
              <w:t>Benzene</w:t>
            </w:r>
            <w:r w:rsidR="00EE36F9">
              <w:rPr>
                <w:b w:val="0"/>
              </w:rPr>
              <w:t xml:space="preserve"> (Solvent</w:t>
            </w:r>
            <w:r w:rsidR="00042C30">
              <w:rPr>
                <w:b w:val="0"/>
              </w:rPr>
              <w:t>, AH</w:t>
            </w:r>
            <w:r w:rsidR="00EE36F9">
              <w:rPr>
                <w:b w:val="0"/>
              </w:rPr>
              <w:t>)</w:t>
            </w:r>
          </w:p>
        </w:tc>
        <w:tc>
          <w:tcPr>
            <w:tcW w:w="1784" w:type="dxa"/>
            <w:shd w:val="clear" w:color="auto" w:fill="FFF2CC" w:themeFill="accent4" w:themeFillTint="33"/>
          </w:tcPr>
          <w:p w14:paraId="17214FE2" w14:textId="22EB8EB9" w:rsidR="0061480A" w:rsidRDefault="0061480A" w:rsidP="0061480A">
            <w:pPr>
              <w:cnfStyle w:val="000000000000" w:firstRow="0" w:lastRow="0" w:firstColumn="0" w:lastColumn="0" w:oddVBand="0" w:evenVBand="0" w:oddHBand="0" w:evenHBand="0" w:firstRowFirstColumn="0" w:firstRowLastColumn="0" w:lastRowFirstColumn="0" w:lastRowLastColumn="0"/>
              <w:rPr>
                <w:sz w:val="18"/>
              </w:rPr>
            </w:pPr>
            <w:proofErr w:type="gramStart"/>
            <w:r>
              <w:rPr>
                <w:sz w:val="18"/>
              </w:rPr>
              <w:t>AH petrol additive,</w:t>
            </w:r>
            <w:proofErr w:type="gramEnd"/>
            <w:r>
              <w:rPr>
                <w:sz w:val="18"/>
              </w:rPr>
              <w:t xml:space="preserve"> used as stock in many synthesis pipelines</w:t>
            </w:r>
          </w:p>
        </w:tc>
        <w:tc>
          <w:tcPr>
            <w:tcW w:w="1554" w:type="dxa"/>
            <w:shd w:val="clear" w:color="auto" w:fill="FFF2CC" w:themeFill="accent4" w:themeFillTint="33"/>
          </w:tcPr>
          <w:p w14:paraId="7402416D" w14:textId="54E3B50F" w:rsidR="0061480A" w:rsidRDefault="0061480A" w:rsidP="0061480A">
            <w:pPr>
              <w:cnfStyle w:val="000000000000" w:firstRow="0" w:lastRow="0" w:firstColumn="0" w:lastColumn="0" w:oddVBand="0" w:evenVBand="0" w:oddHBand="0" w:evenHBand="0" w:firstRowFirstColumn="0" w:firstRowLastColumn="0" w:lastRowFirstColumn="0" w:lastRowLastColumn="0"/>
              <w:rPr>
                <w:sz w:val="18"/>
              </w:rPr>
            </w:pPr>
            <w:r>
              <w:rPr>
                <w:sz w:val="18"/>
              </w:rPr>
              <w:t>Mutagenesis</w:t>
            </w:r>
          </w:p>
        </w:tc>
        <w:tc>
          <w:tcPr>
            <w:tcW w:w="1890" w:type="dxa"/>
            <w:shd w:val="clear" w:color="auto" w:fill="FFF2CC" w:themeFill="accent4" w:themeFillTint="33"/>
          </w:tcPr>
          <w:p w14:paraId="1594F8DF" w14:textId="76A96FB9" w:rsidR="0061480A" w:rsidRDefault="0061480A" w:rsidP="0061480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sidR="00CD43F8">
              <w:rPr>
                <w:sz w:val="18"/>
                <w:szCs w:val="18"/>
              </w:rPr>
              <w:instrText>ADDIN CSL_CITATION { "citationItems" : [ { "id" : "ITEM-1", "itemData" : { "DOI" : "10.1016/J.CHEMOSPHERE.2006.06.031", "ISSN" : "0045-6535", "abstract" : "Despite the fact that creosote mainly consists of polycyclic aromatic hydrocarbons (PAHs), more polar compounds like phenolics, benzenes and N-, S-, O-heterocyclics dominate the groundwater downstream from creosote-contaminated sites. In this study, bioassay-directed fractionation, combined with fullscan GC\u2013MS, identified organic toxicants in creosote-contaminated groundwater. An organic extract of creosote-contaminated groundwater was fractionated on a polar silica column using high performance liquid chromatography (HPLC), and the toxicity of the fractions was measured by the Microtox\u00ae-bioassay. PAHs, which comprise up to 85% of pure creosote, accounted for only about 13% of total toxicity in the creosote-contaminated groundwater, while methylated benzenes, phenolics and N-heterocyclics accounted for ca. 80% of the measured toxicity. The fraction containing alkylated quinolines was the most toxic single fraction, accounting for 26% of the total measured toxicity. The results imply that focus on PAHs may underestimate risks associated with creosote-contaminated groundwater, and that environmental risk assessment should focus to a higher degree on substituted PAHs and phenolics because they are more toxic than the unsubstituted ones. Additionally, benzenes and N-heterocyclics (e.g., alkylated quinolines) should be assessed.", "author" : [ { "dropping-particle" : "", "family" : "Hartnik", "given" : "Thomas", "non-dropping-particle" : "", "parse-names" : false, "suffix" : "" }, { "dropping-particle" : "", "family" : "Norli", "given" : "Hans Ragnar", "non-dropping-particle" : "", "parse-names" : false, "suffix" : "" }, { "dropping-particle" : "", "family" : "Eggen", "given" : "Trine", "non-dropping-particle" : "", "parse-names" : false, "suffix" : "" }, { "dropping-particle" : "", "family" : "Breedveld", "given" : "Gijsbert D.", "non-dropping-particle" : "", "parse-names" : false, "suffix" : "" } ], "container-title" : "Chemosphere", "id" : "ITEM-1", "issue" : "3", "issued" : { "date-parts" : [ [ "2007", "1", "1" ] ] }, "page" : "435-443", "publisher" : "Pergamon", "title" : "Bioassay-directed identification of toxic organic compounds in creosote-contaminated groundwater", "type" : "article-journal", "volume" : "66" }, "uris" : [ "http://www.mendeley.com/documents/?uuid=7ebe31e6-d1ae-3112-8b1a-88efc0b6dcba" ] }, { "id" : "ITEM-2", "itemData" : { "DOI" : "10.1016/j.jhazmat.2009.03.137", "abstract" : "a b s t r a c t PAHs are aromatic hydrocarbons with two or more fused benzene rings with natural as well as anthropogenic sources. They are widely distributed environmental contaminants that have detrimen-tal biological effects, toxicity, mutagenecity and carcinogenicity. Due to their ubiquitous occurrence, recalcitrance, bioaccumulation potential and carcinogenic activity, the PAHs have gathered significant environmental concern. Although PAH may undergo adsorption, volatilization, photolysis, and chemical degradation, microbial degradation is the major degradation process. PAH degradation depends on the environmental conditions, number and type of the microorganisms, nature and chemical structure of the chemical compound being degraded. They are biodegraded/biotransformed into less complex metabo-lites, and through mineralization into inorganic minerals, H 2 O, CO 2 (aerobic) or CH 4 (anaerobic) and rate of biodegradation depends on pH, temperature, oxygen, microbial population, degree of acclima-tion, accessibility of nutrients, chemical structure of the compound, cellular transport properties, and chemical partitioning in growth medium. A number of bacterial species are known to degrade PAHs and most of them are isolated from contaminated soil or sediments. Pseudomonas aeruginosa, Pseudomons fluoresens, Mycobacterium spp., Haemophilus spp., Rhodococcus spp., Paenibacillus spp. are some of the commonly studied PAH-degrading bacteria. Lignolytic fungi too have the property of PAH degradation. Phanerochaete chrysosporium, Bjerkandera adusta, and Pleurotus ostreatus are the common PAH-degrading fungi. Enzymes involved in the degradation of PAHs are oxygenase, dehydrogenase and lignolytic enzymes. Fungal lignolytic enzymes are lignin peroxidase, laccase, and manganese peroxidase. They are extracel-lular and catalyze radical formation by oxidation to destabilize bonds in a molecule. The biodegradation of PAHs has been observed under both aerobic and anaerobic conditions and the rate can be enhanced by physical/chemical pretreatment of contaminated soil. Addition of biosurfactant-producing bacteria and light oils can increase the bioavailability of PAHs and metabolic potential of the bacterial community. The supplementation of contaminated soils with compost materials can also enhance biodegradation without long-term accumulation of extractable polar and more available intermediates. Wetlands, too, have found an application in PAH removal from wastewater. \u2026", "author" : [ { "dropping-particle" : "", "family" : "Haritash", "given" : "A K", "non-dropping-particle" : "", "parse-names" : false, "suffix" : "" }, { "dropping-particle" : "", "family" : "Kaushik", "given" : "C P", "non-dropping-particle" : "", "parse-names" : false, "suffix" : "" } ], "container-title" : "Journal of Hazardous Materials", "id" : "ITEM-2", "issued" : { "date-parts" : [ [ "2009" ] ] }, "page" : "1-15", "title" : "Biodegradation aspects of Polycyclic Aromatic Hydrocarbons (PAHs): A review", "type" : "article-journal", "volume" : "169" }, "uris" : [ "http://www.mendeley.com/documents/?uuid=cb453e81-8f83-3a26-b533-014de2217afb" ] } ], "mendeley" : { "formattedCitation" : "(Hartnik &lt;i&gt;et al.&lt;/i&gt;, 2007; Haritash and Kaushik, 2009)", "plainTextFormattedCitation" : "(Hartnik et al., 2007; Haritash and Kaushik, 2009)", "previouslyFormattedCitation" : "(Hartnik &lt;i&gt;et al.&lt;/i&gt;, 2007; Haritash and Kaushik, 2009)" }, "properties" : { "noteIndex" : 0 }, "schema" : "https://github.com/citation-style-language/schema/raw/master/csl-citation.json" }</w:instrText>
            </w:r>
            <w:r>
              <w:rPr>
                <w:sz w:val="18"/>
                <w:szCs w:val="18"/>
              </w:rPr>
              <w:fldChar w:fldCharType="separate"/>
            </w:r>
            <w:r w:rsidRPr="007D1857">
              <w:rPr>
                <w:noProof/>
                <w:sz w:val="18"/>
                <w:szCs w:val="18"/>
              </w:rPr>
              <w:t xml:space="preserve">(Hartnik </w:t>
            </w:r>
            <w:r w:rsidRPr="007D1857">
              <w:rPr>
                <w:i/>
                <w:noProof/>
                <w:sz w:val="18"/>
                <w:szCs w:val="18"/>
              </w:rPr>
              <w:t>et al.</w:t>
            </w:r>
            <w:r w:rsidRPr="007D1857">
              <w:rPr>
                <w:noProof/>
                <w:sz w:val="18"/>
                <w:szCs w:val="18"/>
              </w:rPr>
              <w:t>, 2007; Haritash and Kaushik, 2009)</w:t>
            </w:r>
            <w:r>
              <w:rPr>
                <w:sz w:val="18"/>
                <w:szCs w:val="18"/>
              </w:rPr>
              <w:fldChar w:fldCharType="end"/>
            </w:r>
            <w:r>
              <w:rPr>
                <w:sz w:val="18"/>
                <w:szCs w:val="18"/>
              </w:rPr>
              <w:t xml:space="preserve"> </w:t>
            </w:r>
          </w:p>
        </w:tc>
        <w:tc>
          <w:tcPr>
            <w:tcW w:w="2215" w:type="dxa"/>
            <w:shd w:val="clear" w:color="auto" w:fill="FFF2CC" w:themeFill="accent4" w:themeFillTint="33"/>
          </w:tcPr>
          <w:p w14:paraId="5F16977B" w14:textId="77777777" w:rsidR="0061480A" w:rsidRDefault="0061480A" w:rsidP="0061480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Inhibition of luminescence in </w:t>
            </w:r>
            <w:r w:rsidRPr="001076A1">
              <w:rPr>
                <w:i/>
                <w:sz w:val="18"/>
                <w:szCs w:val="18"/>
              </w:rPr>
              <w:t xml:space="preserve">V. </w:t>
            </w:r>
            <w:proofErr w:type="spellStart"/>
            <w:r w:rsidRPr="001076A1">
              <w:rPr>
                <w:i/>
                <w:sz w:val="18"/>
                <w:szCs w:val="18"/>
              </w:rPr>
              <w:t>fischeri</w:t>
            </w:r>
            <w:proofErr w:type="spellEnd"/>
            <w:r>
              <w:rPr>
                <w:sz w:val="18"/>
                <w:szCs w:val="18"/>
              </w:rPr>
              <w:t xml:space="preserve"> in 15 minutes</w:t>
            </w:r>
          </w:p>
          <w:p w14:paraId="0F1C49AC" w14:textId="47C2449B" w:rsidR="0061480A" w:rsidRDefault="0061480A" w:rsidP="0061480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Many aquatic bacteria are known to degrade benzene</w:t>
            </w:r>
          </w:p>
        </w:tc>
        <w:tc>
          <w:tcPr>
            <w:tcW w:w="1634" w:type="dxa"/>
            <w:shd w:val="clear" w:color="auto" w:fill="FFF2CC" w:themeFill="accent4" w:themeFillTint="33"/>
          </w:tcPr>
          <w:p w14:paraId="4B4309F9" w14:textId="1E5E300A" w:rsidR="0061480A" w:rsidRDefault="0061480A" w:rsidP="0061480A">
            <w:pPr>
              <w:cnfStyle w:val="000000000000" w:firstRow="0" w:lastRow="0" w:firstColumn="0" w:lastColumn="0" w:oddVBand="0" w:evenVBand="0" w:oddHBand="0" w:evenHBand="0" w:firstRowFirstColumn="0" w:firstRowLastColumn="0" w:lastRowFirstColumn="0" w:lastRowLastColumn="0"/>
              <w:rPr>
                <w:sz w:val="18"/>
              </w:rPr>
            </w:pPr>
            <w:r>
              <w:rPr>
                <w:sz w:val="18"/>
              </w:rPr>
              <w:t xml:space="preserve">EC50 </w:t>
            </w:r>
            <w:r w:rsidRPr="00DB6AFF">
              <w:rPr>
                <w:sz w:val="18"/>
              </w:rPr>
              <w:t>102.78</w:t>
            </w:r>
            <w:r>
              <w:rPr>
                <w:sz w:val="18"/>
              </w:rPr>
              <w:t xml:space="preserve"> mg.l</w:t>
            </w:r>
            <w:r w:rsidRPr="00DB6AFF">
              <w:rPr>
                <w:sz w:val="18"/>
                <w:vertAlign w:val="superscript"/>
              </w:rPr>
              <w:t>-1</w:t>
            </w:r>
          </w:p>
        </w:tc>
        <w:tc>
          <w:tcPr>
            <w:tcW w:w="1243" w:type="dxa"/>
            <w:shd w:val="clear" w:color="auto" w:fill="FFF2CC" w:themeFill="accent4" w:themeFillTint="33"/>
          </w:tcPr>
          <w:p w14:paraId="65E28207" w14:textId="04304D42" w:rsidR="0061480A" w:rsidRDefault="0061480A" w:rsidP="0061480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DMSO</w:t>
            </w:r>
          </w:p>
        </w:tc>
        <w:tc>
          <w:tcPr>
            <w:tcW w:w="2763" w:type="dxa"/>
            <w:shd w:val="clear" w:color="auto" w:fill="FFF2CC" w:themeFill="accent4" w:themeFillTint="33"/>
          </w:tcPr>
          <w:p w14:paraId="07FCCB46" w14:textId="707F72A0" w:rsidR="0061480A" w:rsidRPr="00B1020E" w:rsidRDefault="00C83700" w:rsidP="0061480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 ug.l</w:t>
            </w:r>
            <w:r w:rsidRPr="00C83700">
              <w:rPr>
                <w:sz w:val="18"/>
                <w:szCs w:val="18"/>
                <w:vertAlign w:val="superscript"/>
              </w:rPr>
              <w:t>-1</w:t>
            </w:r>
            <w:r w:rsidR="00B1020E">
              <w:rPr>
                <w:sz w:val="18"/>
                <w:szCs w:val="18"/>
              </w:rPr>
              <w:t xml:space="preserve"> (tap water)</w:t>
            </w:r>
          </w:p>
          <w:p w14:paraId="3DA327F3" w14:textId="77777777" w:rsidR="0061480A" w:rsidRDefault="0061480A" w:rsidP="0061480A">
            <w:pPr>
              <w:cnfStyle w:val="000000000000" w:firstRow="0" w:lastRow="0" w:firstColumn="0" w:lastColumn="0" w:oddVBand="0" w:evenVBand="0" w:oddHBand="0" w:evenHBand="0" w:firstRowFirstColumn="0" w:firstRowLastColumn="0" w:lastRowFirstColumn="0" w:lastRowLastColumn="0"/>
              <w:rPr>
                <w:sz w:val="18"/>
                <w:szCs w:val="18"/>
              </w:rPr>
            </w:pPr>
          </w:p>
        </w:tc>
      </w:tr>
    </w:tbl>
    <w:p w14:paraId="7AC762F7" w14:textId="10226487" w:rsidR="001916E1" w:rsidRDefault="001916E1"/>
    <w:sectPr w:rsidR="001916E1" w:rsidSect="00C63326">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913"/>
    <w:rsid w:val="0000308B"/>
    <w:rsid w:val="00011BB1"/>
    <w:rsid w:val="0001644A"/>
    <w:rsid w:val="00032577"/>
    <w:rsid w:val="000402F9"/>
    <w:rsid w:val="00042C30"/>
    <w:rsid w:val="0004463E"/>
    <w:rsid w:val="000552E5"/>
    <w:rsid w:val="00081477"/>
    <w:rsid w:val="000820B9"/>
    <w:rsid w:val="00083B7B"/>
    <w:rsid w:val="000A6982"/>
    <w:rsid w:val="000A7B72"/>
    <w:rsid w:val="000B03BA"/>
    <w:rsid w:val="000B7518"/>
    <w:rsid w:val="000B75C7"/>
    <w:rsid w:val="000C4873"/>
    <w:rsid w:val="000D0172"/>
    <w:rsid w:val="000D03BC"/>
    <w:rsid w:val="000D5565"/>
    <w:rsid w:val="000D67FE"/>
    <w:rsid w:val="000E4A86"/>
    <w:rsid w:val="000E5CF0"/>
    <w:rsid w:val="000F44F0"/>
    <w:rsid w:val="0010465C"/>
    <w:rsid w:val="00104F33"/>
    <w:rsid w:val="001076A1"/>
    <w:rsid w:val="00114CA8"/>
    <w:rsid w:val="001170F6"/>
    <w:rsid w:val="0012215C"/>
    <w:rsid w:val="00122B45"/>
    <w:rsid w:val="0012501D"/>
    <w:rsid w:val="00127648"/>
    <w:rsid w:val="001360BB"/>
    <w:rsid w:val="001408F6"/>
    <w:rsid w:val="001409C2"/>
    <w:rsid w:val="0015272F"/>
    <w:rsid w:val="0017381B"/>
    <w:rsid w:val="0017772D"/>
    <w:rsid w:val="001801D9"/>
    <w:rsid w:val="001916E1"/>
    <w:rsid w:val="001B0675"/>
    <w:rsid w:val="001B4032"/>
    <w:rsid w:val="001B4A5D"/>
    <w:rsid w:val="001C7035"/>
    <w:rsid w:val="001E7E68"/>
    <w:rsid w:val="00204DD5"/>
    <w:rsid w:val="00234990"/>
    <w:rsid w:val="00246A6F"/>
    <w:rsid w:val="00251337"/>
    <w:rsid w:val="0025734E"/>
    <w:rsid w:val="00262A75"/>
    <w:rsid w:val="00263EB5"/>
    <w:rsid w:val="00265641"/>
    <w:rsid w:val="002777FC"/>
    <w:rsid w:val="00281713"/>
    <w:rsid w:val="002C6AB5"/>
    <w:rsid w:val="002D3B7E"/>
    <w:rsid w:val="00317194"/>
    <w:rsid w:val="003179D7"/>
    <w:rsid w:val="0032265D"/>
    <w:rsid w:val="003249C8"/>
    <w:rsid w:val="00331AE2"/>
    <w:rsid w:val="003417B9"/>
    <w:rsid w:val="003507EF"/>
    <w:rsid w:val="00353F98"/>
    <w:rsid w:val="003662EC"/>
    <w:rsid w:val="0037585A"/>
    <w:rsid w:val="00387987"/>
    <w:rsid w:val="003923AF"/>
    <w:rsid w:val="003A7406"/>
    <w:rsid w:val="003A7E82"/>
    <w:rsid w:val="003B07A1"/>
    <w:rsid w:val="003B3C0F"/>
    <w:rsid w:val="003C3E64"/>
    <w:rsid w:val="003C7FC1"/>
    <w:rsid w:val="003E6C62"/>
    <w:rsid w:val="003F4176"/>
    <w:rsid w:val="00410B02"/>
    <w:rsid w:val="00412353"/>
    <w:rsid w:val="00412F3A"/>
    <w:rsid w:val="0042618B"/>
    <w:rsid w:val="00436334"/>
    <w:rsid w:val="00443204"/>
    <w:rsid w:val="00447101"/>
    <w:rsid w:val="004634E3"/>
    <w:rsid w:val="00483606"/>
    <w:rsid w:val="00484255"/>
    <w:rsid w:val="004A0EDF"/>
    <w:rsid w:val="004A30FC"/>
    <w:rsid w:val="004A62AF"/>
    <w:rsid w:val="004B5980"/>
    <w:rsid w:val="004C409E"/>
    <w:rsid w:val="004D632C"/>
    <w:rsid w:val="004E1786"/>
    <w:rsid w:val="004E3735"/>
    <w:rsid w:val="004E74DB"/>
    <w:rsid w:val="005114EC"/>
    <w:rsid w:val="00546B24"/>
    <w:rsid w:val="00551CA0"/>
    <w:rsid w:val="00556A7F"/>
    <w:rsid w:val="0057181B"/>
    <w:rsid w:val="00597EE2"/>
    <w:rsid w:val="005A4B07"/>
    <w:rsid w:val="005D2F0E"/>
    <w:rsid w:val="005F1E11"/>
    <w:rsid w:val="00607063"/>
    <w:rsid w:val="0061081C"/>
    <w:rsid w:val="00610F4D"/>
    <w:rsid w:val="00612F99"/>
    <w:rsid w:val="006141BB"/>
    <w:rsid w:val="0061480A"/>
    <w:rsid w:val="006365A4"/>
    <w:rsid w:val="00636C9C"/>
    <w:rsid w:val="00656171"/>
    <w:rsid w:val="006567C0"/>
    <w:rsid w:val="00656955"/>
    <w:rsid w:val="0066270A"/>
    <w:rsid w:val="006640BF"/>
    <w:rsid w:val="0066692B"/>
    <w:rsid w:val="0068144B"/>
    <w:rsid w:val="00682913"/>
    <w:rsid w:val="006869E1"/>
    <w:rsid w:val="00697725"/>
    <w:rsid w:val="006A0205"/>
    <w:rsid w:val="006B267C"/>
    <w:rsid w:val="006B2C3A"/>
    <w:rsid w:val="006F3175"/>
    <w:rsid w:val="0070143E"/>
    <w:rsid w:val="00730636"/>
    <w:rsid w:val="007365FF"/>
    <w:rsid w:val="00740454"/>
    <w:rsid w:val="00744FC4"/>
    <w:rsid w:val="007524ED"/>
    <w:rsid w:val="007642D9"/>
    <w:rsid w:val="007759B2"/>
    <w:rsid w:val="007859C7"/>
    <w:rsid w:val="007861EA"/>
    <w:rsid w:val="00792ED3"/>
    <w:rsid w:val="00796C61"/>
    <w:rsid w:val="007A41C0"/>
    <w:rsid w:val="007D1857"/>
    <w:rsid w:val="007D2F58"/>
    <w:rsid w:val="007E0D87"/>
    <w:rsid w:val="007E27E5"/>
    <w:rsid w:val="00803936"/>
    <w:rsid w:val="008078C4"/>
    <w:rsid w:val="00820A61"/>
    <w:rsid w:val="00826348"/>
    <w:rsid w:val="00830426"/>
    <w:rsid w:val="008308C9"/>
    <w:rsid w:val="008368AF"/>
    <w:rsid w:val="0085378E"/>
    <w:rsid w:val="00862030"/>
    <w:rsid w:val="008639EE"/>
    <w:rsid w:val="00863A0C"/>
    <w:rsid w:val="008739D8"/>
    <w:rsid w:val="0088404E"/>
    <w:rsid w:val="00884159"/>
    <w:rsid w:val="00893706"/>
    <w:rsid w:val="0089737B"/>
    <w:rsid w:val="008B7B37"/>
    <w:rsid w:val="008C32F2"/>
    <w:rsid w:val="008C692C"/>
    <w:rsid w:val="008C6F96"/>
    <w:rsid w:val="008D0EAA"/>
    <w:rsid w:val="008E657E"/>
    <w:rsid w:val="008F4E3F"/>
    <w:rsid w:val="00902572"/>
    <w:rsid w:val="00912A59"/>
    <w:rsid w:val="00913873"/>
    <w:rsid w:val="00923281"/>
    <w:rsid w:val="0093508C"/>
    <w:rsid w:val="00960623"/>
    <w:rsid w:val="0098153F"/>
    <w:rsid w:val="0098566A"/>
    <w:rsid w:val="00990F70"/>
    <w:rsid w:val="00993B87"/>
    <w:rsid w:val="009F574E"/>
    <w:rsid w:val="009F585C"/>
    <w:rsid w:val="00A02A26"/>
    <w:rsid w:val="00A16FB1"/>
    <w:rsid w:val="00A24ED8"/>
    <w:rsid w:val="00A3251D"/>
    <w:rsid w:val="00A403DD"/>
    <w:rsid w:val="00A46D6B"/>
    <w:rsid w:val="00A617D9"/>
    <w:rsid w:val="00A8371B"/>
    <w:rsid w:val="00A8714C"/>
    <w:rsid w:val="00A90D48"/>
    <w:rsid w:val="00A91B7C"/>
    <w:rsid w:val="00A97DC4"/>
    <w:rsid w:val="00AA2D51"/>
    <w:rsid w:val="00AA411E"/>
    <w:rsid w:val="00AB6146"/>
    <w:rsid w:val="00AC2837"/>
    <w:rsid w:val="00AE00BF"/>
    <w:rsid w:val="00AE268D"/>
    <w:rsid w:val="00AF2DCE"/>
    <w:rsid w:val="00AF5864"/>
    <w:rsid w:val="00AF7143"/>
    <w:rsid w:val="00AF7915"/>
    <w:rsid w:val="00B1020E"/>
    <w:rsid w:val="00B14AAC"/>
    <w:rsid w:val="00B36B4D"/>
    <w:rsid w:val="00B56868"/>
    <w:rsid w:val="00B56DD1"/>
    <w:rsid w:val="00BA4812"/>
    <w:rsid w:val="00BA6E83"/>
    <w:rsid w:val="00BB5579"/>
    <w:rsid w:val="00BC1A0E"/>
    <w:rsid w:val="00BC3020"/>
    <w:rsid w:val="00BC639A"/>
    <w:rsid w:val="00C03BA1"/>
    <w:rsid w:val="00C46368"/>
    <w:rsid w:val="00C50484"/>
    <w:rsid w:val="00C60637"/>
    <w:rsid w:val="00C63326"/>
    <w:rsid w:val="00C64BB1"/>
    <w:rsid w:val="00C72D33"/>
    <w:rsid w:val="00C76767"/>
    <w:rsid w:val="00C83700"/>
    <w:rsid w:val="00C84067"/>
    <w:rsid w:val="00C878E1"/>
    <w:rsid w:val="00C903F0"/>
    <w:rsid w:val="00C95CA7"/>
    <w:rsid w:val="00C97AD1"/>
    <w:rsid w:val="00CA151E"/>
    <w:rsid w:val="00CA3310"/>
    <w:rsid w:val="00CC0DF5"/>
    <w:rsid w:val="00CD43F8"/>
    <w:rsid w:val="00CE1771"/>
    <w:rsid w:val="00CE5537"/>
    <w:rsid w:val="00CE6208"/>
    <w:rsid w:val="00CF33FF"/>
    <w:rsid w:val="00CF69BC"/>
    <w:rsid w:val="00D001D4"/>
    <w:rsid w:val="00D02544"/>
    <w:rsid w:val="00D240DB"/>
    <w:rsid w:val="00D26269"/>
    <w:rsid w:val="00D33180"/>
    <w:rsid w:val="00D343E1"/>
    <w:rsid w:val="00D43AEB"/>
    <w:rsid w:val="00D6127C"/>
    <w:rsid w:val="00D70C50"/>
    <w:rsid w:val="00D745B7"/>
    <w:rsid w:val="00D95C6D"/>
    <w:rsid w:val="00DA6762"/>
    <w:rsid w:val="00DA7035"/>
    <w:rsid w:val="00DB1B6C"/>
    <w:rsid w:val="00DB31DA"/>
    <w:rsid w:val="00DB481A"/>
    <w:rsid w:val="00DB6AFF"/>
    <w:rsid w:val="00DD542C"/>
    <w:rsid w:val="00E0712D"/>
    <w:rsid w:val="00E14415"/>
    <w:rsid w:val="00E149BD"/>
    <w:rsid w:val="00E15ECF"/>
    <w:rsid w:val="00E3314C"/>
    <w:rsid w:val="00E34473"/>
    <w:rsid w:val="00E44C83"/>
    <w:rsid w:val="00E46194"/>
    <w:rsid w:val="00E53B17"/>
    <w:rsid w:val="00E64588"/>
    <w:rsid w:val="00E901B5"/>
    <w:rsid w:val="00E97F60"/>
    <w:rsid w:val="00EA2D3E"/>
    <w:rsid w:val="00EA728E"/>
    <w:rsid w:val="00ED24BB"/>
    <w:rsid w:val="00EE36F9"/>
    <w:rsid w:val="00EF0F60"/>
    <w:rsid w:val="00EF4548"/>
    <w:rsid w:val="00F073C9"/>
    <w:rsid w:val="00F27800"/>
    <w:rsid w:val="00F3066B"/>
    <w:rsid w:val="00F3068C"/>
    <w:rsid w:val="00F37475"/>
    <w:rsid w:val="00F41098"/>
    <w:rsid w:val="00F45DCD"/>
    <w:rsid w:val="00F675C4"/>
    <w:rsid w:val="00F85620"/>
    <w:rsid w:val="00FA09F7"/>
    <w:rsid w:val="00FA7E6E"/>
    <w:rsid w:val="00FC51C2"/>
    <w:rsid w:val="00FD1ECE"/>
    <w:rsid w:val="00FE0425"/>
    <w:rsid w:val="00FF64D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8ECDE"/>
  <w15:chartTrackingRefBased/>
  <w15:docId w15:val="{074D592A-7454-4E21-B8B6-362638E76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29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8291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F45D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7918272">
      <w:bodyDiv w:val="1"/>
      <w:marLeft w:val="0"/>
      <w:marRight w:val="0"/>
      <w:marTop w:val="0"/>
      <w:marBottom w:val="0"/>
      <w:divBdr>
        <w:top w:val="none" w:sz="0" w:space="0" w:color="auto"/>
        <w:left w:val="none" w:sz="0" w:space="0" w:color="auto"/>
        <w:bottom w:val="none" w:sz="0" w:space="0" w:color="auto"/>
        <w:right w:val="none" w:sz="0" w:space="0" w:color="auto"/>
      </w:divBdr>
    </w:div>
    <w:div w:id="1570268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4FE016-DEDF-46CC-82F7-4504A8D2F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Pages>
  <Words>5273</Words>
  <Characters>28214</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Welch</dc:creator>
  <cp:keywords/>
  <dc:description/>
  <cp:lastModifiedBy>Sam Welch</cp:lastModifiedBy>
  <cp:revision>11</cp:revision>
  <dcterms:created xsi:type="dcterms:W3CDTF">2018-05-06T14:39:00Z</dcterms:created>
  <dcterms:modified xsi:type="dcterms:W3CDTF">2018-05-07T15:43:00Z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98e312dc-5aa8-3b38-82af-9866120b6f2b</vt:lpwstr>
  </property>
  <property fmtid="{D5CDD505-2E9C-101B-9397-08002B2CF9AE}" pid="24" name="Mendeley Citation Style_1">
    <vt:lpwstr>http://www.zotero.org/styles/harvard-cite-them-right</vt:lpwstr>
  </property>
</Properties>
</file>