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pPr w:leftFromText="180" w:rightFromText="180" w:vertAnchor="page" w:horzAnchor="margin" w:tblpXSpec="center" w:tblpY="736"/>
        <w:tblW w:w="15077" w:type="dxa"/>
        <w:tblLook w:val="04A0" w:firstRow="1" w:lastRow="0" w:firstColumn="1" w:lastColumn="0" w:noHBand="0" w:noVBand="1"/>
      </w:tblPr>
      <w:tblGrid>
        <w:gridCol w:w="1978"/>
        <w:gridCol w:w="1758"/>
        <w:gridCol w:w="1538"/>
        <w:gridCol w:w="1851"/>
        <w:gridCol w:w="2167"/>
        <w:gridCol w:w="1612"/>
        <w:gridCol w:w="1479"/>
        <w:gridCol w:w="2694"/>
      </w:tblGrid>
      <w:tr w:rsidR="00D677B2" w14:paraId="654F0031" w14:textId="77777777" w:rsidTr="0042618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94" w:type="dxa"/>
            <w:shd w:val="clear" w:color="auto" w:fill="A6A6A6" w:themeFill="background1" w:themeFillShade="A6"/>
          </w:tcPr>
          <w:p w14:paraId="2C933DF7" w14:textId="77777777" w:rsidR="00697725" w:rsidRDefault="00697725" w:rsidP="00697725">
            <w:r>
              <w:t>Stressor</w:t>
            </w:r>
          </w:p>
        </w:tc>
        <w:tc>
          <w:tcPr>
            <w:tcW w:w="1784" w:type="dxa"/>
            <w:shd w:val="clear" w:color="auto" w:fill="A6A6A6" w:themeFill="background1" w:themeFillShade="A6"/>
          </w:tcPr>
          <w:p w14:paraId="27BCF3FD"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Relevance</w:t>
            </w:r>
          </w:p>
        </w:tc>
        <w:tc>
          <w:tcPr>
            <w:tcW w:w="1554" w:type="dxa"/>
            <w:shd w:val="clear" w:color="auto" w:fill="A6A6A6" w:themeFill="background1" w:themeFillShade="A6"/>
          </w:tcPr>
          <w:p w14:paraId="16E900C9"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Mechanism</w:t>
            </w:r>
          </w:p>
        </w:tc>
        <w:tc>
          <w:tcPr>
            <w:tcW w:w="1890" w:type="dxa"/>
            <w:shd w:val="clear" w:color="auto" w:fill="A6A6A6" w:themeFill="background1" w:themeFillShade="A6"/>
          </w:tcPr>
          <w:p w14:paraId="03CFEAA0"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Literature</w:t>
            </w:r>
          </w:p>
        </w:tc>
        <w:tc>
          <w:tcPr>
            <w:tcW w:w="2215" w:type="dxa"/>
            <w:shd w:val="clear" w:color="auto" w:fill="A6A6A6" w:themeFill="background1" w:themeFillShade="A6"/>
          </w:tcPr>
          <w:p w14:paraId="5A68BA2A"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Findings</w:t>
            </w:r>
          </w:p>
        </w:tc>
        <w:tc>
          <w:tcPr>
            <w:tcW w:w="1634" w:type="dxa"/>
            <w:shd w:val="clear" w:color="auto" w:fill="A6A6A6" w:themeFill="background1" w:themeFillShade="A6"/>
          </w:tcPr>
          <w:p w14:paraId="7EBAC661"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Study Conc. </w:t>
            </w:r>
          </w:p>
        </w:tc>
        <w:tc>
          <w:tcPr>
            <w:tcW w:w="1243" w:type="dxa"/>
            <w:shd w:val="clear" w:color="auto" w:fill="A6A6A6" w:themeFill="background1" w:themeFillShade="A6"/>
          </w:tcPr>
          <w:p w14:paraId="5E59715F" w14:textId="0EE9478F"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Solvent </w:t>
            </w:r>
          </w:p>
        </w:tc>
        <w:tc>
          <w:tcPr>
            <w:tcW w:w="2763" w:type="dxa"/>
            <w:shd w:val="clear" w:color="auto" w:fill="A6A6A6" w:themeFill="background1" w:themeFillShade="A6"/>
          </w:tcPr>
          <w:p w14:paraId="285F265A" w14:textId="25CB9E64" w:rsidR="00697725" w:rsidRPr="00E36DBD" w:rsidRDefault="004D2937" w:rsidP="00697725">
            <w:pPr>
              <w:cnfStyle w:val="100000000000" w:firstRow="1" w:lastRow="0" w:firstColumn="0" w:lastColumn="0" w:oddVBand="0" w:evenVBand="0" w:oddHBand="0" w:evenHBand="0" w:firstRowFirstColumn="0" w:firstRowLastColumn="0" w:lastRowFirstColumn="0" w:lastRowLastColumn="0"/>
              <w:rPr>
                <w:sz w:val="21"/>
                <w:szCs w:val="21"/>
              </w:rPr>
            </w:pPr>
            <w:r w:rsidRPr="00E36DBD">
              <w:rPr>
                <w:sz w:val="21"/>
                <w:szCs w:val="21"/>
              </w:rPr>
              <w:t>Concentration, UKSHS 2007</w:t>
            </w:r>
          </w:p>
        </w:tc>
      </w:tr>
      <w:tr w:rsidR="0061480A" w14:paraId="00891587" w14:textId="77777777" w:rsidTr="003417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DEEAF6" w:themeFill="accent5" w:themeFillTint="33"/>
          </w:tcPr>
          <w:p w14:paraId="5CE2B6BB" w14:textId="542B4E05" w:rsidR="0061480A" w:rsidRDefault="0061480A" w:rsidP="00697725">
            <w:pPr>
              <w:rPr>
                <w:sz w:val="18"/>
                <w:szCs w:val="18"/>
              </w:rPr>
            </w:pPr>
            <w:r>
              <w:t>Antibiotics</w:t>
            </w:r>
          </w:p>
        </w:tc>
      </w:tr>
      <w:tr w:rsidR="00D677B2" w14:paraId="15E9093C" w14:textId="77777777" w:rsidTr="0042618B">
        <w:trPr>
          <w:trHeight w:val="285"/>
        </w:trPr>
        <w:tc>
          <w:tcPr>
            <w:cnfStyle w:val="001000000000" w:firstRow="0" w:lastRow="0" w:firstColumn="1" w:lastColumn="0" w:oddVBand="0" w:evenVBand="0" w:oddHBand="0" w:evenHBand="0" w:firstRowFirstColumn="0" w:firstRowLastColumn="0" w:lastRowFirstColumn="0" w:lastRowLastColumn="0"/>
            <w:tcW w:w="1994" w:type="dxa"/>
            <w:shd w:val="clear" w:color="auto" w:fill="DEEAF6" w:themeFill="accent5" w:themeFillTint="33"/>
          </w:tcPr>
          <w:p w14:paraId="76A437DC" w14:textId="679E21FB" w:rsidR="00697725" w:rsidRPr="003417B9" w:rsidRDefault="00C50484" w:rsidP="00697725">
            <w:pPr>
              <w:rPr>
                <w:b w:val="0"/>
              </w:rPr>
            </w:pPr>
            <w:bookmarkStart w:id="0" w:name="_GoBack"/>
            <w:r w:rsidRPr="003417B9">
              <w:rPr>
                <w:b w:val="0"/>
              </w:rPr>
              <w:t>Chloramphenicol</w:t>
            </w:r>
            <w:bookmarkEnd w:id="0"/>
          </w:p>
        </w:tc>
        <w:tc>
          <w:tcPr>
            <w:tcW w:w="1784" w:type="dxa"/>
            <w:shd w:val="clear" w:color="auto" w:fill="DEEAF6" w:themeFill="accent5" w:themeFillTint="33"/>
          </w:tcPr>
          <w:p w14:paraId="14FFE797" w14:textId="6E36418A"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and long-used antibiotic (bacteriostatic)</w:t>
            </w:r>
          </w:p>
        </w:tc>
        <w:tc>
          <w:tcPr>
            <w:tcW w:w="1554" w:type="dxa"/>
            <w:shd w:val="clear" w:color="auto" w:fill="DEEAF6" w:themeFill="accent5" w:themeFillTint="33"/>
          </w:tcPr>
          <w:p w14:paraId="3864384A" w14:textId="2BFC5365"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Inhibits protein chain elongation via peptidyl transferase</w:t>
            </w:r>
          </w:p>
        </w:tc>
        <w:tc>
          <w:tcPr>
            <w:tcW w:w="1890" w:type="dxa"/>
            <w:shd w:val="clear" w:color="auto" w:fill="DEEAF6" w:themeFill="accent5" w:themeFillTint="33"/>
          </w:tcPr>
          <w:p w14:paraId="77D03DB4" w14:textId="46C2816A"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"10.1016/S0045-6535(98)00560-8", "ISSN" : "0045-6535", "abstract" : "Despite their common use the fate and effects of antibiotics in the environment are largely unknown. These compounds may enter the environment through different pathways, resulting in the contamination of waste water or fresh water, where bacteria are most likely the primarily affected organisms. In this paper the toxicity of several drugs, reflecting the most important groups of antibiotics and chemotherapeutics, towards Vibrio fischeri are presented. The chronic bioluminescence inhibition assay with Vibrio fischeri is shown to be sensitive against many of the high volume antibiotics used for veterinary purposes and in aquaculture. Thus the assay may be a valuable tool for an effects assessment and biomonitoring of these xenobiotics. The available data for both parts of the risk assessment procedure \u2014 exposure assessment and effects assessment \u2014 have to be regarded as insufficient for most antibiotics. When the available data about environmental concentrations of antibiotics are compared with their toxicity towards Vibrio fischeri, direct effects on natural microbial communities are to be expected.", "author" : [ { "dropping-particle" : "", "family" : "Backhaus", "given" : "T.", "non-dropping-particle" : "", "parse-names" : false, "suffix" : "" }, { "dropping-particle" : "", "family" : "Grimme", "given" : "L.H.", "non-dropping-particle" : "", "parse-names" : false, "suffix" : "" } ], "container-title" : "Chemosphere", "id" : "ITEM-1", "issue" : "14", "issued" : { "date-parts" : [ [ "1999", "6", "1" ] ] }, "page" : "3291-3301", "publisher" : "Pergamon", "title" : "The toxicity of antibiotic agents to the luminescent bacterium Vibrio fischeri", "type" : "article-journal", "volume" : "38" }, "uris" : [ "http://www.mendeley.com/documents/?uuid=8096c6bc-6756-37a2-a65b-b8550b405abe" ] }, { "id" : "ITEM-2", "itemData" : { "DOI" : "10.1016/J.CHEMOSPHERE.2008.11.086", "ISSN" : "0045-6535", "abstract" : "Although antibiotics have been used in large quantities for some decades, until recently the existence of these substances in the environment has received little notice. It is only in recent years that a more complex investigation of antibiotic substances has been undertaken in order to permit an assessment of the environmental risks they may pose. Within the last decade an increasing number of studies covering antibiotic input, occurrence, fate and effects have been published, but there is still a lack of understanding and knowledge about antibiotics in the aquatic environment despite the numerous studies performed. This review addresses the present state of knowledge concerning the input, occurrence, fate and effects of antibiotics in the environment. It brings up important questions that are still open, and addresses some significant issues which must be tackled in the future for a better understanding of the behavior of antibiotics in the environment, as well as the risks associated with their occurrence. Questions related to resistance in the environment that may be caused by antibiotics will be addressed in the second part.", "author" : [ { "dropping-particle" : "", "family" : "K\u00fcmmerer", "given" : "Klaus", "non-dropping-particle" : "", "parse-names" : false, "suffix" : "" } ], "container-title" : "Chemosphere", "id" : "ITEM-2", "issue" : "4", "issued" : { "date-parts" : [ [ "2009", "4", "1" ] ] }, "page" : "417-434", "publisher" : "Pergamon", "title" : "Antibiotics in the aquatic environment \u2013 A review \u2013 Part I", "type" : "article-journal", "volume" : "75" }, "uris" : [ "http://www.mendeley.com/documents/?uuid=b06c2a86-462f-3969-be7d-4a1ae8677648" ] } ], "mendeley" : { "formattedCitation" : "(Backhaus and Grimme, 1999; K\u00fcmmerer, 2009)", "plainTextFormattedCitation" : "(Backhaus and Grimme, 1999; K\u00fcmmerer, 2009)", "previouslyFormattedCitation" : "(Backhaus and Grimme, 1999; K\u00fcmmerer, 2009)" }, "properties" : { "noteIndex" : 0 }, "schema" : "https://github.com/citation-style-language/schema/raw/master/csl-citation.json" }</w:instrText>
            </w:r>
            <w:r>
              <w:rPr>
                <w:sz w:val="18"/>
                <w:szCs w:val="18"/>
              </w:rPr>
              <w:fldChar w:fldCharType="separate"/>
            </w:r>
            <w:r w:rsidRPr="00C50484">
              <w:rPr>
                <w:noProof/>
                <w:sz w:val="18"/>
                <w:szCs w:val="18"/>
              </w:rPr>
              <w:t>(Backhaus and Grimme, 1999; Kümmerer, 2009)</w:t>
            </w:r>
            <w:r>
              <w:rPr>
                <w:sz w:val="18"/>
                <w:szCs w:val="18"/>
              </w:rPr>
              <w:fldChar w:fldCharType="end"/>
            </w:r>
          </w:p>
        </w:tc>
        <w:tc>
          <w:tcPr>
            <w:tcW w:w="2215" w:type="dxa"/>
            <w:shd w:val="clear" w:color="auto" w:fill="DEEAF6" w:themeFill="accent5" w:themeFillTint="33"/>
          </w:tcPr>
          <w:p w14:paraId="0ADC25E5" w14:textId="5FA531DB" w:rsidR="00697725" w:rsidRPr="003249C8" w:rsidRDefault="003249C8"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Toxic to </w:t>
            </w:r>
            <w:r w:rsidRPr="003249C8">
              <w:rPr>
                <w:i/>
                <w:sz w:val="18"/>
                <w:szCs w:val="18"/>
              </w:rPr>
              <w:t xml:space="preserve">V. </w:t>
            </w:r>
            <w:proofErr w:type="spellStart"/>
            <w:r w:rsidRPr="003249C8">
              <w:rPr>
                <w:i/>
                <w:sz w:val="18"/>
                <w:szCs w:val="18"/>
              </w:rPr>
              <w:t>fischeri</w:t>
            </w:r>
            <w:proofErr w:type="spellEnd"/>
            <w:r>
              <w:rPr>
                <w:sz w:val="18"/>
                <w:szCs w:val="18"/>
              </w:rPr>
              <w:t xml:space="preserve"> over chronic (24h) exposures</w:t>
            </w:r>
          </w:p>
        </w:tc>
        <w:tc>
          <w:tcPr>
            <w:tcW w:w="1634" w:type="dxa"/>
            <w:shd w:val="clear" w:color="auto" w:fill="DEEAF6" w:themeFill="accent5" w:themeFillTint="33"/>
          </w:tcPr>
          <w:p w14:paraId="30EA18E3" w14:textId="77777777" w:rsidR="00697725" w:rsidRDefault="00D02544" w:rsidP="00697725">
            <w:pPr>
              <w:cnfStyle w:val="000000000000" w:firstRow="0" w:lastRow="0" w:firstColumn="0" w:lastColumn="0" w:oddVBand="0" w:evenVBand="0" w:oddHBand="0" w:evenHBand="0" w:firstRowFirstColumn="0" w:firstRowLastColumn="0" w:lastRowFirstColumn="0" w:lastRowLastColumn="0"/>
              <w:rPr>
                <w:sz w:val="18"/>
                <w:szCs w:val="18"/>
                <w:vertAlign w:val="subscript"/>
              </w:rPr>
            </w:pPr>
            <w:r>
              <w:rPr>
                <w:sz w:val="18"/>
                <w:szCs w:val="18"/>
              </w:rPr>
              <w:t>EC90 – 0.129 mg.l</w:t>
            </w:r>
            <w:r w:rsidRPr="00551CA0">
              <w:rPr>
                <w:sz w:val="18"/>
                <w:szCs w:val="18"/>
                <w:vertAlign w:val="superscript"/>
              </w:rPr>
              <w:t>-1</w:t>
            </w:r>
          </w:p>
          <w:p w14:paraId="33E20C47" w14:textId="73A61A65" w:rsidR="00D02544" w:rsidRDefault="00D02544" w:rsidP="00697725">
            <w:pPr>
              <w:cnfStyle w:val="000000000000" w:firstRow="0" w:lastRow="0" w:firstColumn="0" w:lastColumn="0" w:oddVBand="0" w:evenVBand="0" w:oddHBand="0" w:evenHBand="0" w:firstRowFirstColumn="0" w:firstRowLastColumn="0" w:lastRowFirstColumn="0" w:lastRowLastColumn="0"/>
              <w:rPr>
                <w:sz w:val="18"/>
                <w:szCs w:val="18"/>
                <w:vertAlign w:val="subscript"/>
              </w:rPr>
            </w:pPr>
            <w:r>
              <w:rPr>
                <w:sz w:val="18"/>
                <w:szCs w:val="18"/>
              </w:rPr>
              <w:t>EC50 – 0.064 mg.l</w:t>
            </w:r>
            <w:r w:rsidRPr="00551CA0">
              <w:rPr>
                <w:sz w:val="18"/>
                <w:szCs w:val="18"/>
                <w:vertAlign w:val="superscript"/>
              </w:rPr>
              <w:t>-1</w:t>
            </w:r>
          </w:p>
          <w:p w14:paraId="3AA66D47" w14:textId="77297B26" w:rsidR="00D02544" w:rsidRPr="008639EE" w:rsidRDefault="00D0254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EC90 – 0.019 mg.l</w:t>
            </w:r>
            <w:r w:rsidRPr="00551CA0">
              <w:rPr>
                <w:sz w:val="18"/>
                <w:szCs w:val="18"/>
                <w:vertAlign w:val="superscript"/>
              </w:rPr>
              <w:t>-1</w:t>
            </w:r>
          </w:p>
        </w:tc>
        <w:tc>
          <w:tcPr>
            <w:tcW w:w="1243" w:type="dxa"/>
            <w:shd w:val="clear" w:color="auto" w:fill="DEEAF6" w:themeFill="accent5" w:themeFillTint="33"/>
          </w:tcPr>
          <w:p w14:paraId="1DBB0148" w14:textId="1D2C9C3B" w:rsidR="00697725" w:rsidRPr="00723D99" w:rsidRDefault="00723D99"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Resistance = </w:t>
            </w:r>
            <w:r>
              <w:t xml:space="preserve"> </w:t>
            </w:r>
            <w:r w:rsidRPr="00723D99">
              <w:rPr>
                <w:sz w:val="18"/>
                <w:szCs w:val="18"/>
              </w:rPr>
              <w:t>specific inactivating chloramphenicol acetyltransferase</w:t>
            </w:r>
          </w:p>
        </w:tc>
        <w:tc>
          <w:tcPr>
            <w:tcW w:w="2763" w:type="dxa"/>
            <w:shd w:val="clear" w:color="auto" w:fill="DEEAF6" w:themeFill="accent5" w:themeFillTint="33"/>
          </w:tcPr>
          <w:p w14:paraId="2A2CDB62" w14:textId="538A12EB" w:rsidR="00697725" w:rsidRPr="008639EE" w:rsidRDefault="00551CA0"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Up to </w:t>
            </w:r>
            <w:r w:rsidRPr="00E44C83">
              <w:rPr>
                <w:b/>
                <w:sz w:val="18"/>
                <w:szCs w:val="18"/>
              </w:rPr>
              <w:t>60 ng.l</w:t>
            </w:r>
            <w:r w:rsidRPr="00E44C83">
              <w:rPr>
                <w:b/>
                <w:sz w:val="18"/>
                <w:szCs w:val="18"/>
                <w:vertAlign w:val="superscript"/>
              </w:rPr>
              <w:t>-1</w:t>
            </w:r>
            <w:r>
              <w:rPr>
                <w:sz w:val="18"/>
                <w:szCs w:val="18"/>
              </w:rPr>
              <w:t xml:space="preserve"> in surface water</w:t>
            </w:r>
          </w:p>
        </w:tc>
      </w:tr>
      <w:tr w:rsidR="00D677B2" w14:paraId="2AB173C4" w14:textId="77777777" w:rsidTr="004261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94" w:type="dxa"/>
            <w:shd w:val="clear" w:color="auto" w:fill="DEEAF6" w:themeFill="accent5" w:themeFillTint="33"/>
          </w:tcPr>
          <w:p w14:paraId="78D4B5A1" w14:textId="2DF5E195" w:rsidR="00BA4812" w:rsidRPr="003417B9" w:rsidRDefault="00BA4812" w:rsidP="00BA4812">
            <w:pPr>
              <w:rPr>
                <w:b w:val="0"/>
              </w:rPr>
            </w:pPr>
            <w:r w:rsidRPr="003417B9">
              <w:rPr>
                <w:b w:val="0"/>
              </w:rPr>
              <w:t>Amoxycillin</w:t>
            </w:r>
          </w:p>
        </w:tc>
        <w:tc>
          <w:tcPr>
            <w:tcW w:w="1784" w:type="dxa"/>
            <w:shd w:val="clear" w:color="auto" w:fill="DEEAF6" w:themeFill="accent5" w:themeFillTint="33"/>
          </w:tcPr>
          <w:p w14:paraId="1348C8AB" w14:textId="4CDBE7AC"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antibiotic</w:t>
            </w:r>
          </w:p>
        </w:tc>
        <w:tc>
          <w:tcPr>
            <w:tcW w:w="1554" w:type="dxa"/>
            <w:shd w:val="clear" w:color="auto" w:fill="DEEAF6" w:themeFill="accent5" w:themeFillTint="33"/>
          </w:tcPr>
          <w:p w14:paraId="6A47003D" w14:textId="2B538375"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Beta-lactam inhibition?</w:t>
            </w:r>
          </w:p>
        </w:tc>
        <w:tc>
          <w:tcPr>
            <w:tcW w:w="1890" w:type="dxa"/>
            <w:shd w:val="clear" w:color="auto" w:fill="DEEAF6" w:themeFill="accent5" w:themeFillTint="33"/>
          </w:tcPr>
          <w:p w14:paraId="40E1263C" w14:textId="44819C71"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"10.1016/j.marpolbul.2004.10.038", "ISBN" : "0025-326X", "ISSN" : "0025326X", "PMID" : "15757723", "abstract" : "Awareness of antibiotics in wastewaters and aquatic ecosystems is growing as investigations into alternate pollutants increase and analytical techniques for detecting these chemicals improve. The presence of three antibiotics (ciprofloxacin, norfloxacin and cephalexin) was evaluated in both sewage effluent and environmental waters downstream from a sewage discharge. Bacteria cultured from the sewage bioreactor and receiving waters were tested for resistance against six antibiotics (ciprofloxacin, tetracycline, ampicillin, trimethoprim, erythromycin and trimethoprim/sulphamethoxazole) and effects of short term exposure (24 h) to antibiotics on bacterial denitrification rates were examined. Antibiotics were detected entering the sewage treatment plant with varying levels of removal during the treatment process. Antibiotics were also detected in effluent entering receiving waters and detectable 500 m from the source. Among the bacteria cultured from the sewage bioreactor, resistance was displayed against all six antibiotics tested and bacteria cultured from receiving waters were resistant against two of the antibiotics tested. Rates of denitrification were observed to decrease in response to some antibiotics and not to others, though this was only observed at concentrations exceeding those likely to be found in the environment. Findings from this preliminary research have indicated that antibiotics are entering our aquatic systems and pose a potential threat to ecosystem function and potentially human health. \u00a9 2004 Elsevier Ltd. All rights reserved.", "author" : [ { "dropping-particle" : "", "family" : "Costanzo", "given" : "Simon D.", "non-dropping-particle" : "", "parse-names" : false, "suffix" : "" }, { "dropping-particle" : "", "family" : "Murby", "given" : "John", "non-dropping-particle" : "", "parse-names" : false, "suffix" : "" }, { "dropping-particle" : "", "family" : "Bates", "given" : "John", "non-dropping-particle" : "", "parse-names" : false, "suffix" : "" } ], "container-title" : "Marine Pollution Bulletin", "id" : "ITEM-1", "issue" : "1-4", "issued" : { "date-parts" : [ [ "2005", "1", "1" ] ] }, "page" : "218-223", "publisher" : "Pergamon", "title" : "Ecosystem response to antibiotics entering the aquatic environment", "type" : "paper-conference", "volume" : "51" }, "uris" : [ "http://www.mendeley.com/documents/?uuid=7ba76c62-75db-3a70-89c8-154bbb41ceb9" ] } ], "mendeley" : { "formattedCitation" : "(Costanzo, Murby and Bates, 2005)", "plainTextFormattedCitation" : "(Costanzo, Murby and Bates, 2005)", "previouslyFormattedCitation" : "(Costanzo, Murby and Bates, 2005)" }, "properties" : { "noteIndex" : 0 }, "schema" : "https://github.com/citation-style-language/schema/raw/master/csl-citation.json" }</w:instrText>
            </w:r>
            <w:r>
              <w:rPr>
                <w:sz w:val="18"/>
                <w:szCs w:val="18"/>
              </w:rPr>
              <w:fldChar w:fldCharType="separate"/>
            </w:r>
            <w:r w:rsidRPr="00B14AAC">
              <w:rPr>
                <w:noProof/>
                <w:sz w:val="18"/>
                <w:szCs w:val="18"/>
              </w:rPr>
              <w:t>(Costanzo, Murby and Bates, 2005)</w:t>
            </w:r>
            <w:r>
              <w:rPr>
                <w:sz w:val="18"/>
                <w:szCs w:val="18"/>
              </w:rPr>
              <w:fldChar w:fldCharType="end"/>
            </w:r>
          </w:p>
        </w:tc>
        <w:tc>
          <w:tcPr>
            <w:tcW w:w="2215" w:type="dxa"/>
            <w:shd w:val="clear" w:color="auto" w:fill="DEEAF6" w:themeFill="accent5" w:themeFillTint="33"/>
          </w:tcPr>
          <w:p w14:paraId="1884B23A" w14:textId="5F54C985"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evidence of resistance in sewerage or stream bacteria</w:t>
            </w:r>
          </w:p>
        </w:tc>
        <w:tc>
          <w:tcPr>
            <w:tcW w:w="1634" w:type="dxa"/>
            <w:shd w:val="clear" w:color="auto" w:fill="DEEAF6" w:themeFill="accent5" w:themeFillTint="33"/>
          </w:tcPr>
          <w:p w14:paraId="35B61A29" w14:textId="52C3E6EE"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Significant drop in mean denitrification rates (33%) by bacteria @ 1mg.l</w:t>
            </w:r>
            <w:r w:rsidRPr="00C64BB1">
              <w:rPr>
                <w:sz w:val="18"/>
                <w:szCs w:val="18"/>
                <w:vertAlign w:val="superscript"/>
              </w:rPr>
              <w:t>-1</w:t>
            </w:r>
          </w:p>
        </w:tc>
        <w:tc>
          <w:tcPr>
            <w:tcW w:w="1243" w:type="dxa"/>
            <w:shd w:val="clear" w:color="auto" w:fill="DEEAF6" w:themeFill="accent5" w:themeFillTint="33"/>
          </w:tcPr>
          <w:p w14:paraId="26166E7D" w14:textId="1B6F5413" w:rsidR="00BA4812" w:rsidRDefault="00723D99"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Resistance generally =  </w:t>
            </w:r>
            <w:r w:rsidRPr="00723D99">
              <w:rPr>
                <w:sz w:val="18"/>
                <w:szCs w:val="18"/>
              </w:rPr>
              <w:t>Beta-Lactamase production</w:t>
            </w:r>
            <w:r>
              <w:rPr>
                <w:sz w:val="18"/>
                <w:szCs w:val="18"/>
              </w:rPr>
              <w:t>, sometimes efflux</w:t>
            </w:r>
          </w:p>
        </w:tc>
        <w:tc>
          <w:tcPr>
            <w:tcW w:w="2763" w:type="dxa"/>
            <w:shd w:val="clear" w:color="auto" w:fill="DEEAF6" w:themeFill="accent5" w:themeFillTint="33"/>
          </w:tcPr>
          <w:p w14:paraId="459971D9" w14:textId="51660EC6" w:rsidR="00BA4812" w:rsidRDefault="00E44C83"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 testing/evaluation of new pharmaceuticals is required if predicted environmental concentration will be </w:t>
            </w:r>
            <w:r w:rsidRPr="00E44C83">
              <w:rPr>
                <w:b/>
                <w:sz w:val="18"/>
                <w:szCs w:val="18"/>
              </w:rPr>
              <w:t>&lt;0.01 µg.l</w:t>
            </w:r>
            <w:r w:rsidRPr="00E44C83">
              <w:rPr>
                <w:b/>
                <w:sz w:val="18"/>
                <w:szCs w:val="18"/>
                <w:vertAlign w:val="superscript"/>
              </w:rPr>
              <w:t>-1</w:t>
            </w:r>
          </w:p>
        </w:tc>
      </w:tr>
      <w:tr w:rsidR="0061480A" w14:paraId="0AD8B917" w14:textId="77777777" w:rsidTr="003417B9">
        <w:trPr>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FBE4D5" w:themeFill="accent2" w:themeFillTint="33"/>
          </w:tcPr>
          <w:p w14:paraId="499C4390" w14:textId="15BD1345" w:rsidR="0061480A" w:rsidRDefault="0061480A" w:rsidP="00E3314C">
            <w:pPr>
              <w:rPr>
                <w:sz w:val="18"/>
                <w:szCs w:val="18"/>
              </w:rPr>
            </w:pPr>
            <w:r>
              <w:t>Pesticides</w:t>
            </w:r>
          </w:p>
        </w:tc>
      </w:tr>
      <w:tr w:rsidR="00D677B2" w14:paraId="22303916" w14:textId="77777777" w:rsidTr="004261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94" w:type="dxa"/>
            <w:shd w:val="clear" w:color="auto" w:fill="FBE4D5" w:themeFill="accent2" w:themeFillTint="33"/>
          </w:tcPr>
          <w:p w14:paraId="4BB0BAFB" w14:textId="3A8E45A6" w:rsidR="00E3314C" w:rsidRPr="003417B9" w:rsidRDefault="00467A49" w:rsidP="00E3314C">
            <w:pPr>
              <w:rPr>
                <w:b w:val="0"/>
              </w:rPr>
            </w:pPr>
            <w:r w:rsidRPr="00467A49">
              <w:rPr>
                <w:b w:val="0"/>
              </w:rPr>
              <w:t xml:space="preserve">Tebuconazole </w:t>
            </w:r>
            <w:r w:rsidR="00C83700">
              <w:rPr>
                <w:b w:val="0"/>
              </w:rPr>
              <w:t>(Triaz</w:t>
            </w:r>
            <w:r>
              <w:rPr>
                <w:b w:val="0"/>
              </w:rPr>
              <w:t>ol</w:t>
            </w:r>
            <w:r w:rsidR="002C2E9F">
              <w:rPr>
                <w:b w:val="0"/>
              </w:rPr>
              <w:t>e</w:t>
            </w:r>
            <w:r w:rsidR="00C83700">
              <w:rPr>
                <w:b w:val="0"/>
              </w:rPr>
              <w:t>)</w:t>
            </w:r>
          </w:p>
        </w:tc>
        <w:tc>
          <w:tcPr>
            <w:tcW w:w="1784" w:type="dxa"/>
            <w:shd w:val="clear" w:color="auto" w:fill="FBE4D5" w:themeFill="accent2" w:themeFillTint="33"/>
          </w:tcPr>
          <w:p w14:paraId="56021948" w14:textId="3738D000" w:rsidR="00E3314C" w:rsidRPr="008639EE" w:rsidRDefault="00467A49"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Reasonably commonly used fungicide – but not heavily researched</w:t>
            </w:r>
          </w:p>
        </w:tc>
        <w:tc>
          <w:tcPr>
            <w:tcW w:w="1554" w:type="dxa"/>
            <w:shd w:val="clear" w:color="auto" w:fill="FBE4D5" w:themeFill="accent2" w:themeFillTint="33"/>
          </w:tcPr>
          <w:p w14:paraId="2990C0CA" w14:textId="691ADDB1" w:rsidR="00E3314C" w:rsidRDefault="002C2E9F"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Disrupts sterol production &amp; thus fungal sporulation</w:t>
            </w:r>
          </w:p>
        </w:tc>
        <w:tc>
          <w:tcPr>
            <w:tcW w:w="1890" w:type="dxa"/>
            <w:shd w:val="clear" w:color="auto" w:fill="FBE4D5" w:themeFill="accent2" w:themeFillTint="33"/>
          </w:tcPr>
          <w:p w14:paraId="3140D2DC" w14:textId="7F12D1F5" w:rsidR="00E3314C" w:rsidRPr="008639EE"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p>
        </w:tc>
        <w:tc>
          <w:tcPr>
            <w:tcW w:w="2215" w:type="dxa"/>
            <w:shd w:val="clear" w:color="auto" w:fill="FBE4D5" w:themeFill="accent2" w:themeFillTint="33"/>
          </w:tcPr>
          <w:p w14:paraId="1EE614B8" w14:textId="2582677E" w:rsidR="00E3314C" w:rsidRPr="008639EE" w:rsidRDefault="002C2E9F"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effect on bacteria shown…</w:t>
            </w:r>
          </w:p>
        </w:tc>
        <w:tc>
          <w:tcPr>
            <w:tcW w:w="1634" w:type="dxa"/>
            <w:shd w:val="clear" w:color="auto" w:fill="FBE4D5" w:themeFill="accent2" w:themeFillTint="33"/>
          </w:tcPr>
          <w:p w14:paraId="7BB5A5AA" w14:textId="52AABF34" w:rsidR="00E3314C" w:rsidRPr="008639EE" w:rsidRDefault="004D2937"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HC5 - </w:t>
            </w:r>
            <w:r w:rsidRPr="004D2937">
              <w:rPr>
                <w:sz w:val="18"/>
                <w:szCs w:val="18"/>
              </w:rPr>
              <w:t xml:space="preserve">238 </w:t>
            </w:r>
            <w:r>
              <w:rPr>
                <w:sz w:val="18"/>
                <w:szCs w:val="18"/>
              </w:rPr>
              <w:t>u</w:t>
            </w:r>
            <w:r w:rsidRPr="004D2937">
              <w:rPr>
                <w:sz w:val="18"/>
                <w:szCs w:val="18"/>
              </w:rPr>
              <w:t>g/L</w:t>
            </w:r>
          </w:p>
        </w:tc>
        <w:tc>
          <w:tcPr>
            <w:tcW w:w="1243" w:type="dxa"/>
            <w:shd w:val="clear" w:color="auto" w:fill="FBE4D5" w:themeFill="accent2" w:themeFillTint="33"/>
          </w:tcPr>
          <w:p w14:paraId="02A16E43" w14:textId="5EFF009E" w:rsidR="00E3314C" w:rsidRPr="008639EE"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Synthetic freshwater</w:t>
            </w:r>
          </w:p>
        </w:tc>
        <w:tc>
          <w:tcPr>
            <w:tcW w:w="2763" w:type="dxa"/>
            <w:shd w:val="clear" w:color="auto" w:fill="FBE4D5" w:themeFill="accent2" w:themeFillTint="33"/>
          </w:tcPr>
          <w:p w14:paraId="060FAB6D" w14:textId="52FC30D1" w:rsidR="00E3314C" w:rsidRPr="00C46368" w:rsidRDefault="00FE1780" w:rsidP="00E3447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Unknown. Apparently tends to drop below detectable concentrations within 30 days of application</w:t>
            </w:r>
          </w:p>
        </w:tc>
      </w:tr>
      <w:tr w:rsidR="00D677B2" w14:paraId="53C4F959" w14:textId="77777777" w:rsidTr="0042618B">
        <w:trPr>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FBE4D5" w:themeFill="accent2" w:themeFillTint="33"/>
          </w:tcPr>
          <w:p w14:paraId="01CB79F8" w14:textId="706424B6" w:rsidR="00E3314C" w:rsidRPr="003417B9" w:rsidRDefault="00E3314C" w:rsidP="00E3314C">
            <w:pPr>
              <w:rPr>
                <w:b w:val="0"/>
              </w:rPr>
            </w:pPr>
            <w:proofErr w:type="spellStart"/>
            <w:r w:rsidRPr="003417B9">
              <w:rPr>
                <w:b w:val="0"/>
              </w:rPr>
              <w:t>Metaldehyde</w:t>
            </w:r>
            <w:proofErr w:type="spellEnd"/>
          </w:p>
        </w:tc>
        <w:tc>
          <w:tcPr>
            <w:tcW w:w="1784" w:type="dxa"/>
            <w:shd w:val="clear" w:color="auto" w:fill="FBE4D5" w:themeFill="accent2" w:themeFillTint="33"/>
          </w:tcPr>
          <w:p w14:paraId="7612CC0C" w14:textId="4CE141AB"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Most common molluscicide, main cause of PCVs in UK</w:t>
            </w:r>
          </w:p>
        </w:tc>
        <w:tc>
          <w:tcPr>
            <w:tcW w:w="1554" w:type="dxa"/>
            <w:shd w:val="clear" w:color="auto" w:fill="FBE4D5" w:themeFill="accent2" w:themeFillTint="33"/>
          </w:tcPr>
          <w:p w14:paraId="4A2AE7F7" w14:textId="78A11828"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Inhibits metabolism/ damages CNS in molluscs, humans</w:t>
            </w:r>
          </w:p>
        </w:tc>
        <w:tc>
          <w:tcPr>
            <w:tcW w:w="1890" w:type="dxa"/>
            <w:shd w:val="clear" w:color="auto" w:fill="FBE4D5" w:themeFill="accent2" w:themeFillTint="33"/>
          </w:tcPr>
          <w:p w14:paraId="5728AAF8" w14:textId="59CE0A42"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"10.1111/1751-7915.12719", "ISSN" : "17517915",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 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"noteIndex" : 0 }, "schema" : "https://github.com/citation-style-language/schema/raw/master/csl-citation.json" }</w:instrText>
            </w:r>
            <w:r>
              <w:rPr>
                <w:sz w:val="18"/>
                <w:szCs w:val="18"/>
              </w:rPr>
              <w:fldChar w:fldCharType="separate"/>
            </w:r>
            <w:r w:rsidRPr="005D2F0E">
              <w:rPr>
                <w:noProof/>
                <w:sz w:val="18"/>
                <w:szCs w:val="18"/>
              </w:rPr>
              <w:t xml:space="preserve">(Thomas </w:t>
            </w:r>
            <w:r w:rsidRPr="005D2F0E">
              <w:rPr>
                <w:i/>
                <w:noProof/>
                <w:sz w:val="18"/>
                <w:szCs w:val="18"/>
              </w:rPr>
              <w:t>et al.</w:t>
            </w:r>
            <w:r w:rsidRPr="005D2F0E">
              <w:rPr>
                <w:noProof/>
                <w:sz w:val="18"/>
                <w:szCs w:val="18"/>
              </w:rPr>
              <w:t>, 2017)</w:t>
            </w:r>
            <w:r>
              <w:rPr>
                <w:sz w:val="18"/>
                <w:szCs w:val="18"/>
              </w:rPr>
              <w:fldChar w:fldCharType="end"/>
            </w:r>
          </w:p>
          <w:p w14:paraId="6B11C605" w14:textId="4E33D06C"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only paper on bacteria and metaldehyde out there!</w:t>
            </w:r>
          </w:p>
        </w:tc>
        <w:tc>
          <w:tcPr>
            <w:tcW w:w="2215" w:type="dxa"/>
            <w:shd w:val="clear" w:color="auto" w:fill="FBE4D5" w:themeFill="accent2" w:themeFillTint="33"/>
          </w:tcPr>
          <w:p w14:paraId="34CFA164"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Metaldehyde is not normally broken down by water processing or aquatic bacteria</w:t>
            </w:r>
          </w:p>
          <w:p w14:paraId="23E69F1C" w14:textId="1C6F5139"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But Acinetobacter E1 (soil) can use it as a food source!</w:t>
            </w:r>
          </w:p>
        </w:tc>
        <w:tc>
          <w:tcPr>
            <w:tcW w:w="1634" w:type="dxa"/>
            <w:shd w:val="clear" w:color="auto" w:fill="FBE4D5" w:themeFill="accent2" w:themeFillTint="33"/>
          </w:tcPr>
          <w:p w14:paraId="758BADA7"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0-1000 </w:t>
            </w:r>
            <w:proofErr w:type="spellStart"/>
            <w:r>
              <w:rPr>
                <w:sz w:val="18"/>
              </w:rPr>
              <w:t>μM</w:t>
            </w:r>
            <w:proofErr w:type="spellEnd"/>
          </w:p>
          <w:p w14:paraId="6172C139" w14:textId="0A91D77B"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that it’s directly comparable)</w:t>
            </w:r>
          </w:p>
        </w:tc>
        <w:tc>
          <w:tcPr>
            <w:tcW w:w="1243" w:type="dxa"/>
            <w:shd w:val="clear" w:color="auto" w:fill="FBE4D5" w:themeFill="accent2" w:themeFillTint="33"/>
          </w:tcPr>
          <w:p w14:paraId="33C0B0CD"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Mineral medium</w:t>
            </w:r>
          </w:p>
          <w:p w14:paraId="51F70CBF" w14:textId="77777777" w:rsidR="005579A2" w:rsidRDefault="005579A2"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Water sol:</w:t>
            </w:r>
          </w:p>
          <w:p w14:paraId="0A6B8F90" w14:textId="5BDF7628" w:rsidR="005579A2" w:rsidRDefault="005579A2" w:rsidP="00E3314C">
            <w:pPr>
              <w:cnfStyle w:val="000000000000" w:firstRow="0" w:lastRow="0" w:firstColumn="0" w:lastColumn="0" w:oddVBand="0" w:evenVBand="0" w:oddHBand="0" w:evenHBand="0" w:firstRowFirstColumn="0" w:firstRowLastColumn="0" w:lastRowFirstColumn="0" w:lastRowLastColumn="0"/>
              <w:rPr>
                <w:sz w:val="18"/>
                <w:szCs w:val="18"/>
              </w:rPr>
            </w:pPr>
            <w:r w:rsidRPr="005579A2">
              <w:rPr>
                <w:sz w:val="18"/>
                <w:szCs w:val="18"/>
              </w:rPr>
              <w:t>0.188 g</w:t>
            </w:r>
            <w:r>
              <w:rPr>
                <w:sz w:val="18"/>
                <w:szCs w:val="18"/>
              </w:rPr>
              <w:t>/</w:t>
            </w:r>
            <w:r w:rsidRPr="005579A2">
              <w:rPr>
                <w:sz w:val="18"/>
                <w:szCs w:val="18"/>
              </w:rPr>
              <w:t>L</w:t>
            </w:r>
            <w:r>
              <w:rPr>
                <w:sz w:val="18"/>
                <w:szCs w:val="18"/>
              </w:rPr>
              <w:t xml:space="preserve"> @</w:t>
            </w:r>
            <w:r w:rsidRPr="005579A2">
              <w:rPr>
                <w:sz w:val="18"/>
                <w:szCs w:val="18"/>
              </w:rPr>
              <w:t xml:space="preserve"> 20 °C</w:t>
            </w:r>
          </w:p>
        </w:tc>
        <w:tc>
          <w:tcPr>
            <w:tcW w:w="2763" w:type="dxa"/>
            <w:shd w:val="clear" w:color="auto" w:fill="FBE4D5" w:themeFill="accent2" w:themeFillTint="33"/>
          </w:tcPr>
          <w:p w14:paraId="543D9455" w14:textId="77777777" w:rsidR="00E3314C" w:rsidRDefault="000130F3"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soil data.</w:t>
            </w:r>
          </w:p>
          <w:p w14:paraId="2FECA0EC" w14:textId="77777777" w:rsidR="000130F3" w:rsidRDefault="000130F3" w:rsidP="00E3314C">
            <w:pPr>
              <w:cnfStyle w:val="000000000000" w:firstRow="0" w:lastRow="0" w:firstColumn="0" w:lastColumn="0" w:oddVBand="0" w:evenVBand="0" w:oddHBand="0" w:evenHBand="0" w:firstRowFirstColumn="0" w:firstRowLastColumn="0" w:lastRowFirstColumn="0" w:lastRowLastColumn="0"/>
              <w:rPr>
                <w:sz w:val="18"/>
                <w:szCs w:val="18"/>
              </w:rPr>
            </w:pPr>
            <w:r w:rsidRPr="000130F3">
              <w:rPr>
                <w:sz w:val="18"/>
                <w:szCs w:val="18"/>
              </w:rPr>
              <w:t xml:space="preserve">8.0 </w:t>
            </w:r>
            <w:proofErr w:type="spellStart"/>
            <w:r w:rsidRPr="000130F3">
              <w:rPr>
                <w:sz w:val="18"/>
                <w:szCs w:val="18"/>
              </w:rPr>
              <w:t>μg</w:t>
            </w:r>
            <w:proofErr w:type="spellEnd"/>
            <w:r>
              <w:rPr>
                <w:sz w:val="18"/>
                <w:szCs w:val="18"/>
              </w:rPr>
              <w:t>/L (max water, 2012)</w:t>
            </w:r>
          </w:p>
          <w:p w14:paraId="5B6F3159" w14:textId="1A846BDC" w:rsidR="000130F3" w:rsidRDefault="000130F3"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r w:rsidRPr="000130F3">
              <w:rPr>
                <w:sz w:val="18"/>
                <w:szCs w:val="18"/>
              </w:rPr>
              <w:t xml:space="preserve"> </w:t>
            </w:r>
            <w:proofErr w:type="spellStart"/>
            <w:r w:rsidRPr="000130F3">
              <w:rPr>
                <w:sz w:val="18"/>
                <w:szCs w:val="18"/>
              </w:rPr>
              <w:t>μg</w:t>
            </w:r>
            <w:proofErr w:type="spellEnd"/>
            <w:r>
              <w:rPr>
                <w:sz w:val="18"/>
                <w:szCs w:val="18"/>
              </w:rPr>
              <w:t>/</w:t>
            </w:r>
            <w:r w:rsidRPr="000130F3">
              <w:rPr>
                <w:sz w:val="18"/>
                <w:szCs w:val="18"/>
              </w:rPr>
              <w:t>L</w:t>
            </w:r>
            <w:r>
              <w:rPr>
                <w:sz w:val="18"/>
                <w:szCs w:val="18"/>
              </w:rPr>
              <w:t xml:space="preserve"> (water legal limit)</w:t>
            </w:r>
          </w:p>
        </w:tc>
      </w:tr>
      <w:tr w:rsidR="0061480A" w14:paraId="4E9345E6" w14:textId="77777777" w:rsidTr="003417B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D0CECE" w:themeFill="background2" w:themeFillShade="E6"/>
          </w:tcPr>
          <w:p w14:paraId="528EE27A" w14:textId="3C6C3D6D" w:rsidR="0061480A" w:rsidRDefault="0061480A" w:rsidP="00E3314C">
            <w:pPr>
              <w:rPr>
                <w:sz w:val="18"/>
                <w:szCs w:val="18"/>
              </w:rPr>
            </w:pPr>
            <w:r>
              <w:t>Heavy Metals</w:t>
            </w:r>
          </w:p>
        </w:tc>
      </w:tr>
      <w:tr w:rsidR="00D677B2" w14:paraId="36677B06" w14:textId="77777777" w:rsidTr="0042618B">
        <w:trPr>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D0CECE" w:themeFill="background2" w:themeFillShade="E6"/>
          </w:tcPr>
          <w:p w14:paraId="12C428FA" w14:textId="23BFC8F6" w:rsidR="0061480A" w:rsidRPr="003417B9" w:rsidRDefault="0061480A" w:rsidP="0061480A">
            <w:pPr>
              <w:rPr>
                <w:b w:val="0"/>
              </w:rPr>
            </w:pPr>
            <w:r w:rsidRPr="003417B9">
              <w:rPr>
                <w:b w:val="0"/>
              </w:rPr>
              <w:t>Copper</w:t>
            </w:r>
          </w:p>
        </w:tc>
        <w:tc>
          <w:tcPr>
            <w:tcW w:w="1784" w:type="dxa"/>
            <w:shd w:val="clear" w:color="auto" w:fill="D0CECE" w:themeFill="background2" w:themeFillShade="E6"/>
          </w:tcPr>
          <w:p w14:paraId="0A64B9DE" w14:textId="3D53A862"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sidRPr="00353F98">
              <w:rPr>
                <w:sz w:val="18"/>
              </w:rPr>
              <w:t>Major anthropogenic pollutant, and essential nutrient</w:t>
            </w:r>
          </w:p>
        </w:tc>
        <w:tc>
          <w:tcPr>
            <w:tcW w:w="1554" w:type="dxa"/>
            <w:shd w:val="clear" w:color="auto" w:fill="D0CECE" w:themeFill="background2" w:themeFillShade="E6"/>
          </w:tcPr>
          <w:p w14:paraId="553B3238" w14:textId="4C568BC8"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sidRPr="00353F98">
              <w:rPr>
                <w:sz w:val="18"/>
              </w:rPr>
              <w:t>Oxidative stress</w:t>
            </w:r>
          </w:p>
        </w:tc>
        <w:tc>
          <w:tcPr>
            <w:tcW w:w="1890" w:type="dxa"/>
            <w:shd w:val="clear" w:color="auto" w:fill="D0CECE" w:themeFill="background2" w:themeFillShade="E6"/>
          </w:tcPr>
          <w:p w14:paraId="5B026D80" w14:textId="37D44119"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"ISSN" : "0375-6742",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13\u00a0t a\u22121 Fe, 4.3\u00a0t a\u22121 Mn, 4.2\u00a0t a\u22121 Cu, 3.6\u00a0t a\u22121 Zn and 1.4\u00a0t a\u22121 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"noteIndex" : 0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215" w:type="dxa"/>
            <w:shd w:val="clear" w:color="auto" w:fill="D0CECE" w:themeFill="background2" w:themeFillShade="E6"/>
          </w:tcPr>
          <w:p w14:paraId="072FBB91" w14:textId="4640823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34" w:type="dxa"/>
            <w:shd w:val="clear" w:color="auto" w:fill="D0CECE" w:themeFill="background2" w:themeFillShade="E6"/>
          </w:tcPr>
          <w:p w14:paraId="4D3B6B03" w14:textId="59641C85"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EC50 - </w:t>
            </w:r>
            <w:r w:rsidRPr="00A8714C">
              <w:rPr>
                <w:sz w:val="18"/>
              </w:rPr>
              <w:t xml:space="preserve">146.88 </w:t>
            </w:r>
            <w:r>
              <w:rPr>
                <w:sz w:val="18"/>
              </w:rPr>
              <w:t>ug.l</w:t>
            </w:r>
            <w:r w:rsidRPr="003A7406">
              <w:rPr>
                <w:sz w:val="18"/>
                <w:vertAlign w:val="superscript"/>
              </w:rPr>
              <w:t>-1</w:t>
            </w:r>
            <w:r>
              <w:rPr>
                <w:sz w:val="18"/>
              </w:rPr>
              <w:t>@ 30 minutes</w:t>
            </w:r>
          </w:p>
        </w:tc>
        <w:tc>
          <w:tcPr>
            <w:tcW w:w="1243" w:type="dxa"/>
            <w:shd w:val="clear" w:color="auto" w:fill="D0CECE" w:themeFill="background2" w:themeFillShade="E6"/>
          </w:tcPr>
          <w:p w14:paraId="7B853AE9" w14:textId="536F6BFB"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saline</w:t>
            </w:r>
          </w:p>
        </w:tc>
        <w:tc>
          <w:tcPr>
            <w:tcW w:w="2763" w:type="dxa"/>
            <w:shd w:val="clear" w:color="auto" w:fill="D0CECE" w:themeFill="background2" w:themeFillShade="E6"/>
          </w:tcPr>
          <w:p w14:paraId="6DCEB7B3" w14:textId="27B2A66D" w:rsidR="00E44C83" w:rsidRDefault="00E36DBD"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20.64 mg/kg mean</w:t>
            </w:r>
          </w:p>
          <w:p w14:paraId="41320145" w14:textId="674F8337" w:rsidR="00E36DBD" w:rsidRPr="00E44C83" w:rsidRDefault="00E36DBD"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96.70 mg/kg max</w:t>
            </w:r>
          </w:p>
        </w:tc>
      </w:tr>
      <w:tr w:rsidR="00D677B2" w14:paraId="1587D592" w14:textId="77777777" w:rsidTr="004261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D0CECE" w:themeFill="background2" w:themeFillShade="E6"/>
          </w:tcPr>
          <w:p w14:paraId="38C4BF71" w14:textId="64F2A349" w:rsidR="00E3314C" w:rsidRPr="003417B9" w:rsidRDefault="00137120" w:rsidP="00E3314C">
            <w:pPr>
              <w:rPr>
                <w:b w:val="0"/>
              </w:rPr>
            </w:pPr>
            <w:r>
              <w:rPr>
                <w:b w:val="0"/>
              </w:rPr>
              <w:t>Nickel</w:t>
            </w:r>
          </w:p>
        </w:tc>
        <w:tc>
          <w:tcPr>
            <w:tcW w:w="1784" w:type="dxa"/>
            <w:shd w:val="clear" w:color="auto" w:fill="D0CECE" w:themeFill="background2" w:themeFillShade="E6"/>
          </w:tcPr>
          <w:p w14:paraId="6EF123A5" w14:textId="29B0ED59"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Major anthropogenic pollutant</w:t>
            </w:r>
          </w:p>
        </w:tc>
        <w:tc>
          <w:tcPr>
            <w:tcW w:w="1554" w:type="dxa"/>
            <w:shd w:val="clear" w:color="auto" w:fill="D0CECE" w:themeFill="background2" w:themeFillShade="E6"/>
          </w:tcPr>
          <w:p w14:paraId="33F169BA" w14:textId="70CA5B74"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r w:rsidR="00D677B2">
              <w:rPr>
                <w:sz w:val="18"/>
                <w:szCs w:val="18"/>
              </w:rPr>
              <w:t xml:space="preserve"> (weak), enzyme disruption</w:t>
            </w:r>
          </w:p>
        </w:tc>
        <w:tc>
          <w:tcPr>
            <w:tcW w:w="1890" w:type="dxa"/>
            <w:shd w:val="clear" w:color="auto" w:fill="D0CECE" w:themeFill="background2" w:themeFillShade="E6"/>
          </w:tcPr>
          <w:p w14:paraId="4F71D6EA" w14:textId="5E654921" w:rsidR="00E3314C" w:rsidRDefault="00D677B2"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A33E32">
              <w:rPr>
                <w:sz w:val="18"/>
                <w:szCs w:val="18"/>
              </w:rPr>
              <w:instrText>ADDIN CSL_CITATION { "citationItems" : [ { "id" : "ITEM-1", "itemData" : { "DOI" : "10.1039/c1mt00063b", "ISBN" : "10.1039/C1MT00063B", "ISSN" : "1756-5901", "PMID" : "21799955", "abstract" : "Nickel has long been known to be an important human toxicant, including having the ability to form carcinomas, but until recently nickel was believed to be an issue only to microorganisms living in nickel-rich serpentine soils or areas contaminated by industrial pollution. This assumption was overturned by the discovery of a nickel defense system (RcnR/RcnA) found in microorganisms that live in a wide range of environmental niches, suggesting that nickel homeostasis is a general biological concern. To date, the mechanisms of nickel toxicity in microorganisms and higher eukaryotes are poorly understood. In this review, we summarize nickel homeostasis processes used by microorganisms and highlight in vivo and in vitro effects of exposure to elevated concentrations of nickel. On the basis of this evidence we propose four mechanisms of nickel toxicity: (1) nickel replaces the essential metal of metalloproteins, (2) nickel binds to catalytic residues of non-metalloenzymes; (3) nickel binds outside the catalytic site of an enzyme to inhibit allosterically and (4) nickel indirectly causes oxidative stress.", "author" : [ { "dropping-particle" : "", "family" : "Macomber", "given" : "Lee", "non-dropping-particle" : "", "parse-names" : false, "suffix" : "" }, { "dropping-particle" : "", "family" : "Hausinger", "given" : "Robert P", "non-dropping-particle" : "", "parse-names" : false, "suffix" : "" } ], "container-title" : "Metallomics", "id" : "ITEM-1", "issue" : "11", "issued" : { "date-parts" : [ [ "2011", "11" ] ] }, "page" : "1153", "publisher" : "NIH Public Access", "title" : "Mechanisms of nickel toxicity in microorganisms", "type" : "article-journal", "volume" : "3" }, "uris" : [ "http://www.mendeley.com/documents/?uuid=278743ac-c822-34e1-bc71-9f4921eaae89" ] } ], "mendeley" : { "formattedCitation" : "(Macomber and Hausinger, 2011)", "plainTextFormattedCitation" : "(Macomber and Hausinger, 2011)", "previouslyFormattedCitation" : "(Macomber and Hausinger, 2011)" }, "properties" : { "noteIndex" : 0 }, "schema" : "https://github.com/citation-style-language/schema/raw/master/csl-citation.json" }</w:instrText>
            </w:r>
            <w:r>
              <w:rPr>
                <w:sz w:val="18"/>
                <w:szCs w:val="18"/>
              </w:rPr>
              <w:fldChar w:fldCharType="separate"/>
            </w:r>
            <w:r w:rsidRPr="00D677B2">
              <w:rPr>
                <w:noProof/>
                <w:sz w:val="18"/>
                <w:szCs w:val="18"/>
              </w:rPr>
              <w:t>(Macomber and Hausinger, 2011)</w:t>
            </w:r>
            <w:r>
              <w:rPr>
                <w:sz w:val="18"/>
                <w:szCs w:val="18"/>
              </w:rPr>
              <w:fldChar w:fldCharType="end"/>
            </w:r>
          </w:p>
        </w:tc>
        <w:tc>
          <w:tcPr>
            <w:tcW w:w="2215" w:type="dxa"/>
            <w:shd w:val="clear" w:color="auto" w:fill="D0CECE" w:themeFill="background2" w:themeFillShade="E6"/>
          </w:tcPr>
          <w:p w14:paraId="5D4EC0BF" w14:textId="6F070D83" w:rsidR="00E3314C" w:rsidRDefault="00C903B6" w:rsidP="00E3314C">
            <w:pPr>
              <w:cnfStyle w:val="000000100000" w:firstRow="0" w:lastRow="0" w:firstColumn="0" w:lastColumn="0" w:oddVBand="0" w:evenVBand="0" w:oddHBand="1" w:evenHBand="0" w:firstRowFirstColumn="0" w:firstRowLastColumn="0" w:lastRowFirstColumn="0" w:lastRowLastColumn="0"/>
              <w:rPr>
                <w:sz w:val="18"/>
                <w:szCs w:val="18"/>
              </w:rPr>
            </w:pPr>
            <w:r w:rsidRPr="00C903B6">
              <w:rPr>
                <w:i/>
                <w:sz w:val="18"/>
                <w:szCs w:val="18"/>
              </w:rPr>
              <w:t xml:space="preserve">V. </w:t>
            </w:r>
            <w:proofErr w:type="spellStart"/>
            <w:r w:rsidRPr="00C903B6">
              <w:rPr>
                <w:i/>
                <w:sz w:val="18"/>
                <w:szCs w:val="18"/>
              </w:rPr>
              <w:t>fischeri</w:t>
            </w:r>
            <w:proofErr w:type="spellEnd"/>
            <w:r>
              <w:rPr>
                <w:sz w:val="18"/>
                <w:szCs w:val="18"/>
              </w:rPr>
              <w:t xml:space="preserve"> luminescence 30 minutes</w:t>
            </w:r>
          </w:p>
        </w:tc>
        <w:tc>
          <w:tcPr>
            <w:tcW w:w="1634" w:type="dxa"/>
            <w:shd w:val="clear" w:color="auto" w:fill="D0CECE" w:themeFill="background2" w:themeFillShade="E6"/>
          </w:tcPr>
          <w:p w14:paraId="31455540" w14:textId="1DF6FEF6" w:rsidR="00E3314C" w:rsidRDefault="00D677B2"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EC50 – 85 mg/l</w:t>
            </w:r>
          </w:p>
        </w:tc>
        <w:tc>
          <w:tcPr>
            <w:tcW w:w="1243" w:type="dxa"/>
            <w:shd w:val="clear" w:color="auto" w:fill="D0CECE" w:themeFill="background2" w:themeFillShade="E6"/>
          </w:tcPr>
          <w:p w14:paraId="4BE44760" w14:textId="7615D604" w:rsidR="00E3314C" w:rsidRDefault="00C903B6"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Water + 20% soil NI slurry</w:t>
            </w:r>
          </w:p>
        </w:tc>
        <w:tc>
          <w:tcPr>
            <w:tcW w:w="2763" w:type="dxa"/>
            <w:shd w:val="clear" w:color="auto" w:fill="D0CECE" w:themeFill="background2" w:themeFillShade="E6"/>
          </w:tcPr>
          <w:p w14:paraId="2ABD6B0E" w14:textId="7554FD4D" w:rsidR="00E3314C" w:rsidRDefault="00137120" w:rsidP="00137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21.1 </w:t>
            </w:r>
            <w:r>
              <w:rPr>
                <w:sz w:val="18"/>
                <w:szCs w:val="18"/>
              </w:rPr>
              <w:t>mg/kg mean</w:t>
            </w:r>
          </w:p>
          <w:p w14:paraId="0F930086" w14:textId="4F3D14D5" w:rsidR="00137120" w:rsidRPr="00E0712D" w:rsidRDefault="00137120"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216 </w:t>
            </w:r>
            <w:r>
              <w:rPr>
                <w:sz w:val="18"/>
                <w:szCs w:val="18"/>
              </w:rPr>
              <w:t>mg/kg max</w:t>
            </w:r>
          </w:p>
        </w:tc>
      </w:tr>
      <w:tr w:rsidR="0061480A" w14:paraId="15BE693D" w14:textId="77777777" w:rsidTr="003417B9">
        <w:trPr>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FFF2CC" w:themeFill="accent4" w:themeFillTint="33"/>
          </w:tcPr>
          <w:p w14:paraId="66563F11" w14:textId="66579364" w:rsidR="0061480A" w:rsidRPr="00353F98" w:rsidRDefault="00042C30" w:rsidP="00E3314C">
            <w:pPr>
              <w:rPr>
                <w:sz w:val="18"/>
                <w:szCs w:val="18"/>
              </w:rPr>
            </w:pPr>
            <w:r>
              <w:t>(Poly)a</w:t>
            </w:r>
            <w:r w:rsidR="0061480A">
              <w:t>romatic Hydrocarbons</w:t>
            </w:r>
            <w:r w:rsidR="00636C9C">
              <w:t xml:space="preserve"> </w:t>
            </w:r>
          </w:p>
        </w:tc>
      </w:tr>
      <w:tr w:rsidR="00D677B2" w14:paraId="77EC08F4" w14:textId="77777777" w:rsidTr="004261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FFF2CC" w:themeFill="accent4" w:themeFillTint="33"/>
          </w:tcPr>
          <w:p w14:paraId="41DB3584" w14:textId="39F7E223" w:rsidR="00042C30" w:rsidRPr="003417B9" w:rsidRDefault="00042C30" w:rsidP="00042C30">
            <w:pPr>
              <w:rPr>
                <w:b w:val="0"/>
              </w:rPr>
            </w:pPr>
            <w:r>
              <w:rPr>
                <w:b w:val="0"/>
              </w:rPr>
              <w:t>Benzo[a]pyrene (PAH)</w:t>
            </w:r>
          </w:p>
        </w:tc>
        <w:tc>
          <w:tcPr>
            <w:tcW w:w="1784" w:type="dxa"/>
            <w:shd w:val="clear" w:color="auto" w:fill="FFF2CC" w:themeFill="accent4" w:themeFillTint="33"/>
          </w:tcPr>
          <w:p w14:paraId="11A0EDCF" w14:textId="48F60F5D" w:rsidR="00042C30" w:rsidRPr="00353F98" w:rsidRDefault="00AF7143" w:rsidP="00042C30">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Highly toxic PAH produced by incomplete combustion </w:t>
            </w:r>
          </w:p>
        </w:tc>
        <w:tc>
          <w:tcPr>
            <w:tcW w:w="1554" w:type="dxa"/>
            <w:shd w:val="clear" w:color="auto" w:fill="FFF2CC" w:themeFill="accent4" w:themeFillTint="33"/>
          </w:tcPr>
          <w:p w14:paraId="65CFE468" w14:textId="6A4E5FCD" w:rsidR="00042C30" w:rsidRPr="00353F98" w:rsidRDefault="00AF7143" w:rsidP="00042C30">
            <w:pPr>
              <w:cnfStyle w:val="000000100000" w:firstRow="0" w:lastRow="0" w:firstColumn="0" w:lastColumn="0" w:oddVBand="0" w:evenVBand="0" w:oddHBand="1" w:evenHBand="0" w:firstRowFirstColumn="0" w:firstRowLastColumn="0" w:lastRowFirstColumn="0" w:lastRowLastColumn="0"/>
              <w:rPr>
                <w:sz w:val="18"/>
              </w:rPr>
            </w:pPr>
            <w:r>
              <w:rPr>
                <w:sz w:val="18"/>
                <w:szCs w:val="18"/>
              </w:rPr>
              <w:t>Membrane damage, DNA damage</w:t>
            </w:r>
          </w:p>
        </w:tc>
        <w:tc>
          <w:tcPr>
            <w:tcW w:w="1890" w:type="dxa"/>
            <w:shd w:val="clear" w:color="auto" w:fill="FFF2CC" w:themeFill="accent4" w:themeFillTint="33"/>
          </w:tcPr>
          <w:p w14:paraId="737A4B2F" w14:textId="58830788" w:rsidR="00042C30" w:rsidRDefault="00CD43F8"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677B2">
              <w:rPr>
                <w:sz w:val="18"/>
                <w:szCs w:val="18"/>
              </w:rPr>
              <w:instrText>ADDIN CSL_CITATION { "citationItems" : [ { "id" : "ITEM-1", "itemData" : { "DOI" : "10.1016/S0964-8305(00)00052-4", "ISSN" : "0964-8305", "abstract" : "Over the past 30 years, research on the microbial degradation of polycyclic aromatic hydrocarbons (PAHs) has resulted in the isolation of numerous genera of bacteria, fungi and algae capable of degrading low molecular weight PAHs (compounds containing three or less fused benzene rings). High molecular weight PAHs (compounds containing four or more fused benzene rings) are generally recalcitrant to microbial attack, although some fungi and algae are capable of transforming these compounds. Until recently, only a few genera of bacteria have been isolated with the ability to utilise four-ring PAHs as sole carbon and energy sources while cometabolism of five-ring compounds has been reported. The focuss of this review is on the high molecular weight PAH benzo[a]pyrene (BaP). There is concern about the presence of BaP in the environment because of its carcinogenicity, teratogenicity and toxicity. BaP has been observed to accumulate in marine organisms and plants which could indirectly cause human exposure through food consumption. This review provides an outline of the occurrence of BaP in the environment and the ability of bacteria, fungi and algae to degrade the compound, including pathways for BaP degradation by these organisms. In addition, approaches for improving microbial degradation of BaP are discussed.", "author" : [ { "dropping-particle" : "", "family" : "Juhasz", "given" : "Albert L", "non-dropping-particle" : "", "parse-names" : false, "suffix" : "" }, { "dropping-particle" : "", "family" : "Naidu", "given" : "Ravendra", "non-dropping-particle" : "", "parse-names" : false, "suffix" : "" } ], "container-title" : "International Biodeterioration &amp; Biodegradation", "id" : "ITEM-1", "issue" : "1-2", "issued" : { "date-parts" : [ [ "2000", "1", "1" ] ] }, "page" : "57-88", "publisher" : "Elsevier", "title" : "Bioremediation of high molecular weight polycyclic aromatic hydrocarbons: a review of the microbial degradation of benzo[a]pyrene", "type" : "article-journal", "volume" : "45" }, "uris" : [ "http://www.mendeley.com/documents/?uuid=3541d871-961b-382c-b4a7-8c0196cc5f4d" ] } ], "mendeley" : { "formattedCitation" : "(Juhasz and Naidu, 2000)", "plainTextFormattedCitation" : "(Juhasz and Naidu, 2000)", "previouslyFormattedCitation" : "(Juhasz and Naidu, 2000)" }, "properties" : { "noteIndex" : 0 }, "schema" : "https://github.com/citation-style-language/schema/raw/master/csl-citation.json" }</w:instrText>
            </w:r>
            <w:r>
              <w:rPr>
                <w:sz w:val="18"/>
                <w:szCs w:val="18"/>
              </w:rPr>
              <w:fldChar w:fldCharType="separate"/>
            </w:r>
            <w:r w:rsidRPr="00CD43F8">
              <w:rPr>
                <w:noProof/>
                <w:sz w:val="18"/>
                <w:szCs w:val="18"/>
              </w:rPr>
              <w:t>(Juhasz and Naidu, 2000)</w:t>
            </w:r>
            <w:r>
              <w:rPr>
                <w:sz w:val="18"/>
                <w:szCs w:val="18"/>
              </w:rPr>
              <w:fldChar w:fldCharType="end"/>
            </w:r>
          </w:p>
        </w:tc>
        <w:tc>
          <w:tcPr>
            <w:tcW w:w="2215" w:type="dxa"/>
            <w:shd w:val="clear" w:color="auto" w:fill="FFF2CC" w:themeFill="accent4" w:themeFillTint="33"/>
          </w:tcPr>
          <w:p w14:paraId="35A34F5F" w14:textId="068B3232" w:rsidR="00042C30" w:rsidRDefault="00CD43F8"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Many bacteria can degrade Benzo[a]pyrene</w:t>
            </w:r>
          </w:p>
        </w:tc>
        <w:tc>
          <w:tcPr>
            <w:tcW w:w="1634" w:type="dxa"/>
            <w:shd w:val="clear" w:color="auto" w:fill="FFF2CC" w:themeFill="accent4" w:themeFillTint="33"/>
          </w:tcPr>
          <w:p w14:paraId="5528CEBF" w14:textId="4DCF4EEC" w:rsidR="00042C30" w:rsidRDefault="00610F4D" w:rsidP="00042C30">
            <w:pPr>
              <w:cnfStyle w:val="000000100000" w:firstRow="0" w:lastRow="0" w:firstColumn="0" w:lastColumn="0" w:oddVBand="0" w:evenVBand="0" w:oddHBand="1" w:evenHBand="0" w:firstRowFirstColumn="0" w:firstRowLastColumn="0" w:lastRowFirstColumn="0" w:lastRowLastColumn="0"/>
              <w:rPr>
                <w:sz w:val="18"/>
              </w:rPr>
            </w:pPr>
            <w:r>
              <w:rPr>
                <w:sz w:val="18"/>
              </w:rPr>
              <w:t>various</w:t>
            </w:r>
          </w:p>
        </w:tc>
        <w:tc>
          <w:tcPr>
            <w:tcW w:w="1243" w:type="dxa"/>
            <w:shd w:val="clear" w:color="auto" w:fill="FFF2CC" w:themeFill="accent4" w:themeFillTint="33"/>
          </w:tcPr>
          <w:p w14:paraId="19904A0F" w14:textId="2A19B576" w:rsidR="00042C30" w:rsidRDefault="00610F4D"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various</w:t>
            </w:r>
          </w:p>
        </w:tc>
        <w:tc>
          <w:tcPr>
            <w:tcW w:w="2763" w:type="dxa"/>
            <w:shd w:val="clear" w:color="auto" w:fill="FFF2CC" w:themeFill="accent4" w:themeFillTint="33"/>
          </w:tcPr>
          <w:p w14:paraId="635C8367" w14:textId="3EB9A475" w:rsidR="000324D1" w:rsidRDefault="00420ED6"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215</w:t>
            </w:r>
            <w:r w:rsidRPr="000324D1">
              <w:rPr>
                <w:sz w:val="18"/>
                <w:szCs w:val="18"/>
              </w:rPr>
              <w:t xml:space="preserve"> µg/kg</w:t>
            </w:r>
            <w:r>
              <w:rPr>
                <w:sz w:val="18"/>
                <w:szCs w:val="18"/>
              </w:rPr>
              <w:t xml:space="preserve"> (urban </w:t>
            </w:r>
            <w:r>
              <w:rPr>
                <w:sz w:val="18"/>
                <w:szCs w:val="18"/>
              </w:rPr>
              <w:t>mean</w:t>
            </w:r>
            <w:r>
              <w:rPr>
                <w:sz w:val="18"/>
                <w:szCs w:val="18"/>
              </w:rPr>
              <w:t>)</w:t>
            </w:r>
          </w:p>
          <w:p w14:paraId="4F75DEAA" w14:textId="2897769F" w:rsidR="00042C30" w:rsidRPr="00317194" w:rsidRDefault="00420ED6"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24800</w:t>
            </w:r>
            <w:r w:rsidR="000324D1" w:rsidRPr="000324D1">
              <w:rPr>
                <w:sz w:val="18"/>
                <w:szCs w:val="18"/>
              </w:rPr>
              <w:t xml:space="preserve"> µg/kg</w:t>
            </w:r>
            <w:r w:rsidR="000324D1">
              <w:rPr>
                <w:sz w:val="18"/>
                <w:szCs w:val="18"/>
              </w:rPr>
              <w:t xml:space="preserve"> (urban max)</w:t>
            </w:r>
          </w:p>
        </w:tc>
      </w:tr>
      <w:tr w:rsidR="00D677B2" w14:paraId="37407436" w14:textId="77777777" w:rsidTr="0042618B">
        <w:trPr>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FFF2CC" w:themeFill="accent4" w:themeFillTint="33"/>
          </w:tcPr>
          <w:p w14:paraId="7715B72E" w14:textId="6F1565B4" w:rsidR="0061480A" w:rsidRPr="003417B9" w:rsidRDefault="0061480A" w:rsidP="0061480A">
            <w:pPr>
              <w:rPr>
                <w:b w:val="0"/>
              </w:rPr>
            </w:pPr>
            <w:r w:rsidRPr="003417B9">
              <w:rPr>
                <w:b w:val="0"/>
              </w:rPr>
              <w:t>Benzene</w:t>
            </w:r>
            <w:r w:rsidR="00EE36F9">
              <w:rPr>
                <w:b w:val="0"/>
              </w:rPr>
              <w:t xml:space="preserve"> (Solvent</w:t>
            </w:r>
            <w:r w:rsidR="00042C30">
              <w:rPr>
                <w:b w:val="0"/>
              </w:rPr>
              <w:t>, AH</w:t>
            </w:r>
            <w:r w:rsidR="00EE36F9">
              <w:rPr>
                <w:b w:val="0"/>
              </w:rPr>
              <w:t>)</w:t>
            </w:r>
          </w:p>
        </w:tc>
        <w:tc>
          <w:tcPr>
            <w:tcW w:w="1784" w:type="dxa"/>
            <w:shd w:val="clear" w:color="auto" w:fill="FFF2CC" w:themeFill="accent4" w:themeFillTint="33"/>
          </w:tcPr>
          <w:p w14:paraId="17214FE2" w14:textId="22EB8EB9"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proofErr w:type="gramStart"/>
            <w:r>
              <w:rPr>
                <w:sz w:val="18"/>
              </w:rPr>
              <w:t>AH petrol additive,</w:t>
            </w:r>
            <w:proofErr w:type="gramEnd"/>
            <w:r>
              <w:rPr>
                <w:sz w:val="18"/>
              </w:rPr>
              <w:t xml:space="preserve"> used as stock in many synthesis pipelines</w:t>
            </w:r>
          </w:p>
        </w:tc>
        <w:tc>
          <w:tcPr>
            <w:tcW w:w="1554" w:type="dxa"/>
            <w:shd w:val="clear" w:color="auto" w:fill="FFF2CC" w:themeFill="accent4" w:themeFillTint="33"/>
          </w:tcPr>
          <w:p w14:paraId="7402416D" w14:textId="54E3B50F"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r>
              <w:rPr>
                <w:sz w:val="18"/>
              </w:rPr>
              <w:t>Mutagenesis</w:t>
            </w:r>
          </w:p>
        </w:tc>
        <w:tc>
          <w:tcPr>
            <w:tcW w:w="1890" w:type="dxa"/>
            <w:shd w:val="clear" w:color="auto" w:fill="FFF2CC" w:themeFill="accent4" w:themeFillTint="33"/>
          </w:tcPr>
          <w:p w14:paraId="1594F8DF" w14:textId="4D0803E9"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A33E32">
              <w:rPr>
                <w:sz w:val="18"/>
                <w:szCs w:val="18"/>
              </w:rPr>
              <w:instrText>ADDIN CSL_CITATION { "citationItems" : [ { "id" : "ITEM-1", "itemData" : { "DOI" : "10.1016/J.CHEMOSPHERE.2006.06.031", "ISSN" : "0045-6535", "abstract" : "Despite the fact that creosote mainly consists of polycyclic aromatic hydrocarbons (PAHs), more polar compounds like phenolics, benzenes and N-, S-, O-heterocyclics dominate the groundwater downstream from creosote-contaminated sites. In this study, bioassay-directed fractionation, combined with fullscan GC\u2013MS, identified organic toxicants in creosote-contaminated groundwater. An organic extract of creosote-contaminated groundwater was fractionated on a polar silica column using high performance liquid chromatography (HPLC), and the toxicity of the fractions was measured by the Microtox\u00ae-bioassay. PAHs, which comprise up to 85% of pure creosote, accounted for only about 13% of total toxicity in the creosote-contaminated groundwater, while methylated benzenes, phenolics and N-heterocyclics accounted for ca. 80% of the measured toxicity. The fraction containing alkylated quinolines was the most toxic single fraction, accounting for 26% of the total measured toxicity. The results imply that focus on PAHs may underestimate risks associated with creosote-contaminated groundwater, and that environmental risk assessment should focus to a higher degree on substituted PAHs and phenolics because they are more toxic than the unsubstituted ones. Additionally, benzenes and N-heterocyclics (e.g., alkylated quinolines) should be assessed.", "author" : [ { "dropping-particle" : "", "family" : "Hartnik", "given" : "Thomas", "non-dropping-particle" : "", "parse-names" : false, "suffix" : "" }, { "dropping-particle" : "", "family" : "Norli", "given" : "Hans Ragnar", "non-dropping-particle" : "", "parse-names" : false, "suffix" : "" }, { "dropping-particle" : "", "family" : "Eggen", "given" : "Trine", "non-dropping-particle" : "", "parse-names" : false, "suffix" : "" }, { "dropping-particle" : "", "family" : "Breedveld", "given" : "Gijsbert D.", "non-dropping-particle" : "", "parse-names" : false, "suffix" : "" } ], "container-title" : "Chemosphere", "id" : "ITEM-1", "issue" : "3", "issued" : { "date-parts" : [ [ "2007", "1", "1" ] ] }, "page" : "435-443", "publisher" : "Pergamon", "title" : "Bioassay-directed identification of toxic organic compounds in creosote-contaminated groundwater", "type" : "article-journal", "volume" : "66" }, "uris" : [ "http://www.mendeley.com/documents/?uuid=7ebe31e6-d1ae-3112-8b1a-88efc0b6dcba" ] }, { "id" : "ITEM-2",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"ITEM-2", "issued" : { "date-parts" : [ [ "2009" ] ] }, "page" : "1-15", "title" : "Biodegradation aspects of Polycyclic Aromatic Hydrocarbons (PAHs): A review", "type" : "article-journal", "volume" : "169" }, "uris" : [ "http://www.mendeley.com/documents/?uuid=cb453e81-8f83-3a26-b533-014de2217afb" ] }, { "id" : "ITEM-3", "itemData" : { "ISBN" : "1844 323 145", "author" : [ { "dropping-particle" : "", "family" : "Earl", "given" : "N", "non-dropping-particle" : "", "parse-names" : false, "suffix" : "" }, { "dropping-particle" : "", "family" : "Cartwright", "given" : "C.D.", "non-dropping-particle" : "", "parse-names" : false, "suffix" : "" }, { "dropping-particle" : "", "family" : "Horrocks", "given" : "S.J.", "non-dropping-particle" : "", "parse-names" : false, "suffix" : "" }, { "dropping-particle" : "", "family" : "Worboys", "given" : "M.", "non-dropping-particle" : "", "parse-names" : false, "suffix" : "" }, { "dropping-particle" : "", "family" : "Swift", "given" : "S.", "non-dropping-particle" : "", "parse-names" : false, "suffix" : "" }, { "dropping-particle" : "", "family" : "Kirton", "given" : "J.A.", "non-dropping-particle" : "", "parse-names" : false, "suffix" : "" }, { "dropping-particle" : "", "family" : "Askan", "given" : "A.U.", "non-dropping-particle" : "", "parse-names" : false, "suffix" : "" }, { "dropping-particle" : "", "family" : "Kelleher", "given" : "H.", "non-dropping-particle" : "", "parse-names" : false, "suffix" : "" }, { "dropping-particle" : "", "family" : "Nancarrow", "given" : "D.J.", "non-dropping-particle" : "", "parse-names" : false, "suffix" : "" } ], "container-title" : "Draft R&amp;D Technical Report P5-079/TR1", "id" : "ITEM-3", "issued" : { "date-parts" : [ [ "2003" ] ] }, "page" : "190", "title" : "Review of the Fate and Transport of Selected Contaminants in the Soil Environment", "type" : "article-journal" }, "uris" : [ "http://www.mendeley.com/documents/?uuid=3e3d3110-bd15-338b-93ba-c59ea3dc08b1" ] } ], "mendeley" : { "formattedCitation" : "(Earl &lt;i&gt;et al.&lt;/i&gt;, 2003; Hartnik &lt;i&gt;et al.&lt;/i&gt;, 2007; Haritash and Kaushik, 2009)", "plainTextFormattedCitation" : "(Earl et al., 2003; Hartnik et al., 2007; Haritash and Kaushik, 2009)", "previouslyFormattedCitation" : "(Hartnik &lt;i&gt;et al.&lt;/i&gt;, 2007; Haritash and Kaushik, 2009; Gauthier &lt;i&gt;et al.&lt;/i&gt;, 2014)" }, "properties" : { "noteIndex" : 0 }, "schema" : "https://github.com/citation-style-language/schema/raw/master/csl-citation.json" }</w:instrText>
            </w:r>
            <w:r>
              <w:rPr>
                <w:sz w:val="18"/>
                <w:szCs w:val="18"/>
              </w:rPr>
              <w:fldChar w:fldCharType="separate"/>
            </w:r>
            <w:r w:rsidR="00A33E32" w:rsidRPr="00A33E32">
              <w:rPr>
                <w:noProof/>
                <w:sz w:val="18"/>
                <w:szCs w:val="18"/>
              </w:rPr>
              <w:t xml:space="preserve">(Earl </w:t>
            </w:r>
            <w:r w:rsidR="00A33E32" w:rsidRPr="00A33E32">
              <w:rPr>
                <w:i/>
                <w:noProof/>
                <w:sz w:val="18"/>
                <w:szCs w:val="18"/>
              </w:rPr>
              <w:t>et al.</w:t>
            </w:r>
            <w:r w:rsidR="00A33E32" w:rsidRPr="00A33E32">
              <w:rPr>
                <w:noProof/>
                <w:sz w:val="18"/>
                <w:szCs w:val="18"/>
              </w:rPr>
              <w:t xml:space="preserve">, 2003; Hartnik </w:t>
            </w:r>
            <w:r w:rsidR="00A33E32" w:rsidRPr="00A33E32">
              <w:rPr>
                <w:i/>
                <w:noProof/>
                <w:sz w:val="18"/>
                <w:szCs w:val="18"/>
              </w:rPr>
              <w:t>et al.</w:t>
            </w:r>
            <w:r w:rsidR="00A33E32" w:rsidRPr="00A33E32">
              <w:rPr>
                <w:noProof/>
                <w:sz w:val="18"/>
                <w:szCs w:val="18"/>
              </w:rPr>
              <w:t>, 2007; Haritash and Kaushik, 2009)</w:t>
            </w:r>
            <w:r>
              <w:rPr>
                <w:sz w:val="18"/>
                <w:szCs w:val="18"/>
              </w:rPr>
              <w:fldChar w:fldCharType="end"/>
            </w:r>
            <w:r>
              <w:rPr>
                <w:sz w:val="18"/>
                <w:szCs w:val="18"/>
              </w:rPr>
              <w:t xml:space="preserve"> </w:t>
            </w:r>
          </w:p>
        </w:tc>
        <w:tc>
          <w:tcPr>
            <w:tcW w:w="2215" w:type="dxa"/>
            <w:shd w:val="clear" w:color="auto" w:fill="FFF2CC" w:themeFill="accent4" w:themeFillTint="33"/>
          </w:tcPr>
          <w:p w14:paraId="5F16977B"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15 minutes</w:t>
            </w:r>
          </w:p>
          <w:p w14:paraId="0F1C49AC" w14:textId="47C2449B"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Many aquatic bacteria are known to degrade benzene</w:t>
            </w:r>
          </w:p>
        </w:tc>
        <w:tc>
          <w:tcPr>
            <w:tcW w:w="1634" w:type="dxa"/>
            <w:shd w:val="clear" w:color="auto" w:fill="FFF2CC" w:themeFill="accent4" w:themeFillTint="33"/>
          </w:tcPr>
          <w:p w14:paraId="4B4309F9" w14:textId="1E5E300A"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EC50 </w:t>
            </w:r>
            <w:r w:rsidRPr="00DB6AFF">
              <w:rPr>
                <w:sz w:val="18"/>
              </w:rPr>
              <w:t>102.78</w:t>
            </w:r>
            <w:r>
              <w:rPr>
                <w:sz w:val="18"/>
              </w:rPr>
              <w:t xml:space="preserve"> mg.l</w:t>
            </w:r>
            <w:r w:rsidRPr="00DB6AFF">
              <w:rPr>
                <w:sz w:val="18"/>
                <w:vertAlign w:val="superscript"/>
              </w:rPr>
              <w:t>-1</w:t>
            </w:r>
          </w:p>
        </w:tc>
        <w:tc>
          <w:tcPr>
            <w:tcW w:w="1243" w:type="dxa"/>
            <w:shd w:val="clear" w:color="auto" w:fill="FFF2CC" w:themeFill="accent4" w:themeFillTint="33"/>
          </w:tcPr>
          <w:p w14:paraId="557CD08D"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DMSO</w:t>
            </w:r>
          </w:p>
          <w:p w14:paraId="61E393C7" w14:textId="77777777" w:rsidR="003E0827" w:rsidRDefault="003E0827"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Water sol: </w:t>
            </w:r>
          </w:p>
          <w:p w14:paraId="65E28207" w14:textId="7B8DD4DC" w:rsidR="003E0827" w:rsidRDefault="003E0827" w:rsidP="0061480A">
            <w:pPr>
              <w:cnfStyle w:val="000000000000" w:firstRow="0" w:lastRow="0" w:firstColumn="0" w:lastColumn="0" w:oddVBand="0" w:evenVBand="0" w:oddHBand="0" w:evenHBand="0" w:firstRowFirstColumn="0" w:firstRowLastColumn="0" w:lastRowFirstColumn="0" w:lastRowLastColumn="0"/>
              <w:rPr>
                <w:sz w:val="18"/>
                <w:szCs w:val="18"/>
              </w:rPr>
            </w:pPr>
            <w:r w:rsidRPr="003E0827">
              <w:rPr>
                <w:sz w:val="18"/>
                <w:szCs w:val="18"/>
              </w:rPr>
              <w:t>1.79</w:t>
            </w:r>
            <w:r>
              <w:rPr>
                <w:sz w:val="18"/>
                <w:szCs w:val="18"/>
              </w:rPr>
              <w:t xml:space="preserve"> g/L @ 25°C</w:t>
            </w:r>
          </w:p>
        </w:tc>
        <w:tc>
          <w:tcPr>
            <w:tcW w:w="2763" w:type="dxa"/>
            <w:shd w:val="clear" w:color="auto" w:fill="FFF2CC" w:themeFill="accent4" w:themeFillTint="33"/>
          </w:tcPr>
          <w:p w14:paraId="07FCCB46" w14:textId="2DE9AE51" w:rsidR="0061480A" w:rsidRPr="00B1020E" w:rsidRDefault="00A33E32" w:rsidP="0061480A">
            <w:pPr>
              <w:cnfStyle w:val="000000000000" w:firstRow="0" w:lastRow="0" w:firstColumn="0" w:lastColumn="0" w:oddVBand="0" w:evenVBand="0" w:oddHBand="0" w:evenHBand="0" w:firstRowFirstColumn="0" w:firstRowLastColumn="0" w:lastRowFirstColumn="0" w:lastRowLastColumn="0"/>
              <w:rPr>
                <w:sz w:val="18"/>
                <w:szCs w:val="18"/>
              </w:rPr>
            </w:pPr>
            <w:r w:rsidRPr="00A33E32">
              <w:rPr>
                <w:sz w:val="18"/>
                <w:szCs w:val="18"/>
              </w:rPr>
              <w:t>0.02 mg</w:t>
            </w:r>
            <w:r>
              <w:rPr>
                <w:sz w:val="18"/>
                <w:szCs w:val="18"/>
              </w:rPr>
              <w:t>/kg (approximate mean for Europe, so not that useful)</w:t>
            </w:r>
          </w:p>
          <w:p w14:paraId="3DA327F3"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p>
        </w:tc>
      </w:tr>
    </w:tbl>
    <w:p w14:paraId="7AC762F7" w14:textId="10226487" w:rsidR="001916E1" w:rsidRDefault="001916E1"/>
    <w:sectPr w:rsidR="001916E1" w:rsidSect="00C6332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13"/>
    <w:rsid w:val="0000308B"/>
    <w:rsid w:val="00011BB1"/>
    <w:rsid w:val="000130F3"/>
    <w:rsid w:val="0001644A"/>
    <w:rsid w:val="000324D1"/>
    <w:rsid w:val="00032577"/>
    <w:rsid w:val="000402F9"/>
    <w:rsid w:val="00042C30"/>
    <w:rsid w:val="0004463E"/>
    <w:rsid w:val="000552E5"/>
    <w:rsid w:val="00081477"/>
    <w:rsid w:val="000820B9"/>
    <w:rsid w:val="00083B7B"/>
    <w:rsid w:val="000A6982"/>
    <w:rsid w:val="000A7B72"/>
    <w:rsid w:val="000B03BA"/>
    <w:rsid w:val="000B7518"/>
    <w:rsid w:val="000B75C7"/>
    <w:rsid w:val="000C4873"/>
    <w:rsid w:val="000D0172"/>
    <w:rsid w:val="000D03BC"/>
    <w:rsid w:val="000D5565"/>
    <w:rsid w:val="000D67FE"/>
    <w:rsid w:val="000E4A86"/>
    <w:rsid w:val="000E5CF0"/>
    <w:rsid w:val="000F44F0"/>
    <w:rsid w:val="0010465C"/>
    <w:rsid w:val="00104F33"/>
    <w:rsid w:val="001076A1"/>
    <w:rsid w:val="00114CA8"/>
    <w:rsid w:val="001170F6"/>
    <w:rsid w:val="0012215C"/>
    <w:rsid w:val="00122B45"/>
    <w:rsid w:val="0012501D"/>
    <w:rsid w:val="00127648"/>
    <w:rsid w:val="001360BB"/>
    <w:rsid w:val="00137120"/>
    <w:rsid w:val="001408F6"/>
    <w:rsid w:val="001409C2"/>
    <w:rsid w:val="0015272F"/>
    <w:rsid w:val="0017381B"/>
    <w:rsid w:val="0017772D"/>
    <w:rsid w:val="001801D9"/>
    <w:rsid w:val="001916E1"/>
    <w:rsid w:val="001B0675"/>
    <w:rsid w:val="001B4032"/>
    <w:rsid w:val="001B4A5D"/>
    <w:rsid w:val="001C7035"/>
    <w:rsid w:val="001E7E68"/>
    <w:rsid w:val="00204DD5"/>
    <w:rsid w:val="00234990"/>
    <w:rsid w:val="00246A6F"/>
    <w:rsid w:val="00251337"/>
    <w:rsid w:val="0025734E"/>
    <w:rsid w:val="00262A75"/>
    <w:rsid w:val="00263EB5"/>
    <w:rsid w:val="00265641"/>
    <w:rsid w:val="002777FC"/>
    <w:rsid w:val="00281713"/>
    <w:rsid w:val="002C2E9F"/>
    <w:rsid w:val="002C6AB5"/>
    <w:rsid w:val="002D3B7E"/>
    <w:rsid w:val="00317194"/>
    <w:rsid w:val="003179D7"/>
    <w:rsid w:val="0032265D"/>
    <w:rsid w:val="003249C8"/>
    <w:rsid w:val="00331AE2"/>
    <w:rsid w:val="003417B9"/>
    <w:rsid w:val="003507EF"/>
    <w:rsid w:val="00353F98"/>
    <w:rsid w:val="003662EC"/>
    <w:rsid w:val="0037585A"/>
    <w:rsid w:val="00387987"/>
    <w:rsid w:val="003923AF"/>
    <w:rsid w:val="003A7406"/>
    <w:rsid w:val="003A7E82"/>
    <w:rsid w:val="003B07A1"/>
    <w:rsid w:val="003B3C0F"/>
    <w:rsid w:val="003C3E64"/>
    <w:rsid w:val="003C7FC1"/>
    <w:rsid w:val="003E0827"/>
    <w:rsid w:val="003E6C62"/>
    <w:rsid w:val="003F4176"/>
    <w:rsid w:val="00410B02"/>
    <w:rsid w:val="00412353"/>
    <w:rsid w:val="00412F3A"/>
    <w:rsid w:val="00420ED6"/>
    <w:rsid w:val="0042618B"/>
    <w:rsid w:val="00436334"/>
    <w:rsid w:val="00443204"/>
    <w:rsid w:val="00447101"/>
    <w:rsid w:val="004634E3"/>
    <w:rsid w:val="00467A49"/>
    <w:rsid w:val="00483606"/>
    <w:rsid w:val="00484255"/>
    <w:rsid w:val="004A0EDF"/>
    <w:rsid w:val="004A30FC"/>
    <w:rsid w:val="004A62AF"/>
    <w:rsid w:val="004B5980"/>
    <w:rsid w:val="004C409E"/>
    <w:rsid w:val="004D2937"/>
    <w:rsid w:val="004D632C"/>
    <w:rsid w:val="004E1786"/>
    <w:rsid w:val="004E3735"/>
    <w:rsid w:val="004E74DB"/>
    <w:rsid w:val="005114EC"/>
    <w:rsid w:val="00546B24"/>
    <w:rsid w:val="00551CA0"/>
    <w:rsid w:val="00556A7F"/>
    <w:rsid w:val="005579A2"/>
    <w:rsid w:val="0057181B"/>
    <w:rsid w:val="00597EE2"/>
    <w:rsid w:val="005A4B07"/>
    <w:rsid w:val="005D2F0E"/>
    <w:rsid w:val="005F1E11"/>
    <w:rsid w:val="00607063"/>
    <w:rsid w:val="0061081C"/>
    <w:rsid w:val="00610F4D"/>
    <w:rsid w:val="00612F99"/>
    <w:rsid w:val="006141BB"/>
    <w:rsid w:val="0061480A"/>
    <w:rsid w:val="006365A4"/>
    <w:rsid w:val="00636C9C"/>
    <w:rsid w:val="00656171"/>
    <w:rsid w:val="006567C0"/>
    <w:rsid w:val="00656955"/>
    <w:rsid w:val="0066270A"/>
    <w:rsid w:val="006640BF"/>
    <w:rsid w:val="0066654A"/>
    <w:rsid w:val="0066692B"/>
    <w:rsid w:val="0068144B"/>
    <w:rsid w:val="00682913"/>
    <w:rsid w:val="006869E1"/>
    <w:rsid w:val="00697725"/>
    <w:rsid w:val="006A0205"/>
    <w:rsid w:val="006B267C"/>
    <w:rsid w:val="006B2C3A"/>
    <w:rsid w:val="006F3175"/>
    <w:rsid w:val="0070143E"/>
    <w:rsid w:val="00723D99"/>
    <w:rsid w:val="00730636"/>
    <w:rsid w:val="00734AC9"/>
    <w:rsid w:val="007365FF"/>
    <w:rsid w:val="00740454"/>
    <w:rsid w:val="00744FC4"/>
    <w:rsid w:val="007524ED"/>
    <w:rsid w:val="007642D9"/>
    <w:rsid w:val="007759B2"/>
    <w:rsid w:val="007859C7"/>
    <w:rsid w:val="007861EA"/>
    <w:rsid w:val="00792ED3"/>
    <w:rsid w:val="00796C61"/>
    <w:rsid w:val="007A41C0"/>
    <w:rsid w:val="007D1857"/>
    <w:rsid w:val="007D2F58"/>
    <w:rsid w:val="007E0D87"/>
    <w:rsid w:val="007E27E5"/>
    <w:rsid w:val="00803936"/>
    <w:rsid w:val="008078C4"/>
    <w:rsid w:val="00820A61"/>
    <w:rsid w:val="00826348"/>
    <w:rsid w:val="00830426"/>
    <w:rsid w:val="008308C9"/>
    <w:rsid w:val="008368AF"/>
    <w:rsid w:val="0085378E"/>
    <w:rsid w:val="00862030"/>
    <w:rsid w:val="008639EE"/>
    <w:rsid w:val="00863A0C"/>
    <w:rsid w:val="008739D8"/>
    <w:rsid w:val="0088404E"/>
    <w:rsid w:val="00884159"/>
    <w:rsid w:val="00893706"/>
    <w:rsid w:val="0089737B"/>
    <w:rsid w:val="008B7B37"/>
    <w:rsid w:val="008C32F2"/>
    <w:rsid w:val="008C692C"/>
    <w:rsid w:val="008C6F96"/>
    <w:rsid w:val="008D0EAA"/>
    <w:rsid w:val="008E657E"/>
    <w:rsid w:val="008F4E3F"/>
    <w:rsid w:val="00902572"/>
    <w:rsid w:val="00912A59"/>
    <w:rsid w:val="00913873"/>
    <w:rsid w:val="00923281"/>
    <w:rsid w:val="0093508C"/>
    <w:rsid w:val="00960623"/>
    <w:rsid w:val="0098153F"/>
    <w:rsid w:val="0098566A"/>
    <w:rsid w:val="00990F70"/>
    <w:rsid w:val="00993B87"/>
    <w:rsid w:val="009F574E"/>
    <w:rsid w:val="009F585C"/>
    <w:rsid w:val="00A02A26"/>
    <w:rsid w:val="00A16FB1"/>
    <w:rsid w:val="00A24ED8"/>
    <w:rsid w:val="00A3251D"/>
    <w:rsid w:val="00A33E32"/>
    <w:rsid w:val="00A403DD"/>
    <w:rsid w:val="00A46D6B"/>
    <w:rsid w:val="00A617D9"/>
    <w:rsid w:val="00A8371B"/>
    <w:rsid w:val="00A8714C"/>
    <w:rsid w:val="00A90D48"/>
    <w:rsid w:val="00A91B7C"/>
    <w:rsid w:val="00A97DC4"/>
    <w:rsid w:val="00AA2D51"/>
    <w:rsid w:val="00AA411E"/>
    <w:rsid w:val="00AB6146"/>
    <w:rsid w:val="00AC2837"/>
    <w:rsid w:val="00AE00BF"/>
    <w:rsid w:val="00AE268D"/>
    <w:rsid w:val="00AF2DCE"/>
    <w:rsid w:val="00AF5864"/>
    <w:rsid w:val="00AF7143"/>
    <w:rsid w:val="00AF7915"/>
    <w:rsid w:val="00B1020E"/>
    <w:rsid w:val="00B14AAC"/>
    <w:rsid w:val="00B36B4D"/>
    <w:rsid w:val="00B56868"/>
    <w:rsid w:val="00B56DD1"/>
    <w:rsid w:val="00BA4812"/>
    <w:rsid w:val="00BA6E83"/>
    <w:rsid w:val="00BB5579"/>
    <w:rsid w:val="00BC1A0E"/>
    <w:rsid w:val="00BC3020"/>
    <w:rsid w:val="00BC639A"/>
    <w:rsid w:val="00C03BA1"/>
    <w:rsid w:val="00C46368"/>
    <w:rsid w:val="00C50484"/>
    <w:rsid w:val="00C60637"/>
    <w:rsid w:val="00C63326"/>
    <w:rsid w:val="00C64BB1"/>
    <w:rsid w:val="00C72D33"/>
    <w:rsid w:val="00C76767"/>
    <w:rsid w:val="00C83700"/>
    <w:rsid w:val="00C84067"/>
    <w:rsid w:val="00C878E1"/>
    <w:rsid w:val="00C903B6"/>
    <w:rsid w:val="00C903F0"/>
    <w:rsid w:val="00C95CA7"/>
    <w:rsid w:val="00C97AD1"/>
    <w:rsid w:val="00CA151E"/>
    <w:rsid w:val="00CA3310"/>
    <w:rsid w:val="00CC0DF5"/>
    <w:rsid w:val="00CD43F8"/>
    <w:rsid w:val="00CE1771"/>
    <w:rsid w:val="00CE5537"/>
    <w:rsid w:val="00CE6208"/>
    <w:rsid w:val="00CF33FF"/>
    <w:rsid w:val="00CF69BC"/>
    <w:rsid w:val="00D001D4"/>
    <w:rsid w:val="00D02544"/>
    <w:rsid w:val="00D240DB"/>
    <w:rsid w:val="00D26269"/>
    <w:rsid w:val="00D33180"/>
    <w:rsid w:val="00D343E1"/>
    <w:rsid w:val="00D43AEB"/>
    <w:rsid w:val="00D6127C"/>
    <w:rsid w:val="00D677B2"/>
    <w:rsid w:val="00D70C50"/>
    <w:rsid w:val="00D745B7"/>
    <w:rsid w:val="00D95C6D"/>
    <w:rsid w:val="00DA6762"/>
    <w:rsid w:val="00DA7035"/>
    <w:rsid w:val="00DB1B6C"/>
    <w:rsid w:val="00DB31DA"/>
    <w:rsid w:val="00DB481A"/>
    <w:rsid w:val="00DB6AFF"/>
    <w:rsid w:val="00DD542C"/>
    <w:rsid w:val="00E0712D"/>
    <w:rsid w:val="00E14415"/>
    <w:rsid w:val="00E149BD"/>
    <w:rsid w:val="00E15ECF"/>
    <w:rsid w:val="00E3314C"/>
    <w:rsid w:val="00E34473"/>
    <w:rsid w:val="00E36DBD"/>
    <w:rsid w:val="00E44C83"/>
    <w:rsid w:val="00E46194"/>
    <w:rsid w:val="00E53B17"/>
    <w:rsid w:val="00E64588"/>
    <w:rsid w:val="00E901B5"/>
    <w:rsid w:val="00E97F60"/>
    <w:rsid w:val="00EA2D3E"/>
    <w:rsid w:val="00EA728E"/>
    <w:rsid w:val="00ED24BB"/>
    <w:rsid w:val="00EE36F9"/>
    <w:rsid w:val="00EF0F60"/>
    <w:rsid w:val="00EF4548"/>
    <w:rsid w:val="00F073C9"/>
    <w:rsid w:val="00F27800"/>
    <w:rsid w:val="00F3066B"/>
    <w:rsid w:val="00F3068C"/>
    <w:rsid w:val="00F37475"/>
    <w:rsid w:val="00F41098"/>
    <w:rsid w:val="00F45DCD"/>
    <w:rsid w:val="00F675C4"/>
    <w:rsid w:val="00F85620"/>
    <w:rsid w:val="00FA09F7"/>
    <w:rsid w:val="00FA7E6E"/>
    <w:rsid w:val="00FC51C2"/>
    <w:rsid w:val="00FD1ECE"/>
    <w:rsid w:val="00FE0425"/>
    <w:rsid w:val="00FE1780"/>
    <w:rsid w:val="00FF64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ECDE"/>
  <w15:chartTrackingRefBased/>
  <w15:docId w15:val="{074D592A-7454-4E21-B8B6-362638E7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829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77557">
      <w:bodyDiv w:val="1"/>
      <w:marLeft w:val="0"/>
      <w:marRight w:val="0"/>
      <w:marTop w:val="0"/>
      <w:marBottom w:val="0"/>
      <w:divBdr>
        <w:top w:val="none" w:sz="0" w:space="0" w:color="auto"/>
        <w:left w:val="none" w:sz="0" w:space="0" w:color="auto"/>
        <w:bottom w:val="none" w:sz="0" w:space="0" w:color="auto"/>
        <w:right w:val="none" w:sz="0" w:space="0" w:color="auto"/>
      </w:divBdr>
    </w:div>
    <w:div w:id="1407918272">
      <w:bodyDiv w:val="1"/>
      <w:marLeft w:val="0"/>
      <w:marRight w:val="0"/>
      <w:marTop w:val="0"/>
      <w:marBottom w:val="0"/>
      <w:divBdr>
        <w:top w:val="none" w:sz="0" w:space="0" w:color="auto"/>
        <w:left w:val="none" w:sz="0" w:space="0" w:color="auto"/>
        <w:bottom w:val="none" w:sz="0" w:space="0" w:color="auto"/>
        <w:right w:val="none" w:sz="0" w:space="0" w:color="auto"/>
      </w:divBdr>
    </w:div>
    <w:div w:id="1570268686">
      <w:bodyDiv w:val="1"/>
      <w:marLeft w:val="0"/>
      <w:marRight w:val="0"/>
      <w:marTop w:val="0"/>
      <w:marBottom w:val="0"/>
      <w:divBdr>
        <w:top w:val="none" w:sz="0" w:space="0" w:color="auto"/>
        <w:left w:val="none" w:sz="0" w:space="0" w:color="auto"/>
        <w:bottom w:val="none" w:sz="0" w:space="0" w:color="auto"/>
        <w:right w:val="none" w:sz="0" w:space="0" w:color="auto"/>
      </w:divBdr>
    </w:div>
    <w:div w:id="19391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EE47E-1D39-44C7-9238-61189745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4508</Words>
  <Characters>25701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5</cp:revision>
  <dcterms:created xsi:type="dcterms:W3CDTF">2018-06-05T16:36:00Z</dcterms:created>
  <dcterms:modified xsi:type="dcterms:W3CDTF">2018-06-05T17:55:00Z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