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pPr w:leftFromText="180" w:rightFromText="180" w:vertAnchor="page" w:horzAnchor="margin" w:tblpXSpec="center" w:tblpY="736"/>
        <w:tblW w:w="15077" w:type="dxa"/>
        <w:tblLook w:val="04A0" w:firstRow="1" w:lastRow="0" w:firstColumn="1" w:lastColumn="0" w:noHBand="0" w:noVBand="1"/>
      </w:tblPr>
      <w:tblGrid>
        <w:gridCol w:w="1978"/>
        <w:gridCol w:w="1758"/>
        <w:gridCol w:w="1538"/>
        <w:gridCol w:w="1851"/>
        <w:gridCol w:w="2167"/>
        <w:gridCol w:w="1612"/>
        <w:gridCol w:w="1479"/>
        <w:gridCol w:w="2694"/>
      </w:tblGrid>
      <w:tr w:rsidR="00D677B2" w14:paraId="654F0031" w14:textId="77777777" w:rsidTr="006E0CB6">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78" w:type="dxa"/>
            <w:shd w:val="clear" w:color="auto" w:fill="A6A6A6" w:themeFill="background1" w:themeFillShade="A6"/>
          </w:tcPr>
          <w:p w14:paraId="2C933DF7" w14:textId="77777777" w:rsidR="00697725" w:rsidRDefault="00697725" w:rsidP="00697725">
            <w:r>
              <w:t>Stressor</w:t>
            </w:r>
          </w:p>
        </w:tc>
        <w:tc>
          <w:tcPr>
            <w:tcW w:w="1758" w:type="dxa"/>
            <w:shd w:val="clear" w:color="auto" w:fill="A6A6A6" w:themeFill="background1" w:themeFillShade="A6"/>
          </w:tcPr>
          <w:p w14:paraId="27BCF3FD"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Relevance</w:t>
            </w:r>
          </w:p>
        </w:tc>
        <w:tc>
          <w:tcPr>
            <w:tcW w:w="1538" w:type="dxa"/>
            <w:shd w:val="clear" w:color="auto" w:fill="A6A6A6" w:themeFill="background1" w:themeFillShade="A6"/>
          </w:tcPr>
          <w:p w14:paraId="16E900C9"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Mechanism</w:t>
            </w:r>
          </w:p>
        </w:tc>
        <w:tc>
          <w:tcPr>
            <w:tcW w:w="1851" w:type="dxa"/>
            <w:shd w:val="clear" w:color="auto" w:fill="A6A6A6" w:themeFill="background1" w:themeFillShade="A6"/>
          </w:tcPr>
          <w:p w14:paraId="03CFEAA0"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Literature</w:t>
            </w:r>
          </w:p>
        </w:tc>
        <w:tc>
          <w:tcPr>
            <w:tcW w:w="2167" w:type="dxa"/>
            <w:shd w:val="clear" w:color="auto" w:fill="A6A6A6" w:themeFill="background1" w:themeFillShade="A6"/>
          </w:tcPr>
          <w:p w14:paraId="5A68BA2A"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Findings</w:t>
            </w:r>
          </w:p>
        </w:tc>
        <w:tc>
          <w:tcPr>
            <w:tcW w:w="1612" w:type="dxa"/>
            <w:shd w:val="clear" w:color="auto" w:fill="A6A6A6" w:themeFill="background1" w:themeFillShade="A6"/>
          </w:tcPr>
          <w:p w14:paraId="7EBAC661"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 xml:space="preserve">Study Conc. </w:t>
            </w:r>
          </w:p>
        </w:tc>
        <w:tc>
          <w:tcPr>
            <w:tcW w:w="1479" w:type="dxa"/>
            <w:shd w:val="clear" w:color="auto" w:fill="A6A6A6" w:themeFill="background1" w:themeFillShade="A6"/>
          </w:tcPr>
          <w:p w14:paraId="5E59715F" w14:textId="0EE9478F" w:rsidR="00697725" w:rsidRDefault="00697725" w:rsidP="00697725">
            <w:pPr>
              <w:cnfStyle w:val="100000000000" w:firstRow="1" w:lastRow="0" w:firstColumn="0" w:lastColumn="0" w:oddVBand="0" w:evenVBand="0" w:oddHBand="0" w:evenHBand="0" w:firstRowFirstColumn="0" w:firstRowLastColumn="0" w:lastRowFirstColumn="0" w:lastRowLastColumn="0"/>
            </w:pPr>
            <w:r>
              <w:t xml:space="preserve">Solvent </w:t>
            </w:r>
          </w:p>
        </w:tc>
        <w:tc>
          <w:tcPr>
            <w:tcW w:w="2694" w:type="dxa"/>
            <w:shd w:val="clear" w:color="auto" w:fill="A6A6A6" w:themeFill="background1" w:themeFillShade="A6"/>
          </w:tcPr>
          <w:p w14:paraId="285F265A" w14:textId="25CB9E64" w:rsidR="00697725" w:rsidRPr="00E36DBD" w:rsidRDefault="004D2937" w:rsidP="00697725">
            <w:pPr>
              <w:cnfStyle w:val="100000000000" w:firstRow="1" w:lastRow="0" w:firstColumn="0" w:lastColumn="0" w:oddVBand="0" w:evenVBand="0" w:oddHBand="0" w:evenHBand="0" w:firstRowFirstColumn="0" w:firstRowLastColumn="0" w:lastRowFirstColumn="0" w:lastRowLastColumn="0"/>
              <w:rPr>
                <w:sz w:val="21"/>
                <w:szCs w:val="21"/>
              </w:rPr>
            </w:pPr>
            <w:r w:rsidRPr="00E36DBD">
              <w:rPr>
                <w:sz w:val="21"/>
                <w:szCs w:val="21"/>
              </w:rPr>
              <w:t>Concentration, UKSHS 2007</w:t>
            </w:r>
          </w:p>
        </w:tc>
      </w:tr>
      <w:tr w:rsidR="0061480A" w14:paraId="00891587" w14:textId="77777777" w:rsidTr="003417B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DEEAF6" w:themeFill="accent5" w:themeFillTint="33"/>
          </w:tcPr>
          <w:p w14:paraId="5CE2B6BB" w14:textId="542B4E05" w:rsidR="0061480A" w:rsidRDefault="0061480A" w:rsidP="00697725">
            <w:pPr>
              <w:rPr>
                <w:sz w:val="18"/>
                <w:szCs w:val="18"/>
              </w:rPr>
            </w:pPr>
            <w:r>
              <w:t>Antibiotics</w:t>
            </w:r>
          </w:p>
        </w:tc>
      </w:tr>
      <w:tr w:rsidR="00D677B2" w14:paraId="15E9093C" w14:textId="77777777" w:rsidTr="006E0CB6">
        <w:trPr>
          <w:trHeight w:val="285"/>
        </w:trPr>
        <w:tc>
          <w:tcPr>
            <w:cnfStyle w:val="001000000000" w:firstRow="0" w:lastRow="0" w:firstColumn="1" w:lastColumn="0" w:oddVBand="0" w:evenVBand="0" w:oddHBand="0" w:evenHBand="0" w:firstRowFirstColumn="0" w:firstRowLastColumn="0" w:lastRowFirstColumn="0" w:lastRowLastColumn="0"/>
            <w:tcW w:w="1978" w:type="dxa"/>
            <w:shd w:val="clear" w:color="auto" w:fill="DEEAF6" w:themeFill="accent5" w:themeFillTint="33"/>
          </w:tcPr>
          <w:p w14:paraId="76A437DC" w14:textId="679E21FB" w:rsidR="00697725" w:rsidRPr="003417B9" w:rsidRDefault="00C50484" w:rsidP="00697725">
            <w:pPr>
              <w:rPr>
                <w:b w:val="0"/>
              </w:rPr>
            </w:pPr>
            <w:r w:rsidRPr="003417B9">
              <w:rPr>
                <w:b w:val="0"/>
              </w:rPr>
              <w:t>Chloramphenicol</w:t>
            </w:r>
          </w:p>
        </w:tc>
        <w:tc>
          <w:tcPr>
            <w:tcW w:w="1758" w:type="dxa"/>
            <w:shd w:val="clear" w:color="auto" w:fill="DEEAF6" w:themeFill="accent5" w:themeFillTint="33"/>
          </w:tcPr>
          <w:p w14:paraId="14FFE797" w14:textId="6E36418A"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Common and long-used antibiotic (bacteriostatic)</w:t>
            </w:r>
          </w:p>
        </w:tc>
        <w:tc>
          <w:tcPr>
            <w:tcW w:w="1538" w:type="dxa"/>
            <w:shd w:val="clear" w:color="auto" w:fill="DEEAF6" w:themeFill="accent5" w:themeFillTint="33"/>
          </w:tcPr>
          <w:p w14:paraId="3864384A" w14:textId="2BFC5365"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Inhibits protein chain elongation via peptidyl transferase</w:t>
            </w:r>
          </w:p>
        </w:tc>
        <w:tc>
          <w:tcPr>
            <w:tcW w:w="1851" w:type="dxa"/>
            <w:shd w:val="clear" w:color="auto" w:fill="DEEAF6" w:themeFill="accent5" w:themeFillTint="33"/>
          </w:tcPr>
          <w:p w14:paraId="77D03DB4" w14:textId="46C2816A"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"10.1016/S0045-6535(98)00560-8", "ISSN" : "0045-6535", "abstract" : "Despite their common use the fate and effects of antibiotics in the environment are largely unknown. These compounds may enter the environment through different pathways, resulting in the contamination of waste water or fresh water, where bacteria are most likely the primarily affected organisms. In this paper the toxicity of several drugs, reflecting the most important groups of antibiotics and chemotherapeutics, towards Vibrio fischeri are presented. The chronic bioluminescence inhibition assay with Vibrio fischeri is shown to be sensitive against many of the high volume antibiotics used for veterinary purposes and in aquaculture. Thus the assay may be a valuable tool for an effects assessment and biomonitoring of these xenobiotics. The available data for both parts of the risk assessment procedure \u2014 exposure assessment and effects assessment \u2014 have to be regarded as insufficient for most antibiotics. When the available data about environmental concentrations of antibiotics are compared with their toxicity towards Vibrio fischeri, direct effects on natural microbial communities are to be expected.", "author" : [ { "dropping-particle" : "", "family" : "Backhaus", "given" : "T.", "non-dropping-particle" : "", "parse-names" : false, "suffix" : "" }, { "dropping-particle" : "", "family" : "Grimme", "given" : "L.H.", "non-dropping-particle" : "", "parse-names" : false, "suffix" : "" } ], "container-title" : "Chemosphere", "id" : "ITEM-1", "issue" : "14", "issued" : { "date-parts" : [ [ "1999", "6", "1" ] ] }, "page" : "3291-3301", "publisher" : "Pergamon", "title" : "The toxicity of antibiotic agents to the luminescent bacterium Vibrio fischeri", "type" : "article-journal", "volume" : "38" }, "uris" : [ "http://www.mendeley.com/documents/?uuid=8096c6bc-6756-37a2-a65b-b8550b405abe" ] }, { "id" : "ITEM-2", "itemData" : { "DOI" : "10.1016/J.CHEMOSPHERE.2008.11.086", "ISSN" : "0045-6535", "abstract" : "Although antibiotics have been used in large quantities for some decades, until recently the existence of these substances in the environment has received little notice. It is only in recent years that a more complex investigation of antibiotic substances has been undertaken in order to permit an assessment of the environmental risks they may pose. Within the last decade an increasing number of studies covering antibiotic input, occurrence, fate and effects have been published, but there is still a lack of understanding and knowledge about antibiotics in the aquatic environment despite the numerous studies performed. This review addresses the present state of knowledge concerning the input, occurrence, fate and effects of antibiotics in the environment. It brings up important questions that are still open, and addresses some significant issues which must be tackled in the future for a better understanding of the behavior of antibiotics in the environment, as well as the risks associated with their occurrence. Questions related to resistance in the environment that may be caused by antibiotics will be addressed in the second part.", "author" : [ { "dropping-particle" : "", "family" : "K\u00fcmmerer", "given" : "Klaus", "non-dropping-particle" : "", "parse-names" : false, "suffix" : "" } ], "container-title" : "Chemosphere", "id" : "ITEM-2", "issue" : "4", "issued" : { "date-parts" : [ [ "2009", "4", "1" ] ] }, "page" : "417-434", "publisher" : "Pergamon", "title" : "Antibiotics in the aquatic environment \u2013 A review \u2013 Part I", "type" : "article-journal", "volume" : "75" }, "uris" : [ "http://www.mendeley.com/documents/?uuid=b06c2a86-462f-3969-be7d-4a1ae8677648" ] } ], "mendeley" : { "formattedCitation" : "(Backhaus and Grimme, 1999; K\u00fcmmerer, 2009)", "plainTextFormattedCitation" : "(Backhaus and Grimme, 1999; K\u00fcmmerer, 2009)", "previouslyFormattedCitation" : "(Backhaus and Grimme, 1999; K\u00fcmmerer, 2009)" }, "properties" : { "noteIndex" : 0 }, "schema" : "https://github.com/citation-style-language/schema/raw/master/csl-citation.json" }</w:instrText>
            </w:r>
            <w:r>
              <w:rPr>
                <w:sz w:val="18"/>
                <w:szCs w:val="18"/>
              </w:rPr>
              <w:fldChar w:fldCharType="separate"/>
            </w:r>
            <w:r w:rsidRPr="00C50484">
              <w:rPr>
                <w:noProof/>
                <w:sz w:val="18"/>
                <w:szCs w:val="18"/>
              </w:rPr>
              <w:t>(Backhaus and Grimme, 1999; Kümmerer, 2009)</w:t>
            </w:r>
            <w:r>
              <w:rPr>
                <w:sz w:val="18"/>
                <w:szCs w:val="18"/>
              </w:rPr>
              <w:fldChar w:fldCharType="end"/>
            </w:r>
          </w:p>
        </w:tc>
        <w:tc>
          <w:tcPr>
            <w:tcW w:w="2167" w:type="dxa"/>
            <w:shd w:val="clear" w:color="auto" w:fill="DEEAF6" w:themeFill="accent5" w:themeFillTint="33"/>
          </w:tcPr>
          <w:p w14:paraId="0ADC25E5" w14:textId="5FA531DB" w:rsidR="00697725" w:rsidRPr="003249C8" w:rsidRDefault="003249C8"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Toxic to </w:t>
            </w:r>
            <w:r w:rsidRPr="003249C8">
              <w:rPr>
                <w:i/>
                <w:sz w:val="18"/>
                <w:szCs w:val="18"/>
              </w:rPr>
              <w:t xml:space="preserve">V. </w:t>
            </w:r>
            <w:proofErr w:type="spellStart"/>
            <w:r w:rsidRPr="003249C8">
              <w:rPr>
                <w:i/>
                <w:sz w:val="18"/>
                <w:szCs w:val="18"/>
              </w:rPr>
              <w:t>fischeri</w:t>
            </w:r>
            <w:proofErr w:type="spellEnd"/>
            <w:r>
              <w:rPr>
                <w:sz w:val="18"/>
                <w:szCs w:val="18"/>
              </w:rPr>
              <w:t xml:space="preserve"> over chronic (24h) exposures</w:t>
            </w:r>
          </w:p>
        </w:tc>
        <w:tc>
          <w:tcPr>
            <w:tcW w:w="1612" w:type="dxa"/>
            <w:shd w:val="clear" w:color="auto" w:fill="DEEAF6" w:themeFill="accent5" w:themeFillTint="33"/>
          </w:tcPr>
          <w:p w14:paraId="30EA18E3" w14:textId="77777777" w:rsidR="00697725" w:rsidRDefault="00D02544" w:rsidP="00697725">
            <w:pPr>
              <w:cnfStyle w:val="000000000000" w:firstRow="0" w:lastRow="0" w:firstColumn="0" w:lastColumn="0" w:oddVBand="0" w:evenVBand="0" w:oddHBand="0" w:evenHBand="0" w:firstRowFirstColumn="0" w:firstRowLastColumn="0" w:lastRowFirstColumn="0" w:lastRowLastColumn="0"/>
              <w:rPr>
                <w:sz w:val="18"/>
                <w:szCs w:val="18"/>
                <w:vertAlign w:val="subscript"/>
              </w:rPr>
            </w:pPr>
            <w:r>
              <w:rPr>
                <w:sz w:val="18"/>
                <w:szCs w:val="18"/>
              </w:rPr>
              <w:t>EC90 – 0.129 mg.l</w:t>
            </w:r>
            <w:r w:rsidRPr="00551CA0">
              <w:rPr>
                <w:sz w:val="18"/>
                <w:szCs w:val="18"/>
                <w:vertAlign w:val="superscript"/>
              </w:rPr>
              <w:t>-1</w:t>
            </w:r>
          </w:p>
          <w:p w14:paraId="33E20C47" w14:textId="73A61A65" w:rsidR="00D02544" w:rsidRDefault="00D02544" w:rsidP="00697725">
            <w:pPr>
              <w:cnfStyle w:val="000000000000" w:firstRow="0" w:lastRow="0" w:firstColumn="0" w:lastColumn="0" w:oddVBand="0" w:evenVBand="0" w:oddHBand="0" w:evenHBand="0" w:firstRowFirstColumn="0" w:firstRowLastColumn="0" w:lastRowFirstColumn="0" w:lastRowLastColumn="0"/>
              <w:rPr>
                <w:sz w:val="18"/>
                <w:szCs w:val="18"/>
                <w:vertAlign w:val="subscript"/>
              </w:rPr>
            </w:pPr>
            <w:r>
              <w:rPr>
                <w:sz w:val="18"/>
                <w:szCs w:val="18"/>
              </w:rPr>
              <w:t>EC50 – 0.064 mg.l</w:t>
            </w:r>
            <w:r w:rsidRPr="00551CA0">
              <w:rPr>
                <w:sz w:val="18"/>
                <w:szCs w:val="18"/>
                <w:vertAlign w:val="superscript"/>
              </w:rPr>
              <w:t>-1</w:t>
            </w:r>
          </w:p>
          <w:p w14:paraId="3AA66D47" w14:textId="77297B26" w:rsidR="00D02544" w:rsidRPr="008639EE" w:rsidRDefault="00D0254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EC90 – 0.019 mg.l</w:t>
            </w:r>
            <w:r w:rsidRPr="00551CA0">
              <w:rPr>
                <w:sz w:val="18"/>
                <w:szCs w:val="18"/>
                <w:vertAlign w:val="superscript"/>
              </w:rPr>
              <w:t>-1</w:t>
            </w:r>
          </w:p>
        </w:tc>
        <w:tc>
          <w:tcPr>
            <w:tcW w:w="1479" w:type="dxa"/>
            <w:shd w:val="clear" w:color="auto" w:fill="DEEAF6" w:themeFill="accent5" w:themeFillTint="33"/>
          </w:tcPr>
          <w:p w14:paraId="1DBB0148" w14:textId="1D2C9C3B" w:rsidR="00697725" w:rsidRPr="00723D99" w:rsidRDefault="00723D99"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Resistance = </w:t>
            </w:r>
            <w:r>
              <w:t xml:space="preserve"> </w:t>
            </w:r>
            <w:r w:rsidRPr="00723D99">
              <w:rPr>
                <w:sz w:val="18"/>
                <w:szCs w:val="18"/>
              </w:rPr>
              <w:t>specific inactivating chloramphenicol acetyltransferase</w:t>
            </w:r>
          </w:p>
        </w:tc>
        <w:tc>
          <w:tcPr>
            <w:tcW w:w="2694" w:type="dxa"/>
            <w:shd w:val="clear" w:color="auto" w:fill="DEEAF6" w:themeFill="accent5" w:themeFillTint="33"/>
          </w:tcPr>
          <w:p w14:paraId="2A2CDB62" w14:textId="32E146CA" w:rsidR="00697725" w:rsidRPr="00E30EF6" w:rsidRDefault="00465193" w:rsidP="00697725">
            <w:pPr>
              <w:cnfStyle w:val="000000000000" w:firstRow="0" w:lastRow="0" w:firstColumn="0" w:lastColumn="0" w:oddVBand="0" w:evenVBand="0" w:oddHBand="0" w:evenHBand="0" w:firstRowFirstColumn="0" w:firstRowLastColumn="0" w:lastRowFirstColumn="0" w:lastRowLastColumn="0"/>
              <w:rPr>
                <w:sz w:val="18"/>
                <w:szCs w:val="18"/>
              </w:rPr>
            </w:pPr>
            <w:r w:rsidRPr="00465193">
              <w:rPr>
                <w:sz w:val="18"/>
                <w:szCs w:val="18"/>
              </w:rPr>
              <w:t>53.8</w:t>
            </w:r>
            <w:r>
              <w:rPr>
                <w:sz w:val="18"/>
                <w:szCs w:val="18"/>
              </w:rPr>
              <w:t xml:space="preserve"> ng.L</w:t>
            </w:r>
            <w:r w:rsidRPr="00465193">
              <w:rPr>
                <w:sz w:val="18"/>
                <w:szCs w:val="18"/>
                <w:vertAlign w:val="superscript"/>
              </w:rPr>
              <w:t>-1</w:t>
            </w:r>
            <w:r>
              <w:rPr>
                <w:sz w:val="18"/>
                <w:szCs w:val="18"/>
                <w:vertAlign w:val="superscript"/>
              </w:rPr>
              <w:t xml:space="preserve"> </w:t>
            </w:r>
            <w:r w:rsidR="00E30EF6">
              <w:rPr>
                <w:sz w:val="18"/>
                <w:szCs w:val="18"/>
                <w:vertAlign w:val="superscript"/>
              </w:rPr>
              <w:fldChar w:fldCharType="begin" w:fldLock="1"/>
            </w:r>
            <w:r w:rsidR="00592DDF">
              <w:rPr>
                <w:sz w:val="18"/>
                <w:szCs w:val="18"/>
                <w:vertAlign w:val="superscript"/>
              </w:rPr>
              <w:instrText>ADDIN CSL_CITATION { "citationItems" : [ { "id" : "ITEM-1", "itemData" : { "DOI" : "10.1897/07-143.1", "ISBN" : "0730-7268 (Print)", "ISSN" : "07307268", "PMID" : "17944547", "abstract" : "We evaluated the occurrence of three antibiotics (roxithromycin, trimethoprim, and chloramphenicol) in surface water and effluents from several sewage treatment plants (STPs) on the Han River, Korea. In addition, standard acute toxicity tests were conducted using the microbe Vibrio fischeri, freshwater macroinvertebrates Daphnia magna and Moina macrocopa, and fish (Oryzias latipes) for these antibiotics. Antibiotics were more frequently detected at higher amounts in effluent samples and in samples collected during the low-flow season. For trimethoprim and chloramphenicol, the levels observed in surface water during low flow were, on average, 108 and 31 ng/L, respectively. These levels were comparable to those measured in the municipal effluents (average, 80 and 37 ng/L, respectively), suggesting the presence of other sources upstream (e.g., livestock wastes). For roxithromycin, surface water levels were approximately an order of magnitude lower than effluent levels. Adverse effects of roxithromycin, trimethoprim, and chloramphenicol were observed at mg/L levels in standard acute aquatic ecotoxicity tests. Based on hazard quotients calculated for the three antibiotics, minimal risks to aquatic systems are suggested. To further increase scientific understanding about the potential impacts of these pharmaceuticals in the environment, however, chronic ecotoxicology studies, with more subtle but ecologically meaningful end points or in combination with other mechanistically related contaminants, may be beneficial.", "author" : [ { "dropping-particle" : "", "family" : "Choi", "given" : "Kyungho", "non-dropping-particle" : "", "parse-names" : false, "suffix" : "" }, { "dropping-particle" : "", "family" : "Kim", "given" : "Younghee", "non-dropping-particle" : "", "parse-names" : false, "suffix" : "" }, { "dropping-particle" : "", "family" : "Jung", "given" : "Jinyong", "non-dropping-particle" : "", "parse-names" : false, "suffix" : "" }, { "dropping-particle" : "", "family" : "Kim", "given" : "Myung Hyun", "non-dropping-particle" : "", "parse-names" : false, "suffix" : "" }, { "dropping-particle" : "", "family" : "Kim", "given" : "Chang Soo", "non-dropping-particle" : "", "parse-names" : false, "suffix" : "" }, { "dropping-particle" : "", "family" : "Kim", "given" : "Nam Hee", "non-dropping-particle" : "", "parse-names" : false, "suffix" : "" }, { "dropping-particle" : "", "family" : "Park", "given" : "Jeongim", "non-dropping-particle" : "", "parse-names" : false, "suffix" : "" } ], "container-title" : "Environmental Toxicology and Chemistry", "id" : "ITEM-1", "issue" : "3", "issued" : { "date-parts" : [ [ "2008" ] ] }, "page" : "711-719", "title" : "Occurrences and ecological risks of roxithromycin, trimethoprim, and chloramphenicol in the Han River, Korea", "type" : "article-journal", "volume" : "27" }, "uris" : [ "http://www.mendeley.com/documents/?uuid=98d10328-fcaa-4885-99a2-aefcf53d9a1f" ] } ], "mendeley" : { "formattedCitation" : "(Choi &lt;i&gt;et al.&lt;/i&gt;, 2008)", "plainTextFormattedCitation" : "(Choi et al., 2008)", "previouslyFormattedCitation" : "(Choi &lt;i&gt;et al.&lt;/i&gt;, 2008)" }, "properties" : { "noteIndex" : 0 }, "schema" : "https://github.com/citation-style-language/schema/raw/master/csl-citation.json" }</w:instrText>
            </w:r>
            <w:r w:rsidR="00E30EF6">
              <w:rPr>
                <w:sz w:val="18"/>
                <w:szCs w:val="18"/>
                <w:vertAlign w:val="superscript"/>
              </w:rPr>
              <w:fldChar w:fldCharType="separate"/>
            </w:r>
            <w:r w:rsidR="00E30EF6" w:rsidRPr="00E30EF6">
              <w:rPr>
                <w:noProof/>
                <w:sz w:val="18"/>
                <w:szCs w:val="18"/>
              </w:rPr>
              <w:t xml:space="preserve">(Choi </w:t>
            </w:r>
            <w:r w:rsidR="00E30EF6" w:rsidRPr="00E30EF6">
              <w:rPr>
                <w:i/>
                <w:noProof/>
                <w:sz w:val="18"/>
                <w:szCs w:val="18"/>
              </w:rPr>
              <w:t>et al.</w:t>
            </w:r>
            <w:r w:rsidR="00E30EF6" w:rsidRPr="00E30EF6">
              <w:rPr>
                <w:noProof/>
                <w:sz w:val="18"/>
                <w:szCs w:val="18"/>
              </w:rPr>
              <w:t>, 2008)</w:t>
            </w:r>
            <w:r w:rsidR="00E30EF6">
              <w:rPr>
                <w:sz w:val="18"/>
                <w:szCs w:val="18"/>
                <w:vertAlign w:val="superscript"/>
              </w:rPr>
              <w:fldChar w:fldCharType="end"/>
            </w:r>
            <w:r w:rsidR="00E30EF6">
              <w:rPr>
                <w:sz w:val="18"/>
                <w:szCs w:val="18"/>
              </w:rPr>
              <w:t xml:space="preserve"> (a high measure in the Han River, Korea)</w:t>
            </w:r>
          </w:p>
        </w:tc>
      </w:tr>
      <w:tr w:rsidR="00D677B2" w14:paraId="2AB173C4" w14:textId="77777777" w:rsidTr="006E0C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8" w:type="dxa"/>
            <w:shd w:val="clear" w:color="auto" w:fill="DEEAF6" w:themeFill="accent5" w:themeFillTint="33"/>
          </w:tcPr>
          <w:p w14:paraId="78D4B5A1" w14:textId="2DF5E195" w:rsidR="00BA4812" w:rsidRPr="003417B9" w:rsidRDefault="00BA4812" w:rsidP="00BA4812">
            <w:pPr>
              <w:rPr>
                <w:b w:val="0"/>
              </w:rPr>
            </w:pPr>
            <w:r w:rsidRPr="003417B9">
              <w:rPr>
                <w:b w:val="0"/>
              </w:rPr>
              <w:t>Amoxycillin</w:t>
            </w:r>
          </w:p>
        </w:tc>
        <w:tc>
          <w:tcPr>
            <w:tcW w:w="1758" w:type="dxa"/>
            <w:shd w:val="clear" w:color="auto" w:fill="DEEAF6" w:themeFill="accent5" w:themeFillTint="33"/>
          </w:tcPr>
          <w:p w14:paraId="1348C8AB" w14:textId="4CDBE7AC"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Common antibiotic</w:t>
            </w:r>
          </w:p>
        </w:tc>
        <w:tc>
          <w:tcPr>
            <w:tcW w:w="1538" w:type="dxa"/>
            <w:shd w:val="clear" w:color="auto" w:fill="DEEAF6" w:themeFill="accent5" w:themeFillTint="33"/>
          </w:tcPr>
          <w:p w14:paraId="6A47003D" w14:textId="2B538375"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Beta-lactam inhibition?</w:t>
            </w:r>
          </w:p>
        </w:tc>
        <w:tc>
          <w:tcPr>
            <w:tcW w:w="1851" w:type="dxa"/>
            <w:shd w:val="clear" w:color="auto" w:fill="DEEAF6" w:themeFill="accent5" w:themeFillTint="33"/>
          </w:tcPr>
          <w:p w14:paraId="40E1263C" w14:textId="44819C71"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"10.1016/j.marpolbul.2004.10.038", "ISBN" : "0025-326X", "ISSN" : "0025326X", "PMID" : "15757723", "abstract" : "Awareness of antibiotics in wastewaters and aquatic ecosystems is growing as investigations into alternate pollutants increase and analytical techniques for detecting these chemicals improve. The presence of three antibiotics (ciprofloxacin, norfloxacin and cephalexin) was evaluated in both sewage effluent and environmental waters downstream from a sewage discharge. Bacteria cultured from the sewage bioreactor and receiving waters were tested for resistance against six antibiotics (ciprofloxacin, tetracycline, ampicillin, trimethoprim, erythromycin and trimethoprim/sulphamethoxazole) and effects of short term exposure (24 h) to antibiotics on bacterial denitrification rates were examined. Antibiotics were detected entering the sewage treatment plant with varying levels of removal during the treatment process. Antibiotics were also detected in effluent entering receiving waters and detectable 500 m from the source. Among the bacteria cultured from the sewage bioreactor, resistance was displayed against all six antibiotics tested and bacteria cultured from receiving waters were resistant against two of the antibiotics tested. Rates of denitrification were observed to decrease in response to some antibiotics and not to others, though this was only observed at concentrations exceeding those likely to be found in the environment. Findings from this preliminary research have indicated that antibiotics are entering our aquatic systems and pose a potential threat to ecosystem function and potentially human health. \u00a9 2004 Elsevier Ltd. All rights reserved.", "author" : [ { "dropping-particle" : "", "family" : "Costanzo", "given" : "Simon D.", "non-dropping-particle" : "", "parse-names" : false, "suffix" : "" }, { "dropping-particle" : "", "family" : "Murby", "given" : "John", "non-dropping-particle" : "", "parse-names" : false, "suffix" : "" }, { "dropping-particle" : "", "family" : "Bates", "given" : "John", "non-dropping-particle" : "", "parse-names" : false, "suffix" : "" } ], "container-title" : "Marine Pollution Bulletin", "id" : "ITEM-1", "issue" : "1-4", "issued" : { "date-parts" : [ [ "2005", "1", "1" ] ] }, "page" : "218-223", "publisher" : "Pergamon", "title" : "Ecosystem response to antibiotics entering the aquatic environment", "type" : "paper-conference", "volume" : "51" }, "uris" : [ "http://www.mendeley.com/documents/?uuid=7ba76c62-75db-3a70-89c8-154bbb41ceb9" ] } ], "mendeley" : { "formattedCitation" : "(Costanzo, Murby and Bates, 2005)", "plainTextFormattedCitation" : "(Costanzo, Murby and Bates, 2005)", "previouslyFormattedCitation" : "(Costanzo, Murby and Bates, 2005)" }, "properties" : { "noteIndex" : 0 }, "schema" : "https://github.com/citation-style-language/schema/raw/master/csl-citation.json" }</w:instrText>
            </w:r>
            <w:r>
              <w:rPr>
                <w:sz w:val="18"/>
                <w:szCs w:val="18"/>
              </w:rPr>
              <w:fldChar w:fldCharType="separate"/>
            </w:r>
            <w:r w:rsidRPr="00B14AAC">
              <w:rPr>
                <w:noProof/>
                <w:sz w:val="18"/>
                <w:szCs w:val="18"/>
              </w:rPr>
              <w:t>(Costanzo, Murby and Bates, 2005)</w:t>
            </w:r>
            <w:r>
              <w:rPr>
                <w:sz w:val="18"/>
                <w:szCs w:val="18"/>
              </w:rPr>
              <w:fldChar w:fldCharType="end"/>
            </w:r>
          </w:p>
        </w:tc>
        <w:tc>
          <w:tcPr>
            <w:tcW w:w="2167" w:type="dxa"/>
            <w:shd w:val="clear" w:color="auto" w:fill="DEEAF6" w:themeFill="accent5" w:themeFillTint="33"/>
          </w:tcPr>
          <w:p w14:paraId="1884B23A" w14:textId="5F54C985"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evidence of resistance in sewerage or stream bacteria</w:t>
            </w:r>
          </w:p>
        </w:tc>
        <w:tc>
          <w:tcPr>
            <w:tcW w:w="1612" w:type="dxa"/>
            <w:shd w:val="clear" w:color="auto" w:fill="DEEAF6" w:themeFill="accent5" w:themeFillTint="33"/>
          </w:tcPr>
          <w:p w14:paraId="35B61A29" w14:textId="52C3E6EE"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Significant drop in mean denitrification rates (33%) by bacteria @ 1mg.l</w:t>
            </w:r>
            <w:r w:rsidRPr="00C64BB1">
              <w:rPr>
                <w:sz w:val="18"/>
                <w:szCs w:val="18"/>
                <w:vertAlign w:val="superscript"/>
              </w:rPr>
              <w:t>-1</w:t>
            </w:r>
          </w:p>
        </w:tc>
        <w:tc>
          <w:tcPr>
            <w:tcW w:w="1479" w:type="dxa"/>
            <w:shd w:val="clear" w:color="auto" w:fill="DEEAF6" w:themeFill="accent5" w:themeFillTint="33"/>
          </w:tcPr>
          <w:p w14:paraId="26166E7D" w14:textId="1B6F5413" w:rsidR="00BA4812" w:rsidRDefault="00723D99"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Resistance generally =  </w:t>
            </w:r>
            <w:r w:rsidRPr="00723D99">
              <w:rPr>
                <w:sz w:val="18"/>
                <w:szCs w:val="18"/>
              </w:rPr>
              <w:t>Beta-Lactamase production</w:t>
            </w:r>
            <w:r>
              <w:rPr>
                <w:sz w:val="18"/>
                <w:szCs w:val="18"/>
              </w:rPr>
              <w:t>, sometimes efflux</w:t>
            </w:r>
          </w:p>
        </w:tc>
        <w:tc>
          <w:tcPr>
            <w:tcW w:w="2694" w:type="dxa"/>
            <w:shd w:val="clear" w:color="auto" w:fill="DEEAF6" w:themeFill="accent5" w:themeFillTint="33"/>
          </w:tcPr>
          <w:p w14:paraId="459971D9" w14:textId="7C249DFD" w:rsidR="00BA4812" w:rsidRDefault="00B172C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~120 ng.l</w:t>
            </w:r>
            <w:r w:rsidRPr="00B172C2">
              <w:rPr>
                <w:sz w:val="18"/>
                <w:szCs w:val="18"/>
                <w:vertAlign w:val="superscript"/>
              </w:rPr>
              <w:t>-1</w:t>
            </w:r>
            <w:r w:rsidR="00E038A2">
              <w:rPr>
                <w:sz w:val="18"/>
                <w:szCs w:val="18"/>
                <w:vertAlign w:val="subscript"/>
              </w:rPr>
              <w:t xml:space="preserve"> </w:t>
            </w:r>
            <w:r>
              <w:rPr>
                <w:sz w:val="18"/>
                <w:szCs w:val="18"/>
              </w:rPr>
              <w:t xml:space="preserve"> </w:t>
            </w:r>
            <w:r>
              <w:rPr>
                <w:sz w:val="18"/>
                <w:szCs w:val="18"/>
              </w:rPr>
              <w:fldChar w:fldCharType="begin" w:fldLock="1"/>
            </w:r>
            <w:r w:rsidR="00E30EF6">
              <w:rPr>
                <w:sz w:val="18"/>
                <w:szCs w:val="18"/>
              </w:rPr>
              <w:instrText>ADDIN CSL_CITATION { "citationItems" : [ { "id" : "ITEM-1", "itemData" : { "DOI" : "10.1021/es049509a", "ISBN" : "0013-936X", "ISSN" : "0013936X", "PMID" : "15669346", "abstract" : "Amoxicillin is a widely used penicillin-like antibiotic, and due to its presence in several effluents of ItalianSTPs, its environmental fate along with its toxicity toward simple organisms have been investigated in model conditions. The present study shows that under abiotic conditions both hydrolysis and direct photolysis could be responsible for the transformation and removal of amoxicillin in aquatic environment, especially in slightly basic media. Quantum yields for the solar direct photolysis have been calculated along with kinetic constants and half-life times. Indirect photolysis experiments in the presence of natural photosensitizers such as nitrate ions and humic acids indicate that nitrate ions have no influence on the photodegradation rate of amoxicillin, while humic acids are able to enhance it. Standard batch experiments have been also performed under biotic conditions. The results indicated that also biodegradation on activated sludge is an effective pathway through which amoxicillin can be removed from the aquatic environment. Rate constants for biodegradation and adsorption have been calculated by applying simple pseudo-first-order kinetic models. Algal bioassays indicate that, in the range of concentrations from 50 ng/L to 50 mg/L, amoxicillin is not toxic toward eucariotic organisms such as the Chlorophyceae Pseudokirkneriella subcapitata and Closterium ehrenbergii and the Bacillariophyceae Cyclotella meneghiniana, but it shows a marked toxicity toward the Cyanophyta Synechococcus leopolensis. Amoxicillin is a widely used penicillin-like antibiotic, and due to its presence in several effluents of ItalianSTPs, its environmental fate along with its toxicity toward simple organisms have been investigated in model conditions. The present study shows that under abiotic conditions both hydrolysis and direct photolysis could be responsible for the transformation and removal of amoxicillin in aquatic environment, especially in slightly basic media. Quantum yields for the solar direct photolysis have been calculated along with kinetic constants and half-life times. Indirect photolysis experiments in the presence of natural photosensitizers such as nitrate ions and humic acids indicate that nitrate ions have no influence on the photodegradation rate of amoxicillin, while humic acids are able to enhance it. Standard batch experiments have been also performed under biotic conditions. The results indicated that also biodegradation on activated slud\u2026", "author" : [ { "dropping-particle" : "", "family" : "Andreozzi", "given" : "Roberto", "non-dropping-particle" : "", "parse-names" : false, "suffix" : "" }, { "dropping-particle" : "", "family" : "Caprio", "given" : "Vincenzo", "non-dropping-particle" : "", "parse-names" : false, "suffix" : "" }, { "dropping-particle" : "", "family" : "Ciniglia", "given" : "Claudia", "non-dropping-particle" : "", "parse-names" : false, "suffix" : "" }, { "dropping-particle" : "", "family" : "Champdor??", "given" : "Marcella", "non-dropping-particle" : "De", "parse-names" : false, "suffix" : "" }, { "dropping-particle" : "", "family" : "Giudice", "given" : "Roberto", "non-dropping-particle" : "Lo", "parse-names" : false, "suffix" : "" }, { "dropping-particle" : "", "family" : "Marotta", "given" : "Raffaele", "non-dropping-particle" : "", "parse-names" : false, "suffix" : "" }, { "dropping-particle" : "", "family" : "Zuccato", "given" : "Ettore", "non-dropping-particle" : "", "parse-names" : false, "suffix" : "" } ], "container-title" : "Environmental Science and Technology", "id" : "ITEM-1", "issue" : "24", "issued" : { "date-parts" : [ [ "2004" ] ] }, "page" : "6832-6838", "title" : "Antibiotics in the environment: Occurrence in Italian STPs, fate, and preliminary assessment on algal toxicity of amoxicillin", "type" : "article-journal", "volume" : "38" }, "uris" : [ "http://www.mendeley.com/documents/?uuid=578fe39d-c578-49ae-aed8-98e922f8d30a" ] } ], "mendeley" : { "formattedCitation" : "(Andreozzi &lt;i&gt;et al.&lt;/i&gt;, 2004)", "plainTextFormattedCitation" : "(Andreozzi et al., 2004)", "previouslyFormattedCitation" : "(Andreozzi &lt;i&gt;et al.&lt;/i&gt;, 2004)" }, "properties" : { "noteIndex" : 0 }, "schema" : "https://github.com/citation-style-language/schema/raw/master/csl-citation.json" }</w:instrText>
            </w:r>
            <w:r>
              <w:rPr>
                <w:sz w:val="18"/>
                <w:szCs w:val="18"/>
              </w:rPr>
              <w:fldChar w:fldCharType="separate"/>
            </w:r>
            <w:r w:rsidRPr="00B172C2">
              <w:rPr>
                <w:noProof/>
                <w:sz w:val="18"/>
                <w:szCs w:val="18"/>
              </w:rPr>
              <w:t xml:space="preserve">(Andreozzi </w:t>
            </w:r>
            <w:r w:rsidRPr="00B172C2">
              <w:rPr>
                <w:i/>
                <w:noProof/>
                <w:sz w:val="18"/>
                <w:szCs w:val="18"/>
              </w:rPr>
              <w:t>et al.</w:t>
            </w:r>
            <w:r w:rsidRPr="00B172C2">
              <w:rPr>
                <w:noProof/>
                <w:sz w:val="18"/>
                <w:szCs w:val="18"/>
              </w:rPr>
              <w:t>, 2004)</w:t>
            </w:r>
            <w:r>
              <w:rPr>
                <w:sz w:val="18"/>
                <w:szCs w:val="18"/>
              </w:rPr>
              <w:fldChar w:fldCharType="end"/>
            </w:r>
            <w:r>
              <w:rPr>
                <w:sz w:val="18"/>
                <w:szCs w:val="18"/>
              </w:rPr>
              <w:t xml:space="preserve"> </w:t>
            </w:r>
            <w:r w:rsidR="00E038A2">
              <w:rPr>
                <w:sz w:val="18"/>
                <w:szCs w:val="18"/>
              </w:rPr>
              <w:t>(a high measure, in Italy, in 2004…)</w:t>
            </w:r>
          </w:p>
        </w:tc>
      </w:tr>
      <w:tr w:rsidR="0061480A" w14:paraId="0AD8B917" w14:textId="77777777" w:rsidTr="003417B9">
        <w:trPr>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FBE4D5" w:themeFill="accent2" w:themeFillTint="33"/>
          </w:tcPr>
          <w:p w14:paraId="499C4390" w14:textId="15BD1345" w:rsidR="0061480A" w:rsidRDefault="0061480A" w:rsidP="00E3314C">
            <w:pPr>
              <w:rPr>
                <w:sz w:val="18"/>
                <w:szCs w:val="18"/>
              </w:rPr>
            </w:pPr>
            <w:r>
              <w:t>Pesticides</w:t>
            </w:r>
          </w:p>
        </w:tc>
      </w:tr>
      <w:tr w:rsidR="006E0CB6" w14:paraId="22303916" w14:textId="77777777" w:rsidTr="006E0CB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8" w:type="dxa"/>
            <w:shd w:val="clear" w:color="auto" w:fill="FBE4D5" w:themeFill="accent2" w:themeFillTint="33"/>
          </w:tcPr>
          <w:p w14:paraId="4BB0BAFB" w14:textId="0F935CD4" w:rsidR="006E0CB6" w:rsidRPr="003417B9" w:rsidRDefault="006E0CB6" w:rsidP="006E0CB6">
            <w:pPr>
              <w:rPr>
                <w:b w:val="0"/>
              </w:rPr>
            </w:pPr>
            <w:r w:rsidRPr="003417B9">
              <w:rPr>
                <w:b w:val="0"/>
              </w:rPr>
              <w:t>Atrazine</w:t>
            </w:r>
            <w:r>
              <w:rPr>
                <w:b w:val="0"/>
              </w:rPr>
              <w:t xml:space="preserve"> </w:t>
            </w:r>
          </w:p>
        </w:tc>
        <w:tc>
          <w:tcPr>
            <w:tcW w:w="1758" w:type="dxa"/>
            <w:shd w:val="clear" w:color="auto" w:fill="FBE4D5" w:themeFill="accent2" w:themeFillTint="33"/>
          </w:tcPr>
          <w:p w14:paraId="56021948" w14:textId="5532FB29" w:rsidR="006E0CB6" w:rsidRPr="008639EE"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 most commonly used herbicide</w:t>
            </w:r>
          </w:p>
        </w:tc>
        <w:tc>
          <w:tcPr>
            <w:tcW w:w="1538" w:type="dxa"/>
            <w:shd w:val="clear" w:color="auto" w:fill="FBE4D5" w:themeFill="accent2" w:themeFillTint="33"/>
          </w:tcPr>
          <w:p w14:paraId="2990C0CA" w14:textId="12BCD895" w:rsidR="006E0CB6"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Photosystem inhibition, endocrine disruptor?</w:t>
            </w:r>
          </w:p>
        </w:tc>
        <w:tc>
          <w:tcPr>
            <w:tcW w:w="1851" w:type="dxa"/>
            <w:shd w:val="clear" w:color="auto" w:fill="FBE4D5" w:themeFill="accent2" w:themeFillTint="33"/>
          </w:tcPr>
          <w:p w14:paraId="3140D2DC" w14:textId="71CD75C9" w:rsidR="006E0CB6" w:rsidRPr="008639EE"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"10.1007/s00128-008-9517-3", "ISSN" : "0007-4861", "author" : [ { "dropping-particle" : "", "family" : "Palma", "given" : "P.", "non-dropping-particle" : "", "parse-names" : false, "suffix" : "" }, { "dropping-particle" : "", "family" : "Palma", "given" : "V. L.", "non-dropping-particle" : "", "parse-names" : false, "suffix" : "" }, { "dropping-particle" : "", "family" : "Fernandes", "given" : "R. M.", "non-dropping-particle" : "", "parse-names" : false, "suffix" : "" }, { "dropping-particle" : "", "family" : "Soares", "given" : "A. M. V. M.", "non-dropping-particle" : "", "parse-names" : false, "suffix" : "" }, { "dropping-particle" : "", "family" : "Barbosa", "given" : "I. R.", "non-dropping-particle" : "", "parse-names" : false, "suffix" : "" } ], "container-title" : "Bulletin of Environmental Contamination and Toxicology", "id" : "ITEM-1", "issue" : "5", "issued" : { "date-parts" : [ [ "2008", "11", "8" ] ] }, "page" : "485-489", "publisher" : "Springer-Verlag", "title" : "Acute Toxicity of Atrazine, Endosulfan Sulphate and Chlorpyrifos to Vibrio fischeri, Thamnocephalus platyurus and Daphnia magna, Relative to Their Concentrations in Surface Waters from the Alentejo Region of Portugal", "type" : "article-journal", "volume" : "81" }, "uris" : [ "http://www.mendeley.com/documents/?uuid=0cda6edf-b55b-3f0e-b066-deea51896c3e" ] } ], "mendeley" : { "formattedCitation" : "(Palma &lt;i&gt;et al.&lt;/i&gt;, 2008)", "plainTextFormattedCitation" : "(Palma et al., 2008)", "previouslyFormattedCitation" : "(Palma &lt;i&gt;et al.&lt;/i&gt;, 2008)" }, "properties" : { "noteIndex" : 0 }, "schema" : "https://github.com/citation-style-language/schema/raw/master/csl-citation.json" }</w:instrText>
            </w:r>
            <w:r>
              <w:rPr>
                <w:sz w:val="18"/>
                <w:szCs w:val="18"/>
              </w:rPr>
              <w:fldChar w:fldCharType="separate"/>
            </w:r>
            <w:r w:rsidRPr="00F41098">
              <w:rPr>
                <w:noProof/>
                <w:sz w:val="18"/>
                <w:szCs w:val="18"/>
              </w:rPr>
              <w:t xml:space="preserve">(Palma </w:t>
            </w:r>
            <w:r w:rsidRPr="00F41098">
              <w:rPr>
                <w:i/>
                <w:noProof/>
                <w:sz w:val="18"/>
                <w:szCs w:val="18"/>
              </w:rPr>
              <w:t>et al.</w:t>
            </w:r>
            <w:r w:rsidRPr="00F41098">
              <w:rPr>
                <w:noProof/>
                <w:sz w:val="18"/>
                <w:szCs w:val="18"/>
              </w:rPr>
              <w:t>, 2008)</w:t>
            </w:r>
            <w:r>
              <w:rPr>
                <w:sz w:val="18"/>
                <w:szCs w:val="18"/>
              </w:rPr>
              <w:fldChar w:fldCharType="end"/>
            </w:r>
          </w:p>
        </w:tc>
        <w:tc>
          <w:tcPr>
            <w:tcW w:w="2167" w:type="dxa"/>
            <w:shd w:val="clear" w:color="auto" w:fill="FBE4D5" w:themeFill="accent2" w:themeFillTint="33"/>
          </w:tcPr>
          <w:p w14:paraId="1EE614B8" w14:textId="34FFFCF9" w:rsidR="006E0CB6" w:rsidRPr="008639EE"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30 minutes</w:t>
            </w:r>
          </w:p>
        </w:tc>
        <w:tc>
          <w:tcPr>
            <w:tcW w:w="1612" w:type="dxa"/>
            <w:shd w:val="clear" w:color="auto" w:fill="FBE4D5" w:themeFill="accent2" w:themeFillTint="33"/>
          </w:tcPr>
          <w:p w14:paraId="0A4BEDAB" w14:textId="77777777" w:rsidR="006E0CB6" w:rsidRDefault="006E0CB6" w:rsidP="006E0CB6">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EC50 – 69.4 mg.l</w:t>
            </w:r>
            <w:r w:rsidRPr="00DA7035">
              <w:rPr>
                <w:sz w:val="18"/>
                <w:szCs w:val="18"/>
                <w:vertAlign w:val="superscript"/>
              </w:rPr>
              <w:t>-1</w:t>
            </w:r>
          </w:p>
          <w:p w14:paraId="7BB5A5AA" w14:textId="1DE968DA" w:rsidR="006E0CB6" w:rsidRPr="008639EE"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Another source: 39.9 mg.l</w:t>
            </w:r>
            <w:r w:rsidRPr="00DA7035">
              <w:rPr>
                <w:sz w:val="18"/>
                <w:szCs w:val="18"/>
                <w:vertAlign w:val="superscript"/>
              </w:rPr>
              <w:t>-1</w:t>
            </w:r>
          </w:p>
        </w:tc>
        <w:tc>
          <w:tcPr>
            <w:tcW w:w="1479" w:type="dxa"/>
            <w:shd w:val="clear" w:color="auto" w:fill="FBE4D5" w:themeFill="accent2" w:themeFillTint="33"/>
          </w:tcPr>
          <w:p w14:paraId="02A16E43" w14:textId="20AE1779" w:rsidR="006E0CB6" w:rsidRPr="008639EE" w:rsidRDefault="006E0CB6"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Synthetic freshwater</w:t>
            </w:r>
          </w:p>
        </w:tc>
        <w:tc>
          <w:tcPr>
            <w:tcW w:w="2694" w:type="dxa"/>
            <w:shd w:val="clear" w:color="auto" w:fill="FBE4D5" w:themeFill="accent2" w:themeFillTint="33"/>
          </w:tcPr>
          <w:p w14:paraId="3B3D3B57" w14:textId="0CCEEA63" w:rsidR="006E0CB6" w:rsidRDefault="00593B6C"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253 ng/L </w:t>
            </w:r>
            <w:r w:rsidR="00592DDF">
              <w:rPr>
                <w:sz w:val="18"/>
                <w:szCs w:val="18"/>
              </w:rPr>
              <w:fldChar w:fldCharType="begin" w:fldLock="1"/>
            </w:r>
            <w:r w:rsidR="00785F6B">
              <w:rPr>
                <w:sz w:val="18"/>
                <w:szCs w:val="18"/>
              </w:rPr>
              <w:instrText>ADDIN CSL_CITATION { "citationItems" : [ { "id" : "ITEM-1", "itemData" : { "DOI" : "10.1016/j.watres.2010.05.032", "ISBN" : "1879-2448 (Electronic)\\r0043-1354 (Linking)", "ISSN" : "00431354", "PMID" : "20554303", "abstract" : "This study provides the first pan-European reconnaissance of the occurrence of polar organic persistent pollutants in European ground water. In total, 164 individual ground-water samples from 23 European Countries were collected and analysed (among others) for 59 selected organic compounds, comprising pharmaceuticals, antibiotics, pesticides (and their transformation products), perfluorinated acids (PFAs), benzotriazoles, hormones, alkylphenolics (endocrine disrupters), Caffeine, Diethyltoluamide (DEET), and Triclosan. The most relevant compounds in terms of frequency of detection and maximum concentrations detected were DEET (84%; 454 ng/L), Caffeine (83%; 189 ng/L), PFOA (66%; 39 ng/L), Atrazine (56%; 253 ng/L), Desethylatrazine (55%; 487 ng/L), 1H-Benzotriazole (53%; 1032 ng/L), Methylbenzotriazole (52%; 516 ng/L), Desethylterbutylazine (49%; 266 ng/L), PFOS (48%, 135 ng/L), Simazine (43%; 127 ng/L), Carbamazepine (42%; 390 ng/L), nonylphenoxy acetic acid (NPE1C) (42%; 11 \u03bcg/L), Bisphenol A (40%; 2.3 \u03bcg/L), PFHxS (35%; 19 ng/L), Terbutylazine (34%; 716 ng/L), Bentazone (32%; 11 \u03bcg/L), Propazine (32%; 25 ng/L), PFHpA (30%; 21 ng/L), 2,4-Dinitrophenol (29%; 122 ng/L), Diuron (29%; 279 ng/L), and Sulfamethoxazole (24%; 38 ng/L). The chemicals which were detected most frequently above the European ground water quality standard for pesticides of 0.1 \u03bcg/L were Chloridazon-desphenyl (26 samples), NPE1C (20), Bisphenol A (12), Benzotriazole (8), N,N'-Dimethylsulfamid (DMS) (8), Desethylatrazine (6), Nonylphenol (6), Chloridazon-methyldesphenyl (6), Methylbenzotriazole (5), Carbamazepine (4), and Bentazone (4). However, only 1.7% of all single analytical measurements (in total \u0302 8000) were above this threshold value of 0.1 \u03bcg/L; 7.3% were &gt; than 10 ng/L. \u00a9 2010 Elsevier Ltd.", "author" : [ { "dropping-particle" : "", "family" : "Loos", "given" : "Robert", "non-dropping-particle" : "", "parse-names" : false, "suffix" : "" }, { "dropping-particle" : "", "family" : "Locoro", "given" : "Giovanni", "non-dropping-particle" : "", "parse-names" : false, "suffix" : "" }, { "dropping-particle" : "", "family" : "Comero", "given" : "Sara", "non-dropping-particle" : "", "parse-names" : false, "suffix" : "" }, { "dropping-particle" : "", "family" : "Contini", "given" : "Serafino", "non-dropping-particle" : "", "parse-names" : false, "suffix" : "" }, { "dropping-particle" : "", "family" : "Schwesig", "given" : "David", "non-dropping-particle" : "", "parse-names" : false, "suffix" : "" }, { "dropping-particle" : "", "family" : "Werres", "given" : "Friedrich", "non-dropping-particle" : "", "parse-names" : false, "suffix" : "" }, { "dropping-particle" : "", "family" : "Balsaa", "given" : "Peter", "non-dropping-particle" : "", "parse-names" : false, "suffix" : "" }, { "dropping-particle" : "", "family" : "Gans", "given" : "Oliver", "non-dropping-particle" : "", "parse-names" : false, "suffix" : "" }, { "dropping-particle" : "", "family" : "Weiss", "given" : "Stefan", "non-dropping-particle" : "", "parse-names" : false, "suffix" : "" }, { "dropping-particle" : "", "family" : "Blaha", "given" : "Ludek", "non-dropping-particle" : "", "parse-names" : false, "suffix" : "" }, { "dropping-particle" : "", "family" : "Bolchi", "given" : "Monica", "non-dropping-particle" : "", "parse-names" : false, "suffix" : "" }, { "dropping-particle" : "", "family" : "Gawlik", "given" : "Bernd Manfred", "non-dropping-particle" : "", "parse-names" : false, "suffix" : "" } ], "container-title" : "Water Research", "id" : "ITEM-1", "issue" : "14", "issued" : { "date-parts" : [ [ "2010" ] ] }, "page" : "4115-4126", "publisher" : "Elsevier Ltd", "title" : "Pan-European survey on the occurrence of selected polar organic persistent pollutants in ground water", "type" : "article-journal", "volume" : "44" }, "uris" : [ "http://www.mendeley.com/documents/?uuid=13b22a0e-007e-4ad1-a78a-e49e0ffe45d3" ] } ], "mendeley" : { "formattedCitation" : "(Loos &lt;i&gt;et al.&lt;/i&gt;, 2010)", "plainTextFormattedCitation" : "(Loos et al., 2010)", "previouslyFormattedCitation" : "(Loos &lt;i&gt;et al.&lt;/i&gt;, 2010)" }, "properties" : { "noteIndex" : 0 }, "schema" : "https://github.com/citation-style-language/schema/raw/master/csl-citation.json" }</w:instrText>
            </w:r>
            <w:r w:rsidR="00592DDF">
              <w:rPr>
                <w:sz w:val="18"/>
                <w:szCs w:val="18"/>
              </w:rPr>
              <w:fldChar w:fldCharType="separate"/>
            </w:r>
            <w:r w:rsidR="00592DDF" w:rsidRPr="00592DDF">
              <w:rPr>
                <w:noProof/>
                <w:sz w:val="18"/>
                <w:szCs w:val="18"/>
              </w:rPr>
              <w:t xml:space="preserve">(Loos </w:t>
            </w:r>
            <w:r w:rsidR="00592DDF" w:rsidRPr="00592DDF">
              <w:rPr>
                <w:i/>
                <w:noProof/>
                <w:sz w:val="18"/>
                <w:szCs w:val="18"/>
              </w:rPr>
              <w:t>et al.</w:t>
            </w:r>
            <w:r w:rsidR="00592DDF" w:rsidRPr="00592DDF">
              <w:rPr>
                <w:noProof/>
                <w:sz w:val="18"/>
                <w:szCs w:val="18"/>
              </w:rPr>
              <w:t>, 2010)</w:t>
            </w:r>
            <w:r w:rsidR="00592DDF">
              <w:rPr>
                <w:sz w:val="18"/>
                <w:szCs w:val="18"/>
              </w:rPr>
              <w:fldChar w:fldCharType="end"/>
            </w:r>
          </w:p>
          <w:p w14:paraId="060FAB6D" w14:textId="71484311" w:rsidR="00592DDF" w:rsidRPr="00C46368" w:rsidRDefault="00592DDF" w:rsidP="006E0C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EU peak groundwater concentration</w:t>
            </w:r>
          </w:p>
        </w:tc>
      </w:tr>
      <w:tr w:rsidR="00D677B2" w14:paraId="53C4F959" w14:textId="77777777" w:rsidTr="006E0CB6">
        <w:trPr>
          <w:trHeight w:val="270"/>
        </w:trPr>
        <w:tc>
          <w:tcPr>
            <w:cnfStyle w:val="001000000000" w:firstRow="0" w:lastRow="0" w:firstColumn="1" w:lastColumn="0" w:oddVBand="0" w:evenVBand="0" w:oddHBand="0" w:evenHBand="0" w:firstRowFirstColumn="0" w:firstRowLastColumn="0" w:lastRowFirstColumn="0" w:lastRowLastColumn="0"/>
            <w:tcW w:w="1978" w:type="dxa"/>
            <w:shd w:val="clear" w:color="auto" w:fill="FBE4D5" w:themeFill="accent2" w:themeFillTint="33"/>
          </w:tcPr>
          <w:p w14:paraId="01CB79F8" w14:textId="706424B6" w:rsidR="00E3314C" w:rsidRPr="003417B9" w:rsidRDefault="00E3314C" w:rsidP="00E3314C">
            <w:pPr>
              <w:rPr>
                <w:b w:val="0"/>
              </w:rPr>
            </w:pPr>
            <w:r w:rsidRPr="003417B9">
              <w:rPr>
                <w:b w:val="0"/>
              </w:rPr>
              <w:t>Metaldehyde</w:t>
            </w:r>
          </w:p>
        </w:tc>
        <w:tc>
          <w:tcPr>
            <w:tcW w:w="1758" w:type="dxa"/>
            <w:shd w:val="clear" w:color="auto" w:fill="FBE4D5" w:themeFill="accent2" w:themeFillTint="33"/>
          </w:tcPr>
          <w:p w14:paraId="7612CC0C" w14:textId="4CE141AB"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Most common molluscicide, main cause of PCVs in UK</w:t>
            </w:r>
          </w:p>
        </w:tc>
        <w:tc>
          <w:tcPr>
            <w:tcW w:w="1538" w:type="dxa"/>
            <w:shd w:val="clear" w:color="auto" w:fill="FBE4D5" w:themeFill="accent2" w:themeFillTint="33"/>
          </w:tcPr>
          <w:p w14:paraId="4A2AE7F7" w14:textId="78A11828"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Inhibits metabolism/ damages CNS in molluscs, humans</w:t>
            </w:r>
          </w:p>
        </w:tc>
        <w:tc>
          <w:tcPr>
            <w:tcW w:w="1851" w:type="dxa"/>
            <w:shd w:val="clear" w:color="auto" w:fill="FBE4D5" w:themeFill="accent2" w:themeFillTint="33"/>
          </w:tcPr>
          <w:p w14:paraId="5728AAF8" w14:textId="02473A1D"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B172C2">
              <w:rPr>
                <w:sz w:val="18"/>
                <w:szCs w:val="18"/>
              </w:rPr>
              <w:instrText>ADDIN CSL_CITATION { "citationItems" : [ { "id" : "ITEM-1", "itemData" : { "DOI" : "10.1111/1751-7915.12719", "ISSN" : "17517915", "PMID" : "28894442", "abstract" : "Metaldehyde is a common molluscicide, used to control slugs in agriculture and horticulture. It is resistant to breakdown by current water treatment processes, and its accumulation in drinking water sources leads to regular regulatory failures in drinking water quality. To address this problem, we isolated metaldehyde-degrading microbes from domestic soils. Two distinct bacterial isolates were cultured, that were able to grow prototrophically using metaldehyde as sole carbon and energy source. One isolate belonged to the genus Acinetobacter (strain designation E1) and the other isolate belonged to the genus Variovorax (strain designation E3). Acinetobacter E1 was able to degrade metaldehyde to a residual concentration &lt; 1 nM, whereas closely related Acinetobacter strains were completely unable to degrade metaldehyde. Variovorax E3 grew and degraded metaldehyde more slowly than Acinetobacter E1, and residual metaldehyde remained at the end of growth of the Variovorax E3 strain. Biological degradation of metaldehyde using these bacterial strains or approaches that allow in situ amplification of metaldehyde-degrading bacteria may represent a way forward for dealing with metaldehyde contamination in soils and water.", "author" : [ { "dropping-particle" : "", "family" : "Thomas", "given" : "John C.", "non-dropping-particle" : "", "parse-names" : false, "suffix" : "" }, { "dropping-particle" : "", "family" : "Helgason", "given" : "Thorunn", "non-dropping-particle" : "", "parse-names" : false, "suffix" : "" }, { "dropping-particle" : "", "family" : "Sinclair", "given" : "Chris J.", "non-dropping-particle" : "", "parse-names" : false, "suffix" : "" }, { "dropping-particle" : "", "family" : "Moir", "given" : "James W.B.", "non-dropping-particle" : "", "parse-names" : false, "suffix" : "" } ], "container-title" : "Microbial Biotechnology", "id" : "ITEM-1", "issue" : "6", "issued" : { "date-parts" : [ [ "2017", "11", "1" ] ] }, "page" : "1824-1829", "publisher" : "Wiley/Blackwell (10.1111)", "title" : "Isolation and characterization of metaldehyde-degrading bacteria from domestic soils", "type" : "article-journal", "volume" : "10" }, "uris" : [ "http://www.mendeley.com/documents/?uuid=8ccaf50e-ab82-31ee-89c0-930d0f13030e" ] } ], "mendeley" : { "formattedCitation" : "(Thomas &lt;i&gt;et al.&lt;/i&gt;, 2017)", "plainTextFormattedCitation" : "(Thomas et al., 2017)", "previouslyFormattedCitation" : "(Thomas &lt;i&gt;et al.&lt;/i&gt;, 2017)" }, "properties" : { "noteIndex" : 0 }, "schema" : "https://github.com/citation-style-language/schema/raw/master/csl-citation.json" }</w:instrText>
            </w:r>
            <w:r>
              <w:rPr>
                <w:sz w:val="18"/>
                <w:szCs w:val="18"/>
              </w:rPr>
              <w:fldChar w:fldCharType="separate"/>
            </w:r>
            <w:r w:rsidRPr="005D2F0E">
              <w:rPr>
                <w:noProof/>
                <w:sz w:val="18"/>
                <w:szCs w:val="18"/>
              </w:rPr>
              <w:t xml:space="preserve">(Thomas </w:t>
            </w:r>
            <w:r w:rsidRPr="005D2F0E">
              <w:rPr>
                <w:i/>
                <w:noProof/>
                <w:sz w:val="18"/>
                <w:szCs w:val="18"/>
              </w:rPr>
              <w:t>et al.</w:t>
            </w:r>
            <w:r w:rsidRPr="005D2F0E">
              <w:rPr>
                <w:noProof/>
                <w:sz w:val="18"/>
                <w:szCs w:val="18"/>
              </w:rPr>
              <w:t>, 2017)</w:t>
            </w:r>
            <w:r>
              <w:rPr>
                <w:sz w:val="18"/>
                <w:szCs w:val="18"/>
              </w:rPr>
              <w:fldChar w:fldCharType="end"/>
            </w:r>
          </w:p>
          <w:p w14:paraId="6B11C605" w14:textId="4E33D06C"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only paper on bacteria and metaldehyde out there!</w:t>
            </w:r>
          </w:p>
        </w:tc>
        <w:tc>
          <w:tcPr>
            <w:tcW w:w="2167" w:type="dxa"/>
            <w:shd w:val="clear" w:color="auto" w:fill="FBE4D5" w:themeFill="accent2" w:themeFillTint="33"/>
          </w:tcPr>
          <w:p w14:paraId="34CFA164" w14:textId="77777777"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Metaldehyde is not normally broken down by water processing or aquatic bacteria</w:t>
            </w:r>
          </w:p>
          <w:p w14:paraId="23E69F1C" w14:textId="1C6F5139"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But Acinetobacter E1 (soil) can use it as a food source!</w:t>
            </w:r>
          </w:p>
        </w:tc>
        <w:tc>
          <w:tcPr>
            <w:tcW w:w="1612" w:type="dxa"/>
            <w:shd w:val="clear" w:color="auto" w:fill="FBE4D5" w:themeFill="accent2" w:themeFillTint="33"/>
          </w:tcPr>
          <w:p w14:paraId="758BADA7" w14:textId="77777777"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0-1000 </w:t>
            </w:r>
            <w:proofErr w:type="spellStart"/>
            <w:r>
              <w:rPr>
                <w:sz w:val="18"/>
              </w:rPr>
              <w:t>μM</w:t>
            </w:r>
            <w:proofErr w:type="spellEnd"/>
          </w:p>
          <w:p w14:paraId="6172C139" w14:textId="0A91D77B"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that it’s directly comparable)</w:t>
            </w:r>
          </w:p>
        </w:tc>
        <w:tc>
          <w:tcPr>
            <w:tcW w:w="1479" w:type="dxa"/>
            <w:shd w:val="clear" w:color="auto" w:fill="FBE4D5" w:themeFill="accent2" w:themeFillTint="33"/>
          </w:tcPr>
          <w:p w14:paraId="33C0B0CD" w14:textId="77777777"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Mineral medium</w:t>
            </w:r>
          </w:p>
          <w:p w14:paraId="51F70CBF" w14:textId="77777777" w:rsidR="005579A2" w:rsidRDefault="005579A2"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Water sol:</w:t>
            </w:r>
          </w:p>
          <w:p w14:paraId="0A6B8F90" w14:textId="5BDF7628" w:rsidR="005579A2" w:rsidRDefault="005579A2" w:rsidP="00E3314C">
            <w:pPr>
              <w:cnfStyle w:val="000000000000" w:firstRow="0" w:lastRow="0" w:firstColumn="0" w:lastColumn="0" w:oddVBand="0" w:evenVBand="0" w:oddHBand="0" w:evenHBand="0" w:firstRowFirstColumn="0" w:firstRowLastColumn="0" w:lastRowFirstColumn="0" w:lastRowLastColumn="0"/>
              <w:rPr>
                <w:sz w:val="18"/>
                <w:szCs w:val="18"/>
              </w:rPr>
            </w:pPr>
            <w:r w:rsidRPr="005579A2">
              <w:rPr>
                <w:sz w:val="18"/>
                <w:szCs w:val="18"/>
              </w:rPr>
              <w:t>0.188 g</w:t>
            </w:r>
            <w:r>
              <w:rPr>
                <w:sz w:val="18"/>
                <w:szCs w:val="18"/>
              </w:rPr>
              <w:t>/</w:t>
            </w:r>
            <w:r w:rsidRPr="005579A2">
              <w:rPr>
                <w:sz w:val="18"/>
                <w:szCs w:val="18"/>
              </w:rPr>
              <w:t>L</w:t>
            </w:r>
            <w:r>
              <w:rPr>
                <w:sz w:val="18"/>
                <w:szCs w:val="18"/>
              </w:rPr>
              <w:t xml:space="preserve"> @</w:t>
            </w:r>
            <w:r w:rsidRPr="005579A2">
              <w:rPr>
                <w:sz w:val="18"/>
                <w:szCs w:val="18"/>
              </w:rPr>
              <w:t xml:space="preserve"> 20 °C</w:t>
            </w:r>
          </w:p>
        </w:tc>
        <w:tc>
          <w:tcPr>
            <w:tcW w:w="2694" w:type="dxa"/>
            <w:shd w:val="clear" w:color="auto" w:fill="FBE4D5" w:themeFill="accent2" w:themeFillTint="33"/>
          </w:tcPr>
          <w:p w14:paraId="5B6F3159" w14:textId="307971D9" w:rsidR="000130F3" w:rsidRDefault="00D56221"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0.5 ug/L</w:t>
            </w:r>
            <w:r w:rsidR="00785F6B">
              <w:rPr>
                <w:sz w:val="18"/>
                <w:szCs w:val="18"/>
              </w:rPr>
              <w:t xml:space="preserve"> typically during Oct-Dec app. Period (UK rivers) </w:t>
            </w:r>
            <w:r w:rsidR="00785F6B">
              <w:rPr>
                <w:sz w:val="18"/>
                <w:szCs w:val="18"/>
              </w:rPr>
              <w:fldChar w:fldCharType="begin" w:fldLock="1"/>
            </w:r>
            <w:r w:rsidR="00785F6B">
              <w:rPr>
                <w:sz w:val="18"/>
                <w:szCs w:val="18"/>
              </w:rPr>
              <w:instrText>ADDIN CSL_CITATION { "citationItems" : [ { "id" : "ITEM-1", "itemData" : { "DOI" : "10.1111/wej.12056", "ISBN" : "1747-6593", "ISSN" : "17476593", "abstract" : "The presence of metaldehyde in raw and treated water has become a recognised problem recently. The current study used water industry monitoring data collected over a two and a half-year period (2008\u20132011) to quantify the presence of metaldehyde in rivers and finished waters. Measured surface water concentrations were then compared with catchment characteristics in an attempt to identify those factors driving losses of the pesticide to water. An assessment was also made of the robustness of the monitoring strategy used, which was assumed to represent typical water industry practice, and is currently being used to develop catchment management plans. It was found that exceedance of the European Union pesticide standard (0.1 \u03bcg/L) during the October\u2013December slug pellet application period is commonplace. Peak concentrations were generally in the 0.4\u20130.6 \u03bcg/L range although sometimes were an order of magnitude higher.", "author" : [ { "dropping-particle" : "", "family" : "Kay", "given" : "Paul", "non-dropping-particle" : "", "parse-names" : false, "suffix" : "" }, { "dropping-particle" : "", "family" : "Grayson", "given" : "Richard", "non-dropping-particle" : "", "parse-names" : false, "suffix" : "" } ], "container-title" : "Water and Environment Journal", "id" : "ITEM-1", "issue" : "3", "issued" : { "date-parts" : [ [ "2014" ] ] }, "page" : "410-417", "title" : "Using water industry data to assess the metaldehyde pollution problem", "type" : "article-journal", "volume" : "28" }, "uris" : [ "http://www.mendeley.com/documents/?uuid=67b146c9-ae6e-4144-8045-818695b67ce7" ] } ], "mendeley" : { "formattedCitation" : "(Kay and Grayson, 2014)", "plainTextFormattedCitation" : "(Kay and Grayson, 2014)" }, "properties" : { "noteIndex" : 0 }, "schema" : "https://github.com/citation-style-language/schema/raw/master/csl-citation.json" }</w:instrText>
            </w:r>
            <w:r w:rsidR="00785F6B">
              <w:rPr>
                <w:sz w:val="18"/>
                <w:szCs w:val="18"/>
              </w:rPr>
              <w:fldChar w:fldCharType="separate"/>
            </w:r>
            <w:r w:rsidR="00785F6B" w:rsidRPr="00785F6B">
              <w:rPr>
                <w:noProof/>
                <w:sz w:val="18"/>
                <w:szCs w:val="18"/>
              </w:rPr>
              <w:t>(Kay and Grayson, 2014)</w:t>
            </w:r>
            <w:r w:rsidR="00785F6B">
              <w:rPr>
                <w:sz w:val="18"/>
                <w:szCs w:val="18"/>
              </w:rPr>
              <w:fldChar w:fldCharType="end"/>
            </w:r>
            <w:bookmarkStart w:id="0" w:name="_GoBack"/>
            <w:bookmarkEnd w:id="0"/>
          </w:p>
        </w:tc>
      </w:tr>
      <w:tr w:rsidR="0061480A" w14:paraId="4E9345E6" w14:textId="77777777" w:rsidTr="003417B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D0CECE" w:themeFill="background2" w:themeFillShade="E6"/>
          </w:tcPr>
          <w:p w14:paraId="528EE27A" w14:textId="3C6C3D6D" w:rsidR="0061480A" w:rsidRDefault="0061480A" w:rsidP="00E3314C">
            <w:pPr>
              <w:rPr>
                <w:sz w:val="18"/>
                <w:szCs w:val="18"/>
              </w:rPr>
            </w:pPr>
            <w:r>
              <w:t>Heavy Metals</w:t>
            </w:r>
          </w:p>
        </w:tc>
      </w:tr>
      <w:tr w:rsidR="00D677B2" w14:paraId="36677B06" w14:textId="77777777" w:rsidTr="006E0CB6">
        <w:trPr>
          <w:trHeight w:val="270"/>
        </w:trPr>
        <w:tc>
          <w:tcPr>
            <w:cnfStyle w:val="001000000000" w:firstRow="0" w:lastRow="0" w:firstColumn="1" w:lastColumn="0" w:oddVBand="0" w:evenVBand="0" w:oddHBand="0" w:evenHBand="0" w:firstRowFirstColumn="0" w:firstRowLastColumn="0" w:lastRowFirstColumn="0" w:lastRowLastColumn="0"/>
            <w:tcW w:w="1978" w:type="dxa"/>
            <w:shd w:val="clear" w:color="auto" w:fill="D0CECE" w:themeFill="background2" w:themeFillShade="E6"/>
          </w:tcPr>
          <w:p w14:paraId="12C428FA" w14:textId="23BFC8F6" w:rsidR="0061480A" w:rsidRPr="003417B9" w:rsidRDefault="0061480A" w:rsidP="0061480A">
            <w:pPr>
              <w:rPr>
                <w:b w:val="0"/>
              </w:rPr>
            </w:pPr>
            <w:r w:rsidRPr="003417B9">
              <w:rPr>
                <w:b w:val="0"/>
              </w:rPr>
              <w:t>Copper</w:t>
            </w:r>
          </w:p>
        </w:tc>
        <w:tc>
          <w:tcPr>
            <w:tcW w:w="1758" w:type="dxa"/>
            <w:shd w:val="clear" w:color="auto" w:fill="D0CECE" w:themeFill="background2" w:themeFillShade="E6"/>
          </w:tcPr>
          <w:p w14:paraId="0A64B9DE" w14:textId="3D53A862"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sidRPr="00353F98">
              <w:rPr>
                <w:sz w:val="18"/>
              </w:rPr>
              <w:t>Major anthropogenic pollutant, and essential nutrient</w:t>
            </w:r>
          </w:p>
        </w:tc>
        <w:tc>
          <w:tcPr>
            <w:tcW w:w="1538" w:type="dxa"/>
            <w:shd w:val="clear" w:color="auto" w:fill="D0CECE" w:themeFill="background2" w:themeFillShade="E6"/>
          </w:tcPr>
          <w:p w14:paraId="553B3238" w14:textId="4C568BC8"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sidRPr="00353F98">
              <w:rPr>
                <w:sz w:val="18"/>
              </w:rPr>
              <w:t>Oxidative stress</w:t>
            </w:r>
          </w:p>
        </w:tc>
        <w:tc>
          <w:tcPr>
            <w:tcW w:w="1851" w:type="dxa"/>
            <w:shd w:val="clear" w:color="auto" w:fill="D0CECE" w:themeFill="background2" w:themeFillShade="E6"/>
          </w:tcPr>
          <w:p w14:paraId="5B026D80" w14:textId="41EF4338"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B172C2">
              <w:rPr>
                <w:sz w:val="18"/>
                <w:szCs w:val="18"/>
              </w:rPr>
              <w:instrText>ADDIN CSL_CITATION { "citationItems" : [ { "id" : "ITEM-1", "itemData" : { "DOI" : "10.1002/tox.20411", "ISBN" : "1522-7278 (Electronic)\\r1520-4081 (Linking)", "ISSN" : "1522-7278 (ELECTRONIC) 1520-4081 (LINKING)", "abstract" : "Transition metals and polycyclic aromatic hydrocarbons (PAHs) are cocontaminants at many sites. Contaminants in mixtures are known to interact with biological systems in ways that can greatly alter the toxicity of individual compounds. The toxicities (individually and as mixtures) of copper (Cu), a redox- active metal; cadmium (Cd), a nonredox active metal; and phenanthrenequinone (PHQ), a redox-active oxygenated PAH, were examined using the bioluminescent bacterium Vibrio fischeri. We found that the cotoxicity of Cu/PHQ was dependent on the ratio of concentrations of each chemical in the mixture. Different interaction types (synergism, antagonism, and additivity) were observed with different combinations of these toxicants. The interaction types changed from antagonism at a low Cu to PHQ ratio (1:4), to additive at an intermediate Cu to PHQ ratio (2:3), to synergistic at higher Cu to PHQ ratios (3:2 and 4:1). In contrast to Cu/PHQ mixtures, the cotoxicity of Cd/PHQ did not change at different mixture ratios and was found for the most part to be additive. For the individual chemicals and their mixtures, reactive oxygen species (ROS) production was observed in V. fischeri, suggesting that individual and mixture toxicity of Cu, Cd, and PHQ to V fischeri involves ROS-related mechanisms. This study shows that mixture ratios can alter individual chemical toxicity, and should be taken into account in risk assessment. \u00a9 2008 Wiley Periodicals, Inc.", "author" : [ { "dropping-particle" : "", "family" : "Wang", "given" : "Wenxi", "non-dropping-particle" : "", "parse-names" : false, "suffix" : "" }, { "dropping-particle" : "", "family" : "Lampi", "given" : "Mark A.", "non-dropping-particle" : "", "parse-names" : false, "suffix" : "" }, { "dropping-particle" : "", "family" : "Huang", "given" : "X D", "non-dropping-particle" : "", "parse-names" : false, "suffix" : "" }, { "dropping-particle" : "", "family" : "Gerhardt", "given" : "Karen", "non-dropping-particle" : "", "parse-names" : false, "suffix" : "" }, { "dropping-particle" : "", "family" : "Dixon", "given" : "D. George", "non-dropping-particle" : "", "parse-names" : false, "suffix" : "" }, { "dropping-particle" : "", "family" : "Greenberg", "given" : "Bruce M.", "non-dropping-particle" : "", "parse-names" : false, "suffix" : "" } ], "container-title" : "Environmental Toxicology", "id" : "ITEM-1", "issue" : "2", "issued" : { "date-parts" : [ [ "2009", "4", "1" ] ] }, "page" : "166-177", "publisher" : "Wiley-Blackwell", "title" : "Assessment of mixture toxicity of copper, cadmium, and phenanthrenequinone to the marine bacterium vibrio fischeri", "type" : "article-journal", "volume" : "24" }, "uris" : [ "http://www.mendeley.com/documents/?uuid=096596ca-e338-33ac-98c7-151bf3088f92" ] }, { "id" : "ITEM-2", "itemData" : { "DOI" : "10.1016/j.gexplo.2008.03.003", "ISBN" : "0375-6742", "ISSN" : "03756742", "PMID" : "23858",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 t a- 1Fe, 4.3 t a- 1Mn, 4.2 t a- 1Cu, 3.6 t a- 1Zn and 1.4 t a- 1As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 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\u00a9 2008 Elsevier B.V. All rights reserved.",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"ITEM-2",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Wang &lt;i&gt;et al.&lt;/i&gt;, 2009)", "plainTextFormattedCitation" : "(Mighanetara et al., 2009; Wang et al., 2009)", "previouslyFormattedCitation" : "(Mighanetara &lt;i&gt;et al.&lt;/i&gt;, 2009; Wang &lt;i&gt;et al.&lt;/i&gt;, 2009)" }, "properties" : { "noteIndex" : 0 }, "schema" : "https://github.com/citation-style-language/schema/raw/master/csl-citation.json" }</w:instrText>
            </w:r>
            <w:r>
              <w:rPr>
                <w:sz w:val="18"/>
                <w:szCs w:val="18"/>
              </w:rPr>
              <w:fldChar w:fldCharType="separate"/>
            </w:r>
            <w:r w:rsidRPr="00D43AEB">
              <w:rPr>
                <w:noProof/>
                <w:sz w:val="18"/>
                <w:szCs w:val="18"/>
              </w:rPr>
              <w:t xml:space="preserve">(Mighanetara </w:t>
            </w:r>
            <w:r w:rsidRPr="00D43AEB">
              <w:rPr>
                <w:i/>
                <w:noProof/>
                <w:sz w:val="18"/>
                <w:szCs w:val="18"/>
              </w:rPr>
              <w:t>et al.</w:t>
            </w:r>
            <w:r w:rsidRPr="00D43AEB">
              <w:rPr>
                <w:noProof/>
                <w:sz w:val="18"/>
                <w:szCs w:val="18"/>
              </w:rPr>
              <w:t xml:space="preserve">, 2009; Wang </w:t>
            </w:r>
            <w:r w:rsidRPr="00D43AEB">
              <w:rPr>
                <w:i/>
                <w:noProof/>
                <w:sz w:val="18"/>
                <w:szCs w:val="18"/>
              </w:rPr>
              <w:t>et al.</w:t>
            </w:r>
            <w:r w:rsidRPr="00D43AEB">
              <w:rPr>
                <w:noProof/>
                <w:sz w:val="18"/>
                <w:szCs w:val="18"/>
              </w:rPr>
              <w:t>, 2009)</w:t>
            </w:r>
            <w:r>
              <w:rPr>
                <w:sz w:val="18"/>
                <w:szCs w:val="18"/>
              </w:rPr>
              <w:fldChar w:fldCharType="end"/>
            </w:r>
          </w:p>
        </w:tc>
        <w:tc>
          <w:tcPr>
            <w:tcW w:w="2167" w:type="dxa"/>
            <w:shd w:val="clear" w:color="auto" w:fill="D0CECE" w:themeFill="background2" w:themeFillShade="E6"/>
          </w:tcPr>
          <w:p w14:paraId="072FBB91" w14:textId="4640823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60 minutes</w:t>
            </w:r>
          </w:p>
        </w:tc>
        <w:tc>
          <w:tcPr>
            <w:tcW w:w="1612" w:type="dxa"/>
            <w:shd w:val="clear" w:color="auto" w:fill="D0CECE" w:themeFill="background2" w:themeFillShade="E6"/>
          </w:tcPr>
          <w:p w14:paraId="4D3B6B03" w14:textId="59641C85"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EC50 - </w:t>
            </w:r>
            <w:r w:rsidRPr="00A8714C">
              <w:rPr>
                <w:sz w:val="18"/>
              </w:rPr>
              <w:t xml:space="preserve">146.88 </w:t>
            </w:r>
            <w:r>
              <w:rPr>
                <w:sz w:val="18"/>
              </w:rPr>
              <w:t>ug.l</w:t>
            </w:r>
            <w:r w:rsidRPr="003A7406">
              <w:rPr>
                <w:sz w:val="18"/>
                <w:vertAlign w:val="superscript"/>
              </w:rPr>
              <w:t>-1</w:t>
            </w:r>
            <w:r>
              <w:rPr>
                <w:sz w:val="18"/>
              </w:rPr>
              <w:t>@ 30 minutes</w:t>
            </w:r>
          </w:p>
        </w:tc>
        <w:tc>
          <w:tcPr>
            <w:tcW w:w="1479" w:type="dxa"/>
            <w:shd w:val="clear" w:color="auto" w:fill="D0CECE" w:themeFill="background2" w:themeFillShade="E6"/>
          </w:tcPr>
          <w:p w14:paraId="7B853AE9" w14:textId="536F6BFB"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saline</w:t>
            </w:r>
          </w:p>
        </w:tc>
        <w:tc>
          <w:tcPr>
            <w:tcW w:w="2694" w:type="dxa"/>
            <w:shd w:val="clear" w:color="auto" w:fill="D0CECE" w:themeFill="background2" w:themeFillShade="E6"/>
          </w:tcPr>
          <w:p w14:paraId="6DCEB7B3" w14:textId="27B2A66D" w:rsidR="00E44C83" w:rsidRDefault="00E36DBD"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20.64 mg/kg mean</w:t>
            </w:r>
          </w:p>
          <w:p w14:paraId="41320145" w14:textId="674F8337" w:rsidR="00E36DBD" w:rsidRPr="00E44C83" w:rsidRDefault="00E36DBD"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96.70 mg/kg max</w:t>
            </w:r>
          </w:p>
        </w:tc>
      </w:tr>
      <w:tr w:rsidR="00D677B2" w14:paraId="1587D592" w14:textId="77777777" w:rsidTr="006E0CB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8" w:type="dxa"/>
            <w:shd w:val="clear" w:color="auto" w:fill="D0CECE" w:themeFill="background2" w:themeFillShade="E6"/>
          </w:tcPr>
          <w:p w14:paraId="38C4BF71" w14:textId="64F2A349" w:rsidR="00E3314C" w:rsidRPr="003417B9" w:rsidRDefault="00137120" w:rsidP="00E3314C">
            <w:pPr>
              <w:rPr>
                <w:b w:val="0"/>
              </w:rPr>
            </w:pPr>
            <w:r>
              <w:rPr>
                <w:b w:val="0"/>
              </w:rPr>
              <w:t>Nickel</w:t>
            </w:r>
          </w:p>
        </w:tc>
        <w:tc>
          <w:tcPr>
            <w:tcW w:w="1758" w:type="dxa"/>
            <w:shd w:val="clear" w:color="auto" w:fill="D0CECE" w:themeFill="background2" w:themeFillShade="E6"/>
          </w:tcPr>
          <w:p w14:paraId="6EF123A5" w14:textId="29B0ED59"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Major anthropogenic pollutant</w:t>
            </w:r>
          </w:p>
        </w:tc>
        <w:tc>
          <w:tcPr>
            <w:tcW w:w="1538" w:type="dxa"/>
            <w:shd w:val="clear" w:color="auto" w:fill="D0CECE" w:themeFill="background2" w:themeFillShade="E6"/>
          </w:tcPr>
          <w:p w14:paraId="33F169BA" w14:textId="70CA5B74"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Oxidative stress</w:t>
            </w:r>
            <w:r w:rsidR="00D677B2">
              <w:rPr>
                <w:sz w:val="18"/>
                <w:szCs w:val="18"/>
              </w:rPr>
              <w:t xml:space="preserve"> (weak), enzyme disruption</w:t>
            </w:r>
          </w:p>
        </w:tc>
        <w:tc>
          <w:tcPr>
            <w:tcW w:w="1851" w:type="dxa"/>
            <w:shd w:val="clear" w:color="auto" w:fill="D0CECE" w:themeFill="background2" w:themeFillShade="E6"/>
          </w:tcPr>
          <w:p w14:paraId="4F71D6EA" w14:textId="5E654921" w:rsidR="00E3314C" w:rsidRDefault="00D677B2"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A33E32">
              <w:rPr>
                <w:sz w:val="18"/>
                <w:szCs w:val="18"/>
              </w:rPr>
              <w:instrText>ADDIN CSL_CITATION { "citationItems" : [ { "id" : "ITEM-1", "itemData" : { "DOI" : "10.1039/c1mt00063b", "ISBN" : "10.1039/C1MT00063B", "ISSN" : "1756-5901", "PMID" : "21799955", "abstract" : "Nickel has long been known to be an important human toxicant, including having the ability to form carcinomas, but until recently nickel was believed to be an issue only to microorganisms living in nickel-rich serpentine soils or areas contaminated by industrial pollution. This assumption was overturned by the discovery of a nickel defense system (RcnR/RcnA) found in microorganisms that live in a wide range of environmental niches, suggesting that nickel homeostasis is a general biological concern. To date, the mechanisms of nickel toxicity in microorganisms and higher eukaryotes are poorly understood. In this review, we summarize nickel homeostasis processes used by microorganisms and highlight in vivo and in vitro effects of exposure to elevated concentrations of nickel. On the basis of this evidence we propose four mechanisms of nickel toxicity: (1) nickel replaces the essential metal of metalloproteins, (2) nickel binds to catalytic residues of non-metalloenzymes; (3) nickel binds outside the catalytic site of an enzyme to inhibit allosterically and (4) nickel indirectly causes oxidative stress.", "author" : [ { "dropping-particle" : "", "family" : "Macomber", "given" : "Lee", "non-dropping-particle" : "", "parse-names" : false, "suffix" : "" }, { "dropping-particle" : "", "family" : "Hausinger", "given" : "Robert P", "non-dropping-particle" : "", "parse-names" : false, "suffix" : "" } ], "container-title" : "Metallomics", "id" : "ITEM-1", "issue" : "11", "issued" : { "date-parts" : [ [ "2011", "11" ] ] }, "page" : "1153", "publisher" : "NIH Public Access", "title" : "Mechanisms of nickel toxicity in microorganisms", "type" : "article-journal", "volume" : "3" }, "uris" : [ "http://www.mendeley.com/documents/?uuid=278743ac-c822-34e1-bc71-9f4921eaae89" ] } ], "mendeley" : { "formattedCitation" : "(Macomber and Hausinger, 2011)", "plainTextFormattedCitation" : "(Macomber and Hausinger, 2011)", "previouslyFormattedCitation" : "(Macomber and Hausinger, 2011)" }, "properties" : { "noteIndex" : 0 }, "schema" : "https://github.com/citation-style-language/schema/raw/master/csl-citation.json" }</w:instrText>
            </w:r>
            <w:r>
              <w:rPr>
                <w:sz w:val="18"/>
                <w:szCs w:val="18"/>
              </w:rPr>
              <w:fldChar w:fldCharType="separate"/>
            </w:r>
            <w:r w:rsidRPr="00D677B2">
              <w:rPr>
                <w:noProof/>
                <w:sz w:val="18"/>
                <w:szCs w:val="18"/>
              </w:rPr>
              <w:t>(Macomber and Hausinger, 2011)</w:t>
            </w:r>
            <w:r>
              <w:rPr>
                <w:sz w:val="18"/>
                <w:szCs w:val="18"/>
              </w:rPr>
              <w:fldChar w:fldCharType="end"/>
            </w:r>
          </w:p>
        </w:tc>
        <w:tc>
          <w:tcPr>
            <w:tcW w:w="2167" w:type="dxa"/>
            <w:shd w:val="clear" w:color="auto" w:fill="D0CECE" w:themeFill="background2" w:themeFillShade="E6"/>
          </w:tcPr>
          <w:p w14:paraId="5D4EC0BF" w14:textId="6F070D83" w:rsidR="00E3314C" w:rsidRDefault="00C903B6" w:rsidP="00E3314C">
            <w:pPr>
              <w:cnfStyle w:val="000000100000" w:firstRow="0" w:lastRow="0" w:firstColumn="0" w:lastColumn="0" w:oddVBand="0" w:evenVBand="0" w:oddHBand="1" w:evenHBand="0" w:firstRowFirstColumn="0" w:firstRowLastColumn="0" w:lastRowFirstColumn="0" w:lastRowLastColumn="0"/>
              <w:rPr>
                <w:sz w:val="18"/>
                <w:szCs w:val="18"/>
              </w:rPr>
            </w:pPr>
            <w:r w:rsidRPr="00C903B6">
              <w:rPr>
                <w:i/>
                <w:sz w:val="18"/>
                <w:szCs w:val="18"/>
              </w:rPr>
              <w:t xml:space="preserve">V. </w:t>
            </w:r>
            <w:proofErr w:type="spellStart"/>
            <w:r w:rsidRPr="00C903B6">
              <w:rPr>
                <w:i/>
                <w:sz w:val="18"/>
                <w:szCs w:val="18"/>
              </w:rPr>
              <w:t>fischeri</w:t>
            </w:r>
            <w:proofErr w:type="spellEnd"/>
            <w:r>
              <w:rPr>
                <w:sz w:val="18"/>
                <w:szCs w:val="18"/>
              </w:rPr>
              <w:t xml:space="preserve"> luminescence 30 minutes</w:t>
            </w:r>
          </w:p>
        </w:tc>
        <w:tc>
          <w:tcPr>
            <w:tcW w:w="1612" w:type="dxa"/>
            <w:shd w:val="clear" w:color="auto" w:fill="D0CECE" w:themeFill="background2" w:themeFillShade="E6"/>
          </w:tcPr>
          <w:p w14:paraId="31455540" w14:textId="1DF6FEF6" w:rsidR="00E3314C" w:rsidRDefault="00D677B2"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EC50 – 85 mg/l</w:t>
            </w:r>
          </w:p>
        </w:tc>
        <w:tc>
          <w:tcPr>
            <w:tcW w:w="1479" w:type="dxa"/>
            <w:shd w:val="clear" w:color="auto" w:fill="D0CECE" w:themeFill="background2" w:themeFillShade="E6"/>
          </w:tcPr>
          <w:p w14:paraId="4BE44760" w14:textId="7615D604" w:rsidR="00E3314C" w:rsidRDefault="00C903B6"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Water + 20% soil NI slurry</w:t>
            </w:r>
          </w:p>
        </w:tc>
        <w:tc>
          <w:tcPr>
            <w:tcW w:w="2694" w:type="dxa"/>
            <w:shd w:val="clear" w:color="auto" w:fill="D0CECE" w:themeFill="background2" w:themeFillShade="E6"/>
          </w:tcPr>
          <w:p w14:paraId="2ABD6B0E" w14:textId="7554FD4D" w:rsidR="00E3314C" w:rsidRDefault="00137120" w:rsidP="001371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21.1 mg/kg mean</w:t>
            </w:r>
          </w:p>
          <w:p w14:paraId="0F930086" w14:textId="4F3D14D5" w:rsidR="00137120" w:rsidRPr="00E0712D" w:rsidRDefault="00137120"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216 mg/kg max</w:t>
            </w:r>
          </w:p>
        </w:tc>
      </w:tr>
      <w:tr w:rsidR="0061480A" w14:paraId="15BE693D" w14:textId="77777777" w:rsidTr="003417B9">
        <w:trPr>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FFF2CC" w:themeFill="accent4" w:themeFillTint="33"/>
          </w:tcPr>
          <w:p w14:paraId="66563F11" w14:textId="66579364" w:rsidR="0061480A" w:rsidRPr="00353F98" w:rsidRDefault="00042C30" w:rsidP="00E3314C">
            <w:pPr>
              <w:rPr>
                <w:sz w:val="18"/>
                <w:szCs w:val="18"/>
              </w:rPr>
            </w:pPr>
            <w:r>
              <w:t>(Poly)a</w:t>
            </w:r>
            <w:r w:rsidR="0061480A">
              <w:t>romatic Hydrocarbons</w:t>
            </w:r>
            <w:r w:rsidR="00636C9C">
              <w:t xml:space="preserve"> </w:t>
            </w:r>
          </w:p>
        </w:tc>
      </w:tr>
      <w:tr w:rsidR="00D677B2" w14:paraId="77EC08F4" w14:textId="77777777" w:rsidTr="006E0CB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78" w:type="dxa"/>
            <w:shd w:val="clear" w:color="auto" w:fill="FFF2CC" w:themeFill="accent4" w:themeFillTint="33"/>
          </w:tcPr>
          <w:p w14:paraId="41DB3584" w14:textId="39F7E223" w:rsidR="00042C30" w:rsidRPr="003417B9" w:rsidRDefault="00042C30" w:rsidP="00042C30">
            <w:pPr>
              <w:rPr>
                <w:b w:val="0"/>
              </w:rPr>
            </w:pPr>
            <w:r>
              <w:rPr>
                <w:b w:val="0"/>
              </w:rPr>
              <w:t>Benzo[a]pyrene (PAH)</w:t>
            </w:r>
          </w:p>
        </w:tc>
        <w:tc>
          <w:tcPr>
            <w:tcW w:w="1758" w:type="dxa"/>
            <w:shd w:val="clear" w:color="auto" w:fill="FFF2CC" w:themeFill="accent4" w:themeFillTint="33"/>
          </w:tcPr>
          <w:p w14:paraId="11A0EDCF" w14:textId="48F60F5D" w:rsidR="00042C30" w:rsidRPr="00353F98" w:rsidRDefault="00AF7143" w:rsidP="00042C30">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Highly toxic PAH produced by incomplete combustion </w:t>
            </w:r>
          </w:p>
        </w:tc>
        <w:tc>
          <w:tcPr>
            <w:tcW w:w="1538" w:type="dxa"/>
            <w:shd w:val="clear" w:color="auto" w:fill="FFF2CC" w:themeFill="accent4" w:themeFillTint="33"/>
          </w:tcPr>
          <w:p w14:paraId="65CFE468" w14:textId="6A4E5FCD" w:rsidR="00042C30" w:rsidRPr="00353F98" w:rsidRDefault="00AF7143" w:rsidP="00042C30">
            <w:pPr>
              <w:cnfStyle w:val="000000100000" w:firstRow="0" w:lastRow="0" w:firstColumn="0" w:lastColumn="0" w:oddVBand="0" w:evenVBand="0" w:oddHBand="1" w:evenHBand="0" w:firstRowFirstColumn="0" w:firstRowLastColumn="0" w:lastRowFirstColumn="0" w:lastRowLastColumn="0"/>
              <w:rPr>
                <w:sz w:val="18"/>
              </w:rPr>
            </w:pPr>
            <w:r>
              <w:rPr>
                <w:sz w:val="18"/>
                <w:szCs w:val="18"/>
              </w:rPr>
              <w:t>Membrane damage, DNA damage</w:t>
            </w:r>
          </w:p>
        </w:tc>
        <w:tc>
          <w:tcPr>
            <w:tcW w:w="1851" w:type="dxa"/>
            <w:shd w:val="clear" w:color="auto" w:fill="FFF2CC" w:themeFill="accent4" w:themeFillTint="33"/>
          </w:tcPr>
          <w:p w14:paraId="737A4B2F" w14:textId="58830788" w:rsidR="00042C30" w:rsidRDefault="00CD43F8"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D677B2">
              <w:rPr>
                <w:sz w:val="18"/>
                <w:szCs w:val="18"/>
              </w:rPr>
              <w:instrText>ADDIN CSL_CITATION { "citationItems" : [ { "id" : "ITEM-1", "itemData" : { "DOI" : "10.1016/S0964-8305(00)00052-4", "ISSN" : "0964-8305", "abstract" : "Over the past 30 years, research on the microbial degradation of polycyclic aromatic hydrocarbons (PAHs) has resulted in the isolation of numerous genera of bacteria, fungi and algae capable of degrading low molecular weight PAHs (compounds containing three or less fused benzene rings). High molecular weight PAHs (compounds containing four or more fused benzene rings) are generally recalcitrant to microbial attack, although some fungi and algae are capable of transforming these compounds. Until recently, only a few genera of bacteria have been isolated with the ability to utilise four-ring PAHs as sole carbon and energy sources while cometabolism of five-ring compounds has been reported. The focuss of this review is on the high molecular weight PAH benzo[a]pyrene (BaP). There is concern about the presence of BaP in the environment because of its carcinogenicity, teratogenicity and toxicity. BaP has been observed to accumulate in marine organisms and plants which could indirectly cause human exposure through food consumption. This review provides an outline of the occurrence of BaP in the environment and the ability of bacteria, fungi and algae to degrade the compound, including pathways for BaP degradation by these organisms. In addition, approaches for improving microbial degradation of BaP are discussed.", "author" : [ { "dropping-particle" : "", "family" : "Juhasz", "given" : "Albert L", "non-dropping-particle" : "", "parse-names" : false, "suffix" : "" }, { "dropping-particle" : "", "family" : "Naidu", "given" : "Ravendra", "non-dropping-particle" : "", "parse-names" : false, "suffix" : "" } ], "container-title" : "International Biodeterioration &amp; Biodegradation", "id" : "ITEM-1", "issue" : "1-2", "issued" : { "date-parts" : [ [ "2000", "1", "1" ] ] }, "page" : "57-88", "publisher" : "Elsevier", "title" : "Bioremediation of high molecular weight polycyclic aromatic hydrocarbons: a review of the microbial degradation of benzo[a]pyrene", "type" : "article-journal", "volume" : "45" }, "uris" : [ "http://www.mendeley.com/documents/?uuid=3541d871-961b-382c-b4a7-8c0196cc5f4d" ] } ], "mendeley" : { "formattedCitation" : "(Juhasz and Naidu, 2000)", "plainTextFormattedCitation" : "(Juhasz and Naidu, 2000)", "previouslyFormattedCitation" : "(Juhasz and Naidu, 2000)" }, "properties" : { "noteIndex" : 0 }, "schema" : "https://github.com/citation-style-language/schema/raw/master/csl-citation.json" }</w:instrText>
            </w:r>
            <w:r>
              <w:rPr>
                <w:sz w:val="18"/>
                <w:szCs w:val="18"/>
              </w:rPr>
              <w:fldChar w:fldCharType="separate"/>
            </w:r>
            <w:r w:rsidRPr="00CD43F8">
              <w:rPr>
                <w:noProof/>
                <w:sz w:val="18"/>
                <w:szCs w:val="18"/>
              </w:rPr>
              <w:t>(Juhasz and Naidu, 2000)</w:t>
            </w:r>
            <w:r>
              <w:rPr>
                <w:sz w:val="18"/>
                <w:szCs w:val="18"/>
              </w:rPr>
              <w:fldChar w:fldCharType="end"/>
            </w:r>
          </w:p>
        </w:tc>
        <w:tc>
          <w:tcPr>
            <w:tcW w:w="2167" w:type="dxa"/>
            <w:shd w:val="clear" w:color="auto" w:fill="FFF2CC" w:themeFill="accent4" w:themeFillTint="33"/>
          </w:tcPr>
          <w:p w14:paraId="35A34F5F" w14:textId="068B3232" w:rsidR="00042C30" w:rsidRDefault="00CD43F8"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Many bacteria can degrade Benzo[a]pyrene</w:t>
            </w:r>
          </w:p>
        </w:tc>
        <w:tc>
          <w:tcPr>
            <w:tcW w:w="1612" w:type="dxa"/>
            <w:shd w:val="clear" w:color="auto" w:fill="FFF2CC" w:themeFill="accent4" w:themeFillTint="33"/>
          </w:tcPr>
          <w:p w14:paraId="5528CEBF" w14:textId="4DCF4EEC" w:rsidR="00042C30" w:rsidRDefault="00610F4D" w:rsidP="00042C30">
            <w:pPr>
              <w:cnfStyle w:val="000000100000" w:firstRow="0" w:lastRow="0" w:firstColumn="0" w:lastColumn="0" w:oddVBand="0" w:evenVBand="0" w:oddHBand="1" w:evenHBand="0" w:firstRowFirstColumn="0" w:firstRowLastColumn="0" w:lastRowFirstColumn="0" w:lastRowLastColumn="0"/>
              <w:rPr>
                <w:sz w:val="18"/>
              </w:rPr>
            </w:pPr>
            <w:r>
              <w:rPr>
                <w:sz w:val="18"/>
              </w:rPr>
              <w:t>various</w:t>
            </w:r>
          </w:p>
        </w:tc>
        <w:tc>
          <w:tcPr>
            <w:tcW w:w="1479" w:type="dxa"/>
            <w:shd w:val="clear" w:color="auto" w:fill="FFF2CC" w:themeFill="accent4" w:themeFillTint="33"/>
          </w:tcPr>
          <w:p w14:paraId="19904A0F" w14:textId="2A19B576" w:rsidR="00042C30" w:rsidRDefault="00610F4D"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various</w:t>
            </w:r>
          </w:p>
        </w:tc>
        <w:tc>
          <w:tcPr>
            <w:tcW w:w="2694" w:type="dxa"/>
            <w:shd w:val="clear" w:color="auto" w:fill="FFF2CC" w:themeFill="accent4" w:themeFillTint="33"/>
          </w:tcPr>
          <w:p w14:paraId="635C8367" w14:textId="3EB9A475" w:rsidR="000324D1" w:rsidRDefault="00420ED6"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215</w:t>
            </w:r>
            <w:r w:rsidRPr="000324D1">
              <w:rPr>
                <w:sz w:val="18"/>
                <w:szCs w:val="18"/>
              </w:rPr>
              <w:t xml:space="preserve"> µg/kg</w:t>
            </w:r>
            <w:r>
              <w:rPr>
                <w:sz w:val="18"/>
                <w:szCs w:val="18"/>
              </w:rPr>
              <w:t xml:space="preserve"> (urban mean)</w:t>
            </w:r>
          </w:p>
          <w:p w14:paraId="4F75DEAA" w14:textId="2897769F" w:rsidR="00042C30" w:rsidRPr="00317194" w:rsidRDefault="00420ED6"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24800</w:t>
            </w:r>
            <w:r w:rsidR="000324D1" w:rsidRPr="000324D1">
              <w:rPr>
                <w:sz w:val="18"/>
                <w:szCs w:val="18"/>
              </w:rPr>
              <w:t xml:space="preserve"> µg/kg</w:t>
            </w:r>
            <w:r w:rsidR="000324D1">
              <w:rPr>
                <w:sz w:val="18"/>
                <w:szCs w:val="18"/>
              </w:rPr>
              <w:t xml:space="preserve"> (urban max)</w:t>
            </w:r>
          </w:p>
        </w:tc>
      </w:tr>
      <w:tr w:rsidR="00D677B2" w14:paraId="37407436" w14:textId="77777777" w:rsidTr="006E0CB6">
        <w:trPr>
          <w:trHeight w:val="270"/>
        </w:trPr>
        <w:tc>
          <w:tcPr>
            <w:cnfStyle w:val="001000000000" w:firstRow="0" w:lastRow="0" w:firstColumn="1" w:lastColumn="0" w:oddVBand="0" w:evenVBand="0" w:oddHBand="0" w:evenHBand="0" w:firstRowFirstColumn="0" w:firstRowLastColumn="0" w:lastRowFirstColumn="0" w:lastRowLastColumn="0"/>
            <w:tcW w:w="1978" w:type="dxa"/>
            <w:shd w:val="clear" w:color="auto" w:fill="FFF2CC" w:themeFill="accent4" w:themeFillTint="33"/>
          </w:tcPr>
          <w:p w14:paraId="7715B72E" w14:textId="6F1565B4" w:rsidR="0061480A" w:rsidRPr="003417B9" w:rsidRDefault="0061480A" w:rsidP="0061480A">
            <w:pPr>
              <w:rPr>
                <w:b w:val="0"/>
              </w:rPr>
            </w:pPr>
            <w:r w:rsidRPr="003417B9">
              <w:rPr>
                <w:b w:val="0"/>
              </w:rPr>
              <w:t>Benzene</w:t>
            </w:r>
            <w:r w:rsidR="00EE36F9">
              <w:rPr>
                <w:b w:val="0"/>
              </w:rPr>
              <w:t xml:space="preserve"> (Solvent</w:t>
            </w:r>
            <w:r w:rsidR="00042C30">
              <w:rPr>
                <w:b w:val="0"/>
              </w:rPr>
              <w:t>, AH</w:t>
            </w:r>
            <w:r w:rsidR="00EE36F9">
              <w:rPr>
                <w:b w:val="0"/>
              </w:rPr>
              <w:t>)</w:t>
            </w:r>
          </w:p>
        </w:tc>
        <w:tc>
          <w:tcPr>
            <w:tcW w:w="1758" w:type="dxa"/>
            <w:shd w:val="clear" w:color="auto" w:fill="FFF2CC" w:themeFill="accent4" w:themeFillTint="33"/>
          </w:tcPr>
          <w:p w14:paraId="17214FE2" w14:textId="22EB8EB9"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proofErr w:type="gramStart"/>
            <w:r>
              <w:rPr>
                <w:sz w:val="18"/>
              </w:rPr>
              <w:t>AH petrol additive,</w:t>
            </w:r>
            <w:proofErr w:type="gramEnd"/>
            <w:r>
              <w:rPr>
                <w:sz w:val="18"/>
              </w:rPr>
              <w:t xml:space="preserve"> used as stock in many synthesis pipelines</w:t>
            </w:r>
          </w:p>
        </w:tc>
        <w:tc>
          <w:tcPr>
            <w:tcW w:w="1538" w:type="dxa"/>
            <w:shd w:val="clear" w:color="auto" w:fill="FFF2CC" w:themeFill="accent4" w:themeFillTint="33"/>
          </w:tcPr>
          <w:p w14:paraId="7402416D" w14:textId="54E3B50F"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r>
              <w:rPr>
                <w:sz w:val="18"/>
              </w:rPr>
              <w:t>Mutagenesis</w:t>
            </w:r>
          </w:p>
        </w:tc>
        <w:tc>
          <w:tcPr>
            <w:tcW w:w="1851" w:type="dxa"/>
            <w:shd w:val="clear" w:color="auto" w:fill="FFF2CC" w:themeFill="accent4" w:themeFillTint="33"/>
          </w:tcPr>
          <w:p w14:paraId="1594F8DF" w14:textId="391FE99A"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B172C2">
              <w:rPr>
                <w:sz w:val="18"/>
                <w:szCs w:val="18"/>
              </w:rPr>
              <w:instrText>ADDIN CSL_CITATION { "citationItems" : [ { "id" : "ITEM-1", "itemData" : { "DOI" : "10.1016/J.CHEMOSPHERE.2006.06.031", "ISSN" : "0045-6535", "abstract" : "Despite the fact that creosote mainly consists of polycyclic aromatic hydrocarbons (PAHs), more polar compounds like phenolics, benzenes and N-, S-, O-heterocyclics dominate the groundwater downstream from creosote-contaminated sites. In this study, bioassay-directed fractionation, combined with fullscan GC\u2013MS, identified organic toxicants in creosote-contaminated groundwater. An organic extract of creosote-contaminated groundwater was fractionated on a polar silica column using high performance liquid chromatography (HPLC), and the toxicity of the fractions was measured by the Microtox\u00ae-bioassay. PAHs, which comprise up to 85% of pure creosote, accounted for only about 13% of total toxicity in the creosote-contaminated groundwater, while methylated benzenes, phenolics and N-heterocyclics accounted for ca. 80% of the measured toxicity. The fraction containing alkylated quinolines was the most toxic single fraction, accounting for 26% of the total measured toxicity. The results imply that focus on PAHs may underestimate risks associated with creosote-contaminated groundwater, and that environmental risk assessment should focus to a higher degree on substituted PAHs and phenolics because they are more toxic than the unsubstituted ones. Additionally, benzenes and N-heterocyclics (e.g., alkylated quinolines) should be assessed.", "author" : [ { "dropping-particle" : "", "family" : "Hartnik", "given" : "Thomas", "non-dropping-particle" : "", "parse-names" : false, "suffix" : "" }, { "dropping-particle" : "", "family" : "Norli", "given" : "Hans Ragnar", "non-dropping-particle" : "", "parse-names" : false, "suffix" : "" }, { "dropping-particle" : "", "family" : "Eggen", "given" : "Trine", "non-dropping-particle" : "", "parse-names" : false, "suffix" : "" }, { "dropping-particle" : "", "family" : "Breedveld", "given" : "Gijsbert D.", "non-dropping-particle" : "", "parse-names" : false, "suffix" : "" } ], "container-title" : "Chemosphere", "id" : "ITEM-1", "issue" : "3", "issued" : { "date-parts" : [ [ "2007", "1", "1" ] ] }, "page" : "435-443", "publisher" : "Pergamon", "title" : "Bioassay-directed identification of toxic organic compounds in creosote-contaminated groundwater", "type" : "article-journal", "volume" : "66" }, "uris" : [ "http://www.mendeley.com/documents/?uuid=7ebe31e6-d1ae-3112-8b1a-88efc0b6dcba" ] }, { "id" : "ITEM-2", "itemData" : { "DOI" : "10.1016/j.jhazmat.2009.03.137", "abstract" : "a b s t r a c t PAHs are aromatic hydrocarbons with two or more fused benzene rings with natural as well as anthropogenic sources. They are widely distributed environmental contaminants that have detrimen-tal biological effects, toxicity, mutagenecity and carcinogenicity. Due to their ubiquitous occurrence, recalcitrance, bioaccumulation potential and carcinogenic activity, the PAHs have gathered significant environmental concern. Although PAH may undergo adsorption, volatilization, photolysis, and chemical degradation, microbial degradation is the major degradation process. PAH degradation depends on the environmental conditions, number and type of the microorganisms, nature and chemical structure of the chemical compound being degraded. They are biodegraded/biotransformed into less complex metabo-lites, and through mineralization into inorganic minerals, H 2 O, CO 2 (aerobic) or CH 4 (anaerobic) and rate of biodegradation depends on pH, temperature, oxygen, microbial population, degree of acclima-tion, accessibility of nutrients, chemical structure of the compound, cellular transport properties, and chemical partitioning in growth medium. A number of bacterial species are known to degrade PAHs and most of them are isolated from contaminated soil or sediments. Pseudomonas aeruginosa, Pseudomons fluoresens, Mycobacterium spp., Haemophilus spp., Rhodococcus spp., Paenibacillus spp. are some of the commonly studied PAH-degrading bacteria. Lignolytic fungi too have the property of PAH degradation. Phanerochaete chrysosporium, Bjerkandera adusta, and Pleurotus ostreatus are the common PAH-degrading fungi. Enzymes involved in the degradation of PAHs are oxygenase, dehydrogenase and lignolytic enzymes. Fungal lignolytic enzymes are lignin peroxidase, laccase, and manganese peroxidase. They are extracel-lular and catalyze radical formation by oxidation to destabilize bonds in a molecule. The biodegradation of PAHs has been observed under both aerobic and anaerobic conditions and the rate can be enhanced by physical/chemical pretreatment of contaminated soil. Addition of biosurfactant-producing bacteria and light oils can increase the bioavailability of PAHs and metabolic potential of the bacterial community. The supplementation of contaminated soils with compost materials can also enhance biodegradation without long-term accumulation of extractable polar and more available intermediates. Wetlands, too, have found an application in PAH removal from wastewater. \u2026", "author" : [ { "dropping-particle" : "", "family" : "Haritash", "given" : "A K", "non-dropping-particle" : "", "parse-names" : false, "suffix" : "" }, { "dropping-particle" : "", "family" : "Kaushik", "given" : "C P", "non-dropping-particle" : "", "parse-names" : false, "suffix" : "" } ], "container-title" : "Journal of Hazardous Materials", "id" : "ITEM-2", "issued" : { "date-parts" : [ [ "2009" ] ] }, "page" : "1-15", "title" : "Biodegradation aspects of Polycyclic Aromatic Hydrocarbons (PAHs): A review", "type" : "article-journal", "volume" : "169" }, "uris" : [ "http://www.mendeley.com/documents/?uuid=cb453e81-8f83-3a26-b533-014de2217afb" ] }, { "id" : "ITEM-3", "itemData" : { "ISBN" : "1844 323 145", "author" : [ { "dropping-particle" : "", "family" : "Earl", "given" : "N", "non-dropping-particle" : "", "parse-names" : false, "suffix" : "" }, { "dropping-particle" : "", "family" : "Cartwright", "given" : "C.D.", "non-dropping-particle" : "", "parse-names" : false, "suffix" : "" }, { "dropping-particle" : "", "family" : "Horrocks", "given" : "S.J.", "non-dropping-particle" : "", "parse-names" : false, "suffix" : "" }, { "dropping-particle" : "", "family" : "Worboys", "given" : "M.", "non-dropping-particle" : "", "parse-names" : false, "suffix" : "" }, { "dropping-particle" : "", "family" : "Swift", "given" : "S.", "non-dropping-particle" : "", "parse-names" : false, "suffix" : "" }, { "dropping-particle" : "", "family" : "Kirton", "given" : "J.A.", "non-dropping-particle" : "", "parse-names" : false, "suffix" : "" }, { "dropping-particle" : "", "family" : "Askan", "given" : "A.U.", "non-dropping-particle" : "", "parse-names" : false, "suffix" : "" }, { "dropping-particle" : "", "family" : "Kelleher", "given" : "H.", "non-dropping-particle" : "", "parse-names" : false, "suffix" : "" }, { "dropping-particle" : "", "family" : "Nancarrow", "given" : "D.J.", "non-dropping-particle" : "", "parse-names" : false, "suffix" : "" } ], "container-title" : "Draft R&amp;D Technical Report P5-079/TR1", "id" : "ITEM-3", "issued" : { "date-parts" : [ [ "2003" ] ] }, "page" : "190", "title" : "Review of the Fate and Transport of Selected Contaminants in the Soil Environment", "type" : "article-journal" }, "uris" : [ "http://www.mendeley.com/documents/?uuid=3e3d3110-bd15-338b-93ba-c59ea3dc08b1" ] } ], "mendeley" : { "formattedCitation" : "(Earl &lt;i&gt;et al.&lt;/i&gt;, 2003; Hartnik &lt;i&gt;et al.&lt;/i&gt;, 2007; Haritash and Kaushik, 2009)", "plainTextFormattedCitation" : "(Earl et al., 2003; Hartnik et al., 2007; Haritash and Kaushik, 2009)", "previouslyFormattedCitation" : "(Earl &lt;i&gt;et al.&lt;/i&gt;, 2003; Hartnik &lt;i&gt;et al.&lt;/i&gt;, 2007; Haritash and Kaushik, 2009)" }, "properties" : { "noteIndex" : 0 }, "schema" : "https://github.com/citation-style-language/schema/raw/master/csl-citation.json" }</w:instrText>
            </w:r>
            <w:r>
              <w:rPr>
                <w:sz w:val="18"/>
                <w:szCs w:val="18"/>
              </w:rPr>
              <w:fldChar w:fldCharType="separate"/>
            </w:r>
            <w:r w:rsidR="00A33E32" w:rsidRPr="00A33E32">
              <w:rPr>
                <w:noProof/>
                <w:sz w:val="18"/>
                <w:szCs w:val="18"/>
              </w:rPr>
              <w:t xml:space="preserve">(Earl </w:t>
            </w:r>
            <w:r w:rsidR="00A33E32" w:rsidRPr="00A33E32">
              <w:rPr>
                <w:i/>
                <w:noProof/>
                <w:sz w:val="18"/>
                <w:szCs w:val="18"/>
              </w:rPr>
              <w:t>et al.</w:t>
            </w:r>
            <w:r w:rsidR="00A33E32" w:rsidRPr="00A33E32">
              <w:rPr>
                <w:noProof/>
                <w:sz w:val="18"/>
                <w:szCs w:val="18"/>
              </w:rPr>
              <w:t xml:space="preserve">, 2003; Hartnik </w:t>
            </w:r>
            <w:r w:rsidR="00A33E32" w:rsidRPr="00A33E32">
              <w:rPr>
                <w:i/>
                <w:noProof/>
                <w:sz w:val="18"/>
                <w:szCs w:val="18"/>
              </w:rPr>
              <w:t>et al.</w:t>
            </w:r>
            <w:r w:rsidR="00A33E32" w:rsidRPr="00A33E32">
              <w:rPr>
                <w:noProof/>
                <w:sz w:val="18"/>
                <w:szCs w:val="18"/>
              </w:rPr>
              <w:t>, 2007; Haritash and Kaushik, 2009)</w:t>
            </w:r>
            <w:r>
              <w:rPr>
                <w:sz w:val="18"/>
                <w:szCs w:val="18"/>
              </w:rPr>
              <w:fldChar w:fldCharType="end"/>
            </w:r>
            <w:r>
              <w:rPr>
                <w:sz w:val="18"/>
                <w:szCs w:val="18"/>
              </w:rPr>
              <w:t xml:space="preserve"> </w:t>
            </w:r>
          </w:p>
        </w:tc>
        <w:tc>
          <w:tcPr>
            <w:tcW w:w="2167" w:type="dxa"/>
            <w:shd w:val="clear" w:color="auto" w:fill="FFF2CC" w:themeFill="accent4" w:themeFillTint="33"/>
          </w:tcPr>
          <w:p w14:paraId="5F16977B"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15 minutes</w:t>
            </w:r>
          </w:p>
          <w:p w14:paraId="0F1C49AC" w14:textId="47C2449B"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Many aquatic bacteria are known to degrade benzene</w:t>
            </w:r>
          </w:p>
        </w:tc>
        <w:tc>
          <w:tcPr>
            <w:tcW w:w="1612" w:type="dxa"/>
            <w:shd w:val="clear" w:color="auto" w:fill="FFF2CC" w:themeFill="accent4" w:themeFillTint="33"/>
          </w:tcPr>
          <w:p w14:paraId="4B4309F9" w14:textId="1E5E300A"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EC50 </w:t>
            </w:r>
            <w:r w:rsidRPr="00DB6AFF">
              <w:rPr>
                <w:sz w:val="18"/>
              </w:rPr>
              <w:t>102.78</w:t>
            </w:r>
            <w:r>
              <w:rPr>
                <w:sz w:val="18"/>
              </w:rPr>
              <w:t xml:space="preserve"> mg.l</w:t>
            </w:r>
            <w:r w:rsidRPr="00DB6AFF">
              <w:rPr>
                <w:sz w:val="18"/>
                <w:vertAlign w:val="superscript"/>
              </w:rPr>
              <w:t>-1</w:t>
            </w:r>
          </w:p>
        </w:tc>
        <w:tc>
          <w:tcPr>
            <w:tcW w:w="1479" w:type="dxa"/>
            <w:shd w:val="clear" w:color="auto" w:fill="FFF2CC" w:themeFill="accent4" w:themeFillTint="33"/>
          </w:tcPr>
          <w:p w14:paraId="557CD08D"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DMSO</w:t>
            </w:r>
          </w:p>
          <w:p w14:paraId="61E393C7" w14:textId="77777777" w:rsidR="003E0827" w:rsidRDefault="003E0827"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Water sol: </w:t>
            </w:r>
          </w:p>
          <w:p w14:paraId="65E28207" w14:textId="7B8DD4DC" w:rsidR="003E0827" w:rsidRDefault="003E0827" w:rsidP="0061480A">
            <w:pPr>
              <w:cnfStyle w:val="000000000000" w:firstRow="0" w:lastRow="0" w:firstColumn="0" w:lastColumn="0" w:oddVBand="0" w:evenVBand="0" w:oddHBand="0" w:evenHBand="0" w:firstRowFirstColumn="0" w:firstRowLastColumn="0" w:lastRowFirstColumn="0" w:lastRowLastColumn="0"/>
              <w:rPr>
                <w:sz w:val="18"/>
                <w:szCs w:val="18"/>
              </w:rPr>
            </w:pPr>
            <w:r w:rsidRPr="003E0827">
              <w:rPr>
                <w:sz w:val="18"/>
                <w:szCs w:val="18"/>
              </w:rPr>
              <w:t>1.79</w:t>
            </w:r>
            <w:r>
              <w:rPr>
                <w:sz w:val="18"/>
                <w:szCs w:val="18"/>
              </w:rPr>
              <w:t xml:space="preserve"> g/L @ 25°C</w:t>
            </w:r>
          </w:p>
        </w:tc>
        <w:tc>
          <w:tcPr>
            <w:tcW w:w="2694" w:type="dxa"/>
            <w:shd w:val="clear" w:color="auto" w:fill="FFF2CC" w:themeFill="accent4" w:themeFillTint="33"/>
          </w:tcPr>
          <w:p w14:paraId="07FCCB46" w14:textId="2DE9AE51" w:rsidR="0061480A" w:rsidRPr="00B1020E" w:rsidRDefault="00A33E32" w:rsidP="0061480A">
            <w:pPr>
              <w:cnfStyle w:val="000000000000" w:firstRow="0" w:lastRow="0" w:firstColumn="0" w:lastColumn="0" w:oddVBand="0" w:evenVBand="0" w:oddHBand="0" w:evenHBand="0" w:firstRowFirstColumn="0" w:firstRowLastColumn="0" w:lastRowFirstColumn="0" w:lastRowLastColumn="0"/>
              <w:rPr>
                <w:sz w:val="18"/>
                <w:szCs w:val="18"/>
              </w:rPr>
            </w:pPr>
            <w:r w:rsidRPr="00A33E32">
              <w:rPr>
                <w:sz w:val="18"/>
                <w:szCs w:val="18"/>
              </w:rPr>
              <w:t>0.02 mg</w:t>
            </w:r>
            <w:r>
              <w:rPr>
                <w:sz w:val="18"/>
                <w:szCs w:val="18"/>
              </w:rPr>
              <w:t>/kg (approximate mean for Europe, so not that useful)</w:t>
            </w:r>
          </w:p>
          <w:p w14:paraId="3DA327F3"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p>
        </w:tc>
      </w:tr>
    </w:tbl>
    <w:p w14:paraId="7AC762F7" w14:textId="10226487" w:rsidR="001916E1" w:rsidRDefault="001916E1"/>
    <w:sectPr w:rsidR="001916E1" w:rsidSect="00C6332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13"/>
    <w:rsid w:val="0000308B"/>
    <w:rsid w:val="00011BB1"/>
    <w:rsid w:val="000130F3"/>
    <w:rsid w:val="0001644A"/>
    <w:rsid w:val="000324D1"/>
    <w:rsid w:val="00032577"/>
    <w:rsid w:val="000402F9"/>
    <w:rsid w:val="00042C30"/>
    <w:rsid w:val="0004463E"/>
    <w:rsid w:val="000552E5"/>
    <w:rsid w:val="00081477"/>
    <w:rsid w:val="000820B9"/>
    <w:rsid w:val="00083B7B"/>
    <w:rsid w:val="000A6982"/>
    <w:rsid w:val="000A7B72"/>
    <w:rsid w:val="000B03BA"/>
    <w:rsid w:val="000B7518"/>
    <w:rsid w:val="000B75C7"/>
    <w:rsid w:val="000C4873"/>
    <w:rsid w:val="000D0172"/>
    <w:rsid w:val="000D03BC"/>
    <w:rsid w:val="000D5565"/>
    <w:rsid w:val="000D67FE"/>
    <w:rsid w:val="000E4A86"/>
    <w:rsid w:val="000E5CF0"/>
    <w:rsid w:val="000F44F0"/>
    <w:rsid w:val="0010465C"/>
    <w:rsid w:val="00104F33"/>
    <w:rsid w:val="001076A1"/>
    <w:rsid w:val="00114CA8"/>
    <w:rsid w:val="001170F6"/>
    <w:rsid w:val="0012215C"/>
    <w:rsid w:val="00122B45"/>
    <w:rsid w:val="0012501D"/>
    <w:rsid w:val="00127648"/>
    <w:rsid w:val="001360BB"/>
    <w:rsid w:val="00137120"/>
    <w:rsid w:val="001408F6"/>
    <w:rsid w:val="001409C2"/>
    <w:rsid w:val="0015272F"/>
    <w:rsid w:val="0017381B"/>
    <w:rsid w:val="0017772D"/>
    <w:rsid w:val="001801D9"/>
    <w:rsid w:val="001916E1"/>
    <w:rsid w:val="001B0675"/>
    <w:rsid w:val="001B4032"/>
    <w:rsid w:val="001B4A5D"/>
    <w:rsid w:val="001C7035"/>
    <w:rsid w:val="001E7E68"/>
    <w:rsid w:val="00204DD5"/>
    <w:rsid w:val="00234990"/>
    <w:rsid w:val="00246A6F"/>
    <w:rsid w:val="00251337"/>
    <w:rsid w:val="0025734E"/>
    <w:rsid w:val="00262A75"/>
    <w:rsid w:val="00263EB5"/>
    <w:rsid w:val="00265641"/>
    <w:rsid w:val="002777FC"/>
    <w:rsid w:val="00281713"/>
    <w:rsid w:val="002C2E9F"/>
    <w:rsid w:val="002C6AB5"/>
    <w:rsid w:val="002D3B7E"/>
    <w:rsid w:val="00317194"/>
    <w:rsid w:val="003179D7"/>
    <w:rsid w:val="0032265D"/>
    <w:rsid w:val="003249C8"/>
    <w:rsid w:val="00331AE2"/>
    <w:rsid w:val="003417B9"/>
    <w:rsid w:val="003507EF"/>
    <w:rsid w:val="00353F98"/>
    <w:rsid w:val="003662EC"/>
    <w:rsid w:val="0037585A"/>
    <w:rsid w:val="00387987"/>
    <w:rsid w:val="003923AF"/>
    <w:rsid w:val="003A7406"/>
    <w:rsid w:val="003A7E82"/>
    <w:rsid w:val="003B07A1"/>
    <w:rsid w:val="003B3C0F"/>
    <w:rsid w:val="003C3E64"/>
    <w:rsid w:val="003C7FC1"/>
    <w:rsid w:val="003E0827"/>
    <w:rsid w:val="003E6C62"/>
    <w:rsid w:val="003F4176"/>
    <w:rsid w:val="00410B02"/>
    <w:rsid w:val="00412353"/>
    <w:rsid w:val="00412F3A"/>
    <w:rsid w:val="00420ED6"/>
    <w:rsid w:val="0042618B"/>
    <w:rsid w:val="00436334"/>
    <w:rsid w:val="00443204"/>
    <w:rsid w:val="00447101"/>
    <w:rsid w:val="004634E3"/>
    <w:rsid w:val="00465193"/>
    <w:rsid w:val="00467A49"/>
    <w:rsid w:val="00483606"/>
    <w:rsid w:val="00484255"/>
    <w:rsid w:val="004A0EDF"/>
    <w:rsid w:val="004A30FC"/>
    <w:rsid w:val="004A62AF"/>
    <w:rsid w:val="004B5980"/>
    <w:rsid w:val="004C409E"/>
    <w:rsid w:val="004D2937"/>
    <w:rsid w:val="004D632C"/>
    <w:rsid w:val="004E1786"/>
    <w:rsid w:val="004E3735"/>
    <w:rsid w:val="004E74DB"/>
    <w:rsid w:val="005114EC"/>
    <w:rsid w:val="00546B24"/>
    <w:rsid w:val="00551CA0"/>
    <w:rsid w:val="00556A7F"/>
    <w:rsid w:val="005579A2"/>
    <w:rsid w:val="0057181B"/>
    <w:rsid w:val="00592DDF"/>
    <w:rsid w:val="00593B6C"/>
    <w:rsid w:val="00597EE2"/>
    <w:rsid w:val="005A4B07"/>
    <w:rsid w:val="005D2F0E"/>
    <w:rsid w:val="005F1E11"/>
    <w:rsid w:val="00607063"/>
    <w:rsid w:val="0061081C"/>
    <w:rsid w:val="00610F4D"/>
    <w:rsid w:val="00612F99"/>
    <w:rsid w:val="006141BB"/>
    <w:rsid w:val="0061480A"/>
    <w:rsid w:val="006365A4"/>
    <w:rsid w:val="00636C9C"/>
    <w:rsid w:val="00656171"/>
    <w:rsid w:val="006567C0"/>
    <w:rsid w:val="00656955"/>
    <w:rsid w:val="0066270A"/>
    <w:rsid w:val="006640BF"/>
    <w:rsid w:val="0066654A"/>
    <w:rsid w:val="0066692B"/>
    <w:rsid w:val="0068144B"/>
    <w:rsid w:val="00682913"/>
    <w:rsid w:val="006869E1"/>
    <w:rsid w:val="00697725"/>
    <w:rsid w:val="006A0205"/>
    <w:rsid w:val="006B267C"/>
    <w:rsid w:val="006B2C3A"/>
    <w:rsid w:val="006E0CB6"/>
    <w:rsid w:val="006F3175"/>
    <w:rsid w:val="0070143E"/>
    <w:rsid w:val="00723D99"/>
    <w:rsid w:val="00730636"/>
    <w:rsid w:val="00734AC9"/>
    <w:rsid w:val="007365FF"/>
    <w:rsid w:val="00740454"/>
    <w:rsid w:val="00744FC4"/>
    <w:rsid w:val="007524ED"/>
    <w:rsid w:val="007642D9"/>
    <w:rsid w:val="007759B2"/>
    <w:rsid w:val="007859C7"/>
    <w:rsid w:val="00785F6B"/>
    <w:rsid w:val="007861EA"/>
    <w:rsid w:val="00792ED3"/>
    <w:rsid w:val="00796C61"/>
    <w:rsid w:val="007A41C0"/>
    <w:rsid w:val="007D1857"/>
    <w:rsid w:val="007D2F58"/>
    <w:rsid w:val="007E0D87"/>
    <w:rsid w:val="007E27E5"/>
    <w:rsid w:val="00803936"/>
    <w:rsid w:val="008078C4"/>
    <w:rsid w:val="00820A61"/>
    <w:rsid w:val="00826348"/>
    <w:rsid w:val="00830426"/>
    <w:rsid w:val="008308C9"/>
    <w:rsid w:val="008368AF"/>
    <w:rsid w:val="0085378E"/>
    <w:rsid w:val="00862030"/>
    <w:rsid w:val="008639EE"/>
    <w:rsid w:val="00863A0C"/>
    <w:rsid w:val="008739D8"/>
    <w:rsid w:val="0088404E"/>
    <w:rsid w:val="00884159"/>
    <w:rsid w:val="00893706"/>
    <w:rsid w:val="0089737B"/>
    <w:rsid w:val="008B7B37"/>
    <w:rsid w:val="008C32F2"/>
    <w:rsid w:val="008C692C"/>
    <w:rsid w:val="008C6F96"/>
    <w:rsid w:val="008D0EAA"/>
    <w:rsid w:val="008E657E"/>
    <w:rsid w:val="008F4E3F"/>
    <w:rsid w:val="00902572"/>
    <w:rsid w:val="00912A59"/>
    <w:rsid w:val="00913873"/>
    <w:rsid w:val="00923281"/>
    <w:rsid w:val="0093508C"/>
    <w:rsid w:val="00960623"/>
    <w:rsid w:val="0098153F"/>
    <w:rsid w:val="0098566A"/>
    <w:rsid w:val="00990F70"/>
    <w:rsid w:val="00993B87"/>
    <w:rsid w:val="009F574E"/>
    <w:rsid w:val="009F585C"/>
    <w:rsid w:val="00A02A26"/>
    <w:rsid w:val="00A16FB1"/>
    <w:rsid w:val="00A24ED8"/>
    <w:rsid w:val="00A3251D"/>
    <w:rsid w:val="00A33E32"/>
    <w:rsid w:val="00A403DD"/>
    <w:rsid w:val="00A46D6B"/>
    <w:rsid w:val="00A617D9"/>
    <w:rsid w:val="00A8371B"/>
    <w:rsid w:val="00A8714C"/>
    <w:rsid w:val="00A90D48"/>
    <w:rsid w:val="00A91B7C"/>
    <w:rsid w:val="00A97DC4"/>
    <w:rsid w:val="00AA2D51"/>
    <w:rsid w:val="00AA411E"/>
    <w:rsid w:val="00AB6146"/>
    <w:rsid w:val="00AC2837"/>
    <w:rsid w:val="00AE00BF"/>
    <w:rsid w:val="00AE268D"/>
    <w:rsid w:val="00AF2DCE"/>
    <w:rsid w:val="00AF5864"/>
    <w:rsid w:val="00AF7143"/>
    <w:rsid w:val="00AF7915"/>
    <w:rsid w:val="00B1020E"/>
    <w:rsid w:val="00B14AAC"/>
    <w:rsid w:val="00B172C2"/>
    <w:rsid w:val="00B36B4D"/>
    <w:rsid w:val="00B56868"/>
    <w:rsid w:val="00B56DD1"/>
    <w:rsid w:val="00BA4812"/>
    <w:rsid w:val="00BA6E83"/>
    <w:rsid w:val="00BB5579"/>
    <w:rsid w:val="00BC1A0E"/>
    <w:rsid w:val="00BC3020"/>
    <w:rsid w:val="00BC639A"/>
    <w:rsid w:val="00C03BA1"/>
    <w:rsid w:val="00C46368"/>
    <w:rsid w:val="00C50484"/>
    <w:rsid w:val="00C60637"/>
    <w:rsid w:val="00C63326"/>
    <w:rsid w:val="00C64BB1"/>
    <w:rsid w:val="00C72D33"/>
    <w:rsid w:val="00C76767"/>
    <w:rsid w:val="00C83700"/>
    <w:rsid w:val="00C84067"/>
    <w:rsid w:val="00C878E1"/>
    <w:rsid w:val="00C903B6"/>
    <w:rsid w:val="00C903F0"/>
    <w:rsid w:val="00C95CA7"/>
    <w:rsid w:val="00C97AD1"/>
    <w:rsid w:val="00CA151E"/>
    <w:rsid w:val="00CA3310"/>
    <w:rsid w:val="00CC0DF5"/>
    <w:rsid w:val="00CD43F8"/>
    <w:rsid w:val="00CE1771"/>
    <w:rsid w:val="00CE5537"/>
    <w:rsid w:val="00CE6208"/>
    <w:rsid w:val="00CF33FF"/>
    <w:rsid w:val="00CF69BC"/>
    <w:rsid w:val="00D001D4"/>
    <w:rsid w:val="00D02544"/>
    <w:rsid w:val="00D240DB"/>
    <w:rsid w:val="00D26269"/>
    <w:rsid w:val="00D33180"/>
    <w:rsid w:val="00D343E1"/>
    <w:rsid w:val="00D43AEB"/>
    <w:rsid w:val="00D56221"/>
    <w:rsid w:val="00D6127C"/>
    <w:rsid w:val="00D677B2"/>
    <w:rsid w:val="00D70C50"/>
    <w:rsid w:val="00D745B7"/>
    <w:rsid w:val="00D95C6D"/>
    <w:rsid w:val="00DA6762"/>
    <w:rsid w:val="00DA7035"/>
    <w:rsid w:val="00DB1B6C"/>
    <w:rsid w:val="00DB31DA"/>
    <w:rsid w:val="00DB481A"/>
    <w:rsid w:val="00DB6A57"/>
    <w:rsid w:val="00DB6AFF"/>
    <w:rsid w:val="00DD542C"/>
    <w:rsid w:val="00E038A2"/>
    <w:rsid w:val="00E0712D"/>
    <w:rsid w:val="00E14415"/>
    <w:rsid w:val="00E149BD"/>
    <w:rsid w:val="00E15ECF"/>
    <w:rsid w:val="00E30EF6"/>
    <w:rsid w:val="00E3314C"/>
    <w:rsid w:val="00E34473"/>
    <w:rsid w:val="00E36DBD"/>
    <w:rsid w:val="00E44C83"/>
    <w:rsid w:val="00E46194"/>
    <w:rsid w:val="00E53B17"/>
    <w:rsid w:val="00E64588"/>
    <w:rsid w:val="00E901B5"/>
    <w:rsid w:val="00E97F60"/>
    <w:rsid w:val="00EA2D3E"/>
    <w:rsid w:val="00EA728E"/>
    <w:rsid w:val="00ED24BB"/>
    <w:rsid w:val="00EE36F9"/>
    <w:rsid w:val="00EF0F60"/>
    <w:rsid w:val="00EF4548"/>
    <w:rsid w:val="00F073C9"/>
    <w:rsid w:val="00F27800"/>
    <w:rsid w:val="00F3066B"/>
    <w:rsid w:val="00F3068C"/>
    <w:rsid w:val="00F37475"/>
    <w:rsid w:val="00F41098"/>
    <w:rsid w:val="00F45DCD"/>
    <w:rsid w:val="00F675C4"/>
    <w:rsid w:val="00F85620"/>
    <w:rsid w:val="00FA09F7"/>
    <w:rsid w:val="00FA7E6E"/>
    <w:rsid w:val="00FC51C2"/>
    <w:rsid w:val="00FD1ECE"/>
    <w:rsid w:val="00FE0425"/>
    <w:rsid w:val="00FE1780"/>
    <w:rsid w:val="00FF64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ECDE"/>
  <w15:chartTrackingRefBased/>
  <w15:docId w15:val="{074D592A-7454-4E21-B8B6-362638E7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829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4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77557">
      <w:bodyDiv w:val="1"/>
      <w:marLeft w:val="0"/>
      <w:marRight w:val="0"/>
      <w:marTop w:val="0"/>
      <w:marBottom w:val="0"/>
      <w:divBdr>
        <w:top w:val="none" w:sz="0" w:space="0" w:color="auto"/>
        <w:left w:val="none" w:sz="0" w:space="0" w:color="auto"/>
        <w:bottom w:val="none" w:sz="0" w:space="0" w:color="auto"/>
        <w:right w:val="none" w:sz="0" w:space="0" w:color="auto"/>
      </w:divBdr>
    </w:div>
    <w:div w:id="1407918272">
      <w:bodyDiv w:val="1"/>
      <w:marLeft w:val="0"/>
      <w:marRight w:val="0"/>
      <w:marTop w:val="0"/>
      <w:marBottom w:val="0"/>
      <w:divBdr>
        <w:top w:val="none" w:sz="0" w:space="0" w:color="auto"/>
        <w:left w:val="none" w:sz="0" w:space="0" w:color="auto"/>
        <w:bottom w:val="none" w:sz="0" w:space="0" w:color="auto"/>
        <w:right w:val="none" w:sz="0" w:space="0" w:color="auto"/>
      </w:divBdr>
    </w:div>
    <w:div w:id="1570268686">
      <w:bodyDiv w:val="1"/>
      <w:marLeft w:val="0"/>
      <w:marRight w:val="0"/>
      <w:marTop w:val="0"/>
      <w:marBottom w:val="0"/>
      <w:divBdr>
        <w:top w:val="none" w:sz="0" w:space="0" w:color="auto"/>
        <w:left w:val="none" w:sz="0" w:space="0" w:color="auto"/>
        <w:bottom w:val="none" w:sz="0" w:space="0" w:color="auto"/>
        <w:right w:val="none" w:sz="0" w:space="0" w:color="auto"/>
      </w:divBdr>
    </w:div>
    <w:div w:id="193916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39AA9-2F0F-444E-8189-0DCC1461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7125</Words>
  <Characters>40614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12</cp:revision>
  <dcterms:created xsi:type="dcterms:W3CDTF">2018-06-05T16:36:00Z</dcterms:created>
  <dcterms:modified xsi:type="dcterms:W3CDTF">2018-06-25T12:04:00Z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