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77" w:type="dxa"/>
        <w:tblLook w:val="04A0" w:firstRow="1" w:lastRow="0" w:firstColumn="1" w:lastColumn="0" w:noHBand="0" w:noVBand="1"/>
      </w:tblPr>
      <w:tblGrid>
        <w:gridCol w:w="1978"/>
        <w:gridCol w:w="1758"/>
        <w:gridCol w:w="1538"/>
        <w:gridCol w:w="1851"/>
        <w:gridCol w:w="2167"/>
        <w:gridCol w:w="1612"/>
        <w:gridCol w:w="1479"/>
        <w:gridCol w:w="2694"/>
      </w:tblGrid>
      <w:tr w:rsidR="00D677B2" w14:paraId="654F0031" w14:textId="77777777" w:rsidTr="006E0CB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8" w:type="dxa"/>
            <w:shd w:val="clear" w:color="auto" w:fill="A6A6A6" w:themeFill="background1" w:themeFillShade="A6"/>
          </w:tcPr>
          <w:p w14:paraId="2C933DF7" w14:textId="77777777" w:rsidR="00697725" w:rsidRDefault="00697725" w:rsidP="00697725">
            <w:r>
              <w:t>Stressor</w:t>
            </w:r>
          </w:p>
        </w:tc>
        <w:tc>
          <w:tcPr>
            <w:tcW w:w="1758" w:type="dxa"/>
            <w:shd w:val="clear" w:color="auto" w:fill="A6A6A6" w:themeFill="background1" w:themeFillShade="A6"/>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38" w:type="dxa"/>
            <w:shd w:val="clear" w:color="auto" w:fill="A6A6A6" w:themeFill="background1" w:themeFillShade="A6"/>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51" w:type="dxa"/>
            <w:shd w:val="clear" w:color="auto" w:fill="A6A6A6" w:themeFill="background1" w:themeFillShade="A6"/>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167" w:type="dxa"/>
            <w:shd w:val="clear" w:color="auto" w:fill="A6A6A6" w:themeFill="background1" w:themeFillShade="A6"/>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12" w:type="dxa"/>
            <w:shd w:val="clear" w:color="auto" w:fill="A6A6A6" w:themeFill="background1" w:themeFillShade="A6"/>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479" w:type="dxa"/>
            <w:shd w:val="clear" w:color="auto" w:fill="A6A6A6" w:themeFill="background1" w:themeFillShade="A6"/>
          </w:tcPr>
          <w:p w14:paraId="5E59715F" w14:textId="0EE9478F"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Solvent </w:t>
            </w:r>
          </w:p>
        </w:tc>
        <w:tc>
          <w:tcPr>
            <w:tcW w:w="2694" w:type="dxa"/>
            <w:shd w:val="clear" w:color="auto" w:fill="A6A6A6" w:themeFill="background1" w:themeFillShade="A6"/>
          </w:tcPr>
          <w:p w14:paraId="285F265A" w14:textId="25CB9E64" w:rsidR="00697725" w:rsidRPr="00E36DBD" w:rsidRDefault="004D2937" w:rsidP="00697725">
            <w:pPr>
              <w:cnfStyle w:val="100000000000" w:firstRow="1" w:lastRow="0" w:firstColumn="0" w:lastColumn="0" w:oddVBand="0" w:evenVBand="0" w:oddHBand="0" w:evenHBand="0" w:firstRowFirstColumn="0" w:firstRowLastColumn="0" w:lastRowFirstColumn="0" w:lastRowLastColumn="0"/>
              <w:rPr>
                <w:sz w:val="21"/>
                <w:szCs w:val="21"/>
              </w:rPr>
            </w:pPr>
            <w:r w:rsidRPr="00E36DBD">
              <w:rPr>
                <w:sz w:val="21"/>
                <w:szCs w:val="21"/>
              </w:rPr>
              <w:t>Concentration, UKSHS 2007</w:t>
            </w:r>
          </w:p>
        </w:tc>
      </w:tr>
      <w:tr w:rsidR="0061480A" w14:paraId="00891587" w14:textId="77777777" w:rsidTr="003417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EEAF6" w:themeFill="accent5" w:themeFillTint="33"/>
          </w:tcPr>
          <w:p w14:paraId="5CE2B6BB" w14:textId="542B4E05" w:rsidR="0061480A" w:rsidRDefault="0061480A" w:rsidP="00697725">
            <w:pPr>
              <w:rPr>
                <w:sz w:val="18"/>
                <w:szCs w:val="18"/>
              </w:rPr>
            </w:pPr>
            <w:r>
              <w:t>Antibiotics</w:t>
            </w:r>
          </w:p>
        </w:tc>
      </w:tr>
      <w:tr w:rsidR="00D677B2" w14:paraId="15E9093C" w14:textId="77777777" w:rsidTr="006E0CB6">
        <w:trPr>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DEEAF6" w:themeFill="accent5" w:themeFillTint="33"/>
          </w:tcPr>
          <w:p w14:paraId="76A437DC" w14:textId="679E21FB" w:rsidR="00697725" w:rsidRPr="003417B9" w:rsidRDefault="00C50484" w:rsidP="00697725">
            <w:pPr>
              <w:rPr>
                <w:b w:val="0"/>
              </w:rPr>
            </w:pPr>
            <w:r w:rsidRPr="003417B9">
              <w:rPr>
                <w:b w:val="0"/>
              </w:rPr>
              <w:t>Chloramphenicol</w:t>
            </w:r>
          </w:p>
        </w:tc>
        <w:tc>
          <w:tcPr>
            <w:tcW w:w="1758" w:type="dxa"/>
            <w:shd w:val="clear" w:color="auto" w:fill="DEEAF6" w:themeFill="accent5" w:themeFillTint="33"/>
          </w:tcPr>
          <w:p w14:paraId="14FFE797" w14:textId="6E36418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and long-used antibiotic (bacteriostatic)</w:t>
            </w:r>
          </w:p>
        </w:tc>
        <w:tc>
          <w:tcPr>
            <w:tcW w:w="1538" w:type="dxa"/>
            <w:shd w:val="clear" w:color="auto" w:fill="DEEAF6" w:themeFill="accent5" w:themeFillTint="33"/>
          </w:tcPr>
          <w:p w14:paraId="3864384A" w14:textId="2BFC5365"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protein chain elongation via peptidyl transferase</w:t>
            </w:r>
          </w:p>
        </w:tc>
        <w:tc>
          <w:tcPr>
            <w:tcW w:w="1851" w:type="dxa"/>
            <w:shd w:val="clear" w:color="auto" w:fill="DEEAF6" w:themeFill="accent5" w:themeFillTint="33"/>
          </w:tcPr>
          <w:p w14:paraId="77D03DB4" w14:textId="46C2816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"noteIndex" : 0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167" w:type="dxa"/>
            <w:shd w:val="clear" w:color="auto" w:fill="DEEAF6" w:themeFill="accent5" w:themeFillTint="33"/>
          </w:tcPr>
          <w:p w14:paraId="0ADC25E5" w14:textId="5FA531DB" w:rsidR="00697725" w:rsidRPr="003249C8" w:rsidRDefault="003249C8"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12" w:type="dxa"/>
            <w:shd w:val="clear" w:color="auto" w:fill="DEEAF6" w:themeFill="accent5" w:themeFillTint="33"/>
          </w:tcPr>
          <w:p w14:paraId="30EA18E3" w14:textId="77777777" w:rsidR="00697725"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479" w:type="dxa"/>
            <w:shd w:val="clear" w:color="auto" w:fill="DEEAF6" w:themeFill="accent5" w:themeFillTint="33"/>
          </w:tcPr>
          <w:p w14:paraId="1DBB0148" w14:textId="1D2C9C3B" w:rsidR="00697725" w:rsidRPr="00723D99" w:rsidRDefault="00723D99"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Resistance = </w:t>
            </w:r>
            <w:r>
              <w:t xml:space="preserve"> </w:t>
            </w:r>
            <w:r w:rsidRPr="00723D99">
              <w:rPr>
                <w:sz w:val="18"/>
                <w:szCs w:val="18"/>
              </w:rPr>
              <w:t>specific inactivating chloramphenicol acetyltransferase</w:t>
            </w:r>
          </w:p>
        </w:tc>
        <w:tc>
          <w:tcPr>
            <w:tcW w:w="2694" w:type="dxa"/>
            <w:shd w:val="clear" w:color="auto" w:fill="DEEAF6" w:themeFill="accent5" w:themeFillTint="33"/>
          </w:tcPr>
          <w:p w14:paraId="2A2CDB62" w14:textId="32E146CA" w:rsidR="00697725" w:rsidRPr="00E30EF6" w:rsidRDefault="00465193" w:rsidP="00697725">
            <w:pPr>
              <w:cnfStyle w:val="000000000000" w:firstRow="0" w:lastRow="0" w:firstColumn="0" w:lastColumn="0" w:oddVBand="0" w:evenVBand="0" w:oddHBand="0" w:evenHBand="0" w:firstRowFirstColumn="0" w:firstRowLastColumn="0" w:lastRowFirstColumn="0" w:lastRowLastColumn="0"/>
              <w:rPr>
                <w:sz w:val="18"/>
                <w:szCs w:val="18"/>
              </w:rPr>
            </w:pPr>
            <w:r w:rsidRPr="00465193">
              <w:rPr>
                <w:sz w:val="18"/>
                <w:szCs w:val="18"/>
              </w:rPr>
              <w:t>53.8</w:t>
            </w:r>
            <w:r>
              <w:rPr>
                <w:sz w:val="18"/>
                <w:szCs w:val="18"/>
              </w:rPr>
              <w:t xml:space="preserve"> ng.L</w:t>
            </w:r>
            <w:r w:rsidRPr="00465193">
              <w:rPr>
                <w:sz w:val="18"/>
                <w:szCs w:val="18"/>
                <w:vertAlign w:val="superscript"/>
              </w:rPr>
              <w:t>-1</w:t>
            </w:r>
            <w:r>
              <w:rPr>
                <w:sz w:val="18"/>
                <w:szCs w:val="18"/>
                <w:vertAlign w:val="superscript"/>
              </w:rPr>
              <w:t xml:space="preserve"> </w:t>
            </w:r>
            <w:r w:rsidR="00E30EF6">
              <w:rPr>
                <w:sz w:val="18"/>
                <w:szCs w:val="18"/>
                <w:vertAlign w:val="superscript"/>
              </w:rPr>
              <w:fldChar w:fldCharType="begin" w:fldLock="1"/>
            </w:r>
            <w:r w:rsidR="00592DDF">
              <w:rPr>
                <w:sz w:val="18"/>
                <w:szCs w:val="18"/>
                <w:vertAlign w:val="superscript"/>
              </w:rPr>
              <w:instrText>ADDIN CSL_CITATION { "citationItems" : [ { "id" : "ITEM-1", "itemData" : { "DOI" : "10.1897/07-143.1", "ISBN" : "0730-7268 (Print)", "ISSN" : "07307268", "PMID" : "17944547", "abstract" : "We evaluated the occurrence of three antibiotics (roxithromycin, trimethoprim, and chloramphenicol) in surface water and effluents from several sewage treatment plants (STPs) on the Han River, Korea. In addition, standard acute toxicity tests were conducted using the microbe Vibrio fischeri, freshwater macroinvertebrates Daphnia magna and Moina macrocopa, and fish (Oryzias latipes) for these antibiotics. Antibiotics were more frequently detected at higher amounts in effluent samples and in samples collected during the low-flow season. For trimethoprim and chloramphenicol, the levels observed in surface water during low flow were, on average, 108 and 31 ng/L, respectively. These levels were comparable to those measured in the municipal effluents (average, 80 and 37 ng/L, respectively), suggesting the presence of other sources upstream (e.g., livestock wastes). For roxithromycin, surface water levels were approximately an order of magnitude lower than effluent levels. Adverse effects of roxithromycin, trimethoprim, and chloramphenicol were observed at mg/L levels in standard acute aquatic ecotoxicity tests. Based on hazard quotients calculated for the three antibiotics, minimal risks to aquatic systems are suggested. To further increase scientific understanding about the potential impacts of these pharmaceuticals in the environment, however, chronic ecotoxicology studies, with more subtle but ecologically meaningful end points or in combination with other mechanistically related contaminants, may be beneficial.", "author" : [ { "dropping-particle" : "", "family" : "Choi", "given" : "Kyungho", "non-dropping-particle" : "", "parse-names" : false, "suffix" : "" }, { "dropping-particle" : "", "family" : "Kim", "given" : "Younghee", "non-dropping-particle" : "", "parse-names" : false, "suffix" : "" }, { "dropping-particle" : "", "family" : "Jung", "given" : "Jinyong", "non-dropping-particle" : "", "parse-names" : false, "suffix" : "" }, { "dropping-particle" : "", "family" : "Kim", "given" : "Myung Hyun", "non-dropping-particle" : "", "parse-names" : false, "suffix" : "" }, { "dropping-particle" : "", "family" : "Kim", "given" : "Chang Soo", "non-dropping-particle" : "", "parse-names" : false, "suffix" : "" }, { "dropping-particle" : "", "family" : "Kim", "given" : "Nam Hee", "non-dropping-particle" : "", "parse-names" : false, "suffix" : "" }, { "dropping-particle" : "", "family" : "Park", "given" : "Jeongim", "non-dropping-particle" : "", "parse-names" : false, "suffix" : "" } ], "container-title" : "Environmental Toxicology and Chemistry", "id" : "ITEM-1", "issue" : "3", "issued" : { "date-parts" : [ [ "2008" ] ] }, "page" : "711-719", "title" : "Occurrences and ecological risks of roxithromycin, trimethoprim, and chloramphenicol in the Han River, Korea", "type" : "article-journal", "volume" : "27" }, "uris" : [ "http://www.mendeley.com/documents/?uuid=98d10328-fcaa-4885-99a2-aefcf53d9a1f" ] } ], "mendeley" : { "formattedCitation" : "(Choi &lt;i&gt;et al.&lt;/i&gt;, 2008)", "plainTextFormattedCitation" : "(Choi et al., 2008)", "previouslyFormattedCitation" : "(Choi &lt;i&gt;et al.&lt;/i&gt;, 2008)" }, "properties" : { "noteIndex" : 0 }, "schema" : "https://github.com/citation-style-language/schema/raw/master/csl-citation.json" }</w:instrText>
            </w:r>
            <w:r w:rsidR="00E30EF6">
              <w:rPr>
                <w:sz w:val="18"/>
                <w:szCs w:val="18"/>
                <w:vertAlign w:val="superscript"/>
              </w:rPr>
              <w:fldChar w:fldCharType="separate"/>
            </w:r>
            <w:r w:rsidR="00E30EF6" w:rsidRPr="00E30EF6">
              <w:rPr>
                <w:noProof/>
                <w:sz w:val="18"/>
                <w:szCs w:val="18"/>
              </w:rPr>
              <w:t xml:space="preserve">(Choi </w:t>
            </w:r>
            <w:r w:rsidR="00E30EF6" w:rsidRPr="00E30EF6">
              <w:rPr>
                <w:i/>
                <w:noProof/>
                <w:sz w:val="18"/>
                <w:szCs w:val="18"/>
              </w:rPr>
              <w:t>et al.</w:t>
            </w:r>
            <w:r w:rsidR="00E30EF6" w:rsidRPr="00E30EF6">
              <w:rPr>
                <w:noProof/>
                <w:sz w:val="18"/>
                <w:szCs w:val="18"/>
              </w:rPr>
              <w:t>, 2008)</w:t>
            </w:r>
            <w:r w:rsidR="00E30EF6">
              <w:rPr>
                <w:sz w:val="18"/>
                <w:szCs w:val="18"/>
                <w:vertAlign w:val="superscript"/>
              </w:rPr>
              <w:fldChar w:fldCharType="end"/>
            </w:r>
            <w:r w:rsidR="00E30EF6">
              <w:rPr>
                <w:sz w:val="18"/>
                <w:szCs w:val="18"/>
              </w:rPr>
              <w:t xml:space="preserve"> (a high measure in the Han River, Korea)</w:t>
            </w:r>
          </w:p>
        </w:tc>
      </w:tr>
      <w:tr w:rsidR="00D677B2" w14:paraId="2AB173C4" w14:textId="77777777" w:rsidTr="006E0C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DEEAF6" w:themeFill="accent5" w:themeFillTint="33"/>
          </w:tcPr>
          <w:p w14:paraId="78D4B5A1" w14:textId="2DF5E195" w:rsidR="00BA4812" w:rsidRPr="003417B9" w:rsidRDefault="00BA4812" w:rsidP="00BA4812">
            <w:pPr>
              <w:rPr>
                <w:b w:val="0"/>
              </w:rPr>
            </w:pPr>
            <w:r w:rsidRPr="003417B9">
              <w:rPr>
                <w:b w:val="0"/>
              </w:rPr>
              <w:t>Amoxycillin</w:t>
            </w:r>
          </w:p>
        </w:tc>
        <w:tc>
          <w:tcPr>
            <w:tcW w:w="1758" w:type="dxa"/>
            <w:shd w:val="clear" w:color="auto" w:fill="DEEAF6" w:themeFill="accent5" w:themeFillTint="33"/>
          </w:tcPr>
          <w:p w14:paraId="1348C8AB" w14:textId="4CDBE7AC"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38" w:type="dxa"/>
            <w:shd w:val="clear" w:color="auto" w:fill="DEEAF6" w:themeFill="accent5" w:themeFillTint="33"/>
          </w:tcPr>
          <w:p w14:paraId="6A47003D" w14:textId="2B53837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51" w:type="dxa"/>
            <w:shd w:val="clear" w:color="auto" w:fill="DEEAF6" w:themeFill="accent5" w:themeFillTint="33"/>
          </w:tcPr>
          <w:p w14:paraId="40E1263C" w14:textId="44819C71"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"noteIndex" : 0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167" w:type="dxa"/>
            <w:shd w:val="clear" w:color="auto" w:fill="DEEAF6" w:themeFill="accent5" w:themeFillTint="33"/>
          </w:tcPr>
          <w:p w14:paraId="1884B23A" w14:textId="5F54C98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evidence of resistance in sewerage or stream bacteria</w:t>
            </w:r>
          </w:p>
        </w:tc>
        <w:tc>
          <w:tcPr>
            <w:tcW w:w="1612" w:type="dxa"/>
            <w:shd w:val="clear" w:color="auto" w:fill="DEEAF6" w:themeFill="accent5" w:themeFillTint="33"/>
          </w:tcPr>
          <w:p w14:paraId="35B61A29" w14:textId="52C3E6EE"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Significant drop in mean denitrification rates (33%) by bacteria @ 1mg.l</w:t>
            </w:r>
            <w:r w:rsidRPr="00C64BB1">
              <w:rPr>
                <w:sz w:val="18"/>
                <w:szCs w:val="18"/>
                <w:vertAlign w:val="superscript"/>
              </w:rPr>
              <w:t>-1</w:t>
            </w:r>
          </w:p>
        </w:tc>
        <w:tc>
          <w:tcPr>
            <w:tcW w:w="1479" w:type="dxa"/>
            <w:shd w:val="clear" w:color="auto" w:fill="DEEAF6" w:themeFill="accent5" w:themeFillTint="33"/>
          </w:tcPr>
          <w:p w14:paraId="26166E7D" w14:textId="1B6F5413" w:rsidR="00BA4812" w:rsidRDefault="00723D99"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Resistance generally =  </w:t>
            </w:r>
            <w:r w:rsidRPr="00723D99">
              <w:rPr>
                <w:sz w:val="18"/>
                <w:szCs w:val="18"/>
              </w:rPr>
              <w:t>Beta-Lactamase production</w:t>
            </w:r>
            <w:r>
              <w:rPr>
                <w:sz w:val="18"/>
                <w:szCs w:val="18"/>
              </w:rPr>
              <w:t>, sometimes efflux</w:t>
            </w:r>
          </w:p>
        </w:tc>
        <w:tc>
          <w:tcPr>
            <w:tcW w:w="2694" w:type="dxa"/>
            <w:shd w:val="clear" w:color="auto" w:fill="DEEAF6" w:themeFill="accent5" w:themeFillTint="33"/>
          </w:tcPr>
          <w:p w14:paraId="459971D9" w14:textId="7C249DFD" w:rsidR="00BA4812" w:rsidRDefault="00B172C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 ng.l</w:t>
            </w:r>
            <w:r w:rsidRPr="00B172C2">
              <w:rPr>
                <w:sz w:val="18"/>
                <w:szCs w:val="18"/>
                <w:vertAlign w:val="superscript"/>
              </w:rPr>
              <w:t>-1</w:t>
            </w:r>
            <w:r w:rsidR="00E038A2">
              <w:rPr>
                <w:sz w:val="18"/>
                <w:szCs w:val="18"/>
                <w:vertAlign w:val="subscript"/>
              </w:rPr>
              <w:t xml:space="preserve"> </w:t>
            </w:r>
            <w:r>
              <w:rPr>
                <w:sz w:val="18"/>
                <w:szCs w:val="18"/>
              </w:rPr>
              <w:t xml:space="preserve"> </w:t>
            </w:r>
            <w:r>
              <w:rPr>
                <w:sz w:val="18"/>
                <w:szCs w:val="18"/>
              </w:rPr>
              <w:fldChar w:fldCharType="begin" w:fldLock="1"/>
            </w:r>
            <w:r w:rsidR="00E30EF6">
              <w:rPr>
                <w:sz w:val="18"/>
                <w:szCs w:val="18"/>
              </w:rPr>
              <w:instrText>ADDIN CSL_CITATION { "citationItems" : [ { "id" : "ITEM-1", "itemData" : { "DOI" : "10.1021/es049509a", "ISBN" : "0013-936X", "ISSN" : "0013936X", "PMID" : "15669346", "abstract" :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sludge is an effective pathway through which amoxicillin can be removed from the aquatic environment. Rate constants for biodegradation and adsorption have been calculated by applying simple pseudo-first-order kinetic models. Algal bioassays indicate that, in the range of concentrations from 50 ng/L to 50 mg/L, amoxicillin is not toxic toward eucariotic organisms such as the Chlorophyceae Pseudokirkneriella subcapitata and Closterium ehrenbergii and the Bacillariophyceae Cyclotella meneghiniana, but it shows a marked toxicity toward the Cyanophyta Synechococcus leopolensis.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slud\u2026", "author" : [ { "dropping-particle" : "", "family" : "Andreozzi", "given" : "Roberto", "non-dropping-particle" : "", "parse-names" : false, "suffix" : "" }, { "dropping-particle" : "", "family" : "Caprio", "given" : "Vincenzo", "non-dropping-particle" : "", "parse-names" : false, "suffix" : "" }, { "dropping-particle" : "", "family" : "Ciniglia", "given" : "Claudia", "non-dropping-particle" : "", "parse-names" : false, "suffix" : "" }, { "dropping-particle" : "", "family" : "Champdor??", "given" : "Marcella", "non-dropping-particle" : "De", "parse-names" : false, "suffix" : "" }, { "dropping-particle" : "", "family" : "Giudice", "given" : "Roberto", "non-dropping-particle" : "Lo", "parse-names" : false, "suffix" : "" }, { "dropping-particle" : "", "family" : "Marotta", "given" : "Raffaele", "non-dropping-particle" : "", "parse-names" : false, "suffix" : "" }, { "dropping-particle" : "", "family" : "Zuccato", "given" : "Ettore", "non-dropping-particle" : "", "parse-names" : false, "suffix" : "" } ], "container-title" : "Environmental Science and Technology", "id" : "ITEM-1", "issue" : "24", "issued" : { "date-parts" : [ [ "2004" ] ] }, "page" : "6832-6838", "title" : "Antibiotics in the environment: Occurrence in Italian STPs, fate, and preliminary assessment on algal toxicity of amoxicillin", "type" : "article-journal", "volume" : "38" }, "uris" : [ "http://www.mendeley.com/documents/?uuid=578fe39d-c578-49ae-aed8-98e922f8d30a" ] } ], "mendeley" : { "formattedCitation" : "(Andreozzi &lt;i&gt;et al.&lt;/i&gt;, 2004)", "plainTextFormattedCitation" : "(Andreozzi et al., 2004)", "previouslyFormattedCitation" : "(Andreozzi &lt;i&gt;et al.&lt;/i&gt;, 2004)" }, "properties" : { "noteIndex" : 0 }, "schema" : "https://github.com/citation-style-language/schema/raw/master/csl-citation.json" }</w:instrText>
            </w:r>
            <w:r>
              <w:rPr>
                <w:sz w:val="18"/>
                <w:szCs w:val="18"/>
              </w:rPr>
              <w:fldChar w:fldCharType="separate"/>
            </w:r>
            <w:r w:rsidRPr="00B172C2">
              <w:rPr>
                <w:noProof/>
                <w:sz w:val="18"/>
                <w:szCs w:val="18"/>
              </w:rPr>
              <w:t xml:space="preserve">(Andreozzi </w:t>
            </w:r>
            <w:r w:rsidRPr="00B172C2">
              <w:rPr>
                <w:i/>
                <w:noProof/>
                <w:sz w:val="18"/>
                <w:szCs w:val="18"/>
              </w:rPr>
              <w:t>et al.</w:t>
            </w:r>
            <w:r w:rsidRPr="00B172C2">
              <w:rPr>
                <w:noProof/>
                <w:sz w:val="18"/>
                <w:szCs w:val="18"/>
              </w:rPr>
              <w:t>, 2004)</w:t>
            </w:r>
            <w:r>
              <w:rPr>
                <w:sz w:val="18"/>
                <w:szCs w:val="18"/>
              </w:rPr>
              <w:fldChar w:fldCharType="end"/>
            </w:r>
            <w:r>
              <w:rPr>
                <w:sz w:val="18"/>
                <w:szCs w:val="18"/>
              </w:rPr>
              <w:t xml:space="preserve"> </w:t>
            </w:r>
            <w:r w:rsidR="00E038A2">
              <w:rPr>
                <w:sz w:val="18"/>
                <w:szCs w:val="18"/>
              </w:rPr>
              <w:t>(a high measure, in Italy, in 2004…)</w:t>
            </w:r>
          </w:p>
        </w:tc>
      </w:tr>
      <w:tr w:rsidR="0061480A" w14:paraId="0AD8B917"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BE4D5" w:themeFill="accent2" w:themeFillTint="33"/>
          </w:tcPr>
          <w:p w14:paraId="499C4390" w14:textId="15BD1345" w:rsidR="0061480A" w:rsidRDefault="0061480A" w:rsidP="00E3314C">
            <w:pPr>
              <w:rPr>
                <w:sz w:val="18"/>
                <w:szCs w:val="18"/>
              </w:rPr>
            </w:pPr>
            <w:r>
              <w:t>Pesticides</w:t>
            </w:r>
          </w:p>
        </w:tc>
      </w:tr>
      <w:tr w:rsidR="006E0CB6" w14:paraId="22303916" w14:textId="77777777" w:rsidTr="006E0C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FBE4D5" w:themeFill="accent2" w:themeFillTint="33"/>
          </w:tcPr>
          <w:p w14:paraId="4BB0BAFB" w14:textId="0F935CD4" w:rsidR="006E0CB6" w:rsidRPr="003417B9" w:rsidRDefault="006E0CB6" w:rsidP="006E0CB6">
            <w:pPr>
              <w:rPr>
                <w:b w:val="0"/>
              </w:rPr>
            </w:pPr>
            <w:r w:rsidRPr="003417B9">
              <w:rPr>
                <w:b w:val="0"/>
              </w:rPr>
              <w:t>Atrazine</w:t>
            </w:r>
            <w:r>
              <w:rPr>
                <w:b w:val="0"/>
              </w:rPr>
              <w:t xml:space="preserve"> </w:t>
            </w:r>
          </w:p>
        </w:tc>
        <w:tc>
          <w:tcPr>
            <w:tcW w:w="1758" w:type="dxa"/>
            <w:shd w:val="clear" w:color="auto" w:fill="FBE4D5" w:themeFill="accent2" w:themeFillTint="33"/>
          </w:tcPr>
          <w:p w14:paraId="56021948" w14:textId="5532FB2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 most commonly used herbicide</w:t>
            </w:r>
          </w:p>
        </w:tc>
        <w:tc>
          <w:tcPr>
            <w:tcW w:w="1538" w:type="dxa"/>
            <w:shd w:val="clear" w:color="auto" w:fill="FBE4D5" w:themeFill="accent2" w:themeFillTint="33"/>
          </w:tcPr>
          <w:p w14:paraId="2990C0CA" w14:textId="12BCD895" w:rsidR="006E0CB6"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Photosystem inhibition, endocrine disruptor?</w:t>
            </w:r>
          </w:p>
        </w:tc>
        <w:tc>
          <w:tcPr>
            <w:tcW w:w="1851" w:type="dxa"/>
            <w:shd w:val="clear" w:color="auto" w:fill="FBE4D5" w:themeFill="accent2" w:themeFillTint="33"/>
          </w:tcPr>
          <w:p w14:paraId="3140D2DC" w14:textId="71CD75C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"10.1007/s00128-008-9517-3", "ISSN" : "0007-4861", "author" : [ { "dropping-particle" : "", "family" : "Palma", "given" : "P.", "non-dropping-particle" : "", "parse-names" : false, "suffix" : "" }, { "dropping-particle" : "", "family" : "Palma", "given" : "V. L.", "non-dropping-particle" : "", "parse-names" : false, "suffix" : "" }, { "dropping-particle" : "", "family" : "Fernandes", "given" : "R. M.", "non-dropping-particle" : "", "parse-names" : false, "suffix" : "" }, { "dropping-particle" : "", "family" : "Soares", "given" : "A. M. V. M.", "non-dropping-particle" : "", "parse-names" : false, "suffix" : "" }, { "dropping-particle" : "", "family" : "Barbosa", "given" : "I. R.", "non-dropping-particle" : "", "parse-names" : false, "suffix" : "" } ], "container-title" : "Bulletin of Environmental Contamination and Toxicology", "id" : "ITEM-1", "issue" : "5", "issued" : { "date-parts" : [ [ "2008", "11", "8" ] ] }, "page" : "485-489", "publisher" : "Springer-Verlag", "title" : "Acute Toxicity of Atrazine, Endosulfan Sulphate and Chlorpyrifos to Vibrio fischeri, Thamnocephalus platyurus and Daphnia magna, Relative to Their Concentrations in Surface Waters from the Alentejo Region of Portugal", "type" : "article-journal", "volume" : "81" }, "uris" : [ "http://www.mendeley.com/documents/?uuid=0cda6edf-b55b-3f0e-b066-deea51896c3e" ] } ], "mendeley" : { "formattedCitation" : "(Palma &lt;i&gt;et al.&lt;/i&gt;, 2008)", "plainTextFormattedCitation" : "(Palma et al., 2008)", "previouslyFormattedCitation" : "(Palma &lt;i&gt;et al.&lt;/i&gt;, 2008)" }, "properties" : { "noteIndex" : 0 }, "schema" : "https://github.com/citation-style-language/schema/raw/master/csl-citation.json" }</w:instrText>
            </w:r>
            <w:r>
              <w:rPr>
                <w:sz w:val="18"/>
                <w:szCs w:val="18"/>
              </w:rPr>
              <w:fldChar w:fldCharType="separate"/>
            </w:r>
            <w:r w:rsidRPr="00F41098">
              <w:rPr>
                <w:noProof/>
                <w:sz w:val="18"/>
                <w:szCs w:val="18"/>
              </w:rPr>
              <w:t xml:space="preserve">(Palma </w:t>
            </w:r>
            <w:r w:rsidRPr="00F41098">
              <w:rPr>
                <w:i/>
                <w:noProof/>
                <w:sz w:val="18"/>
                <w:szCs w:val="18"/>
              </w:rPr>
              <w:t>et al.</w:t>
            </w:r>
            <w:r w:rsidRPr="00F41098">
              <w:rPr>
                <w:noProof/>
                <w:sz w:val="18"/>
                <w:szCs w:val="18"/>
              </w:rPr>
              <w:t>, 2008)</w:t>
            </w:r>
            <w:r>
              <w:rPr>
                <w:sz w:val="18"/>
                <w:szCs w:val="18"/>
              </w:rPr>
              <w:fldChar w:fldCharType="end"/>
            </w:r>
          </w:p>
        </w:tc>
        <w:tc>
          <w:tcPr>
            <w:tcW w:w="2167" w:type="dxa"/>
            <w:shd w:val="clear" w:color="auto" w:fill="FBE4D5" w:themeFill="accent2" w:themeFillTint="33"/>
          </w:tcPr>
          <w:p w14:paraId="1EE614B8" w14:textId="34FFFCF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12" w:type="dxa"/>
            <w:shd w:val="clear" w:color="auto" w:fill="FBE4D5" w:themeFill="accent2" w:themeFillTint="33"/>
          </w:tcPr>
          <w:p w14:paraId="0A4BEDAB" w14:textId="77777777" w:rsidR="006E0CB6" w:rsidRDefault="006E0CB6" w:rsidP="006E0CB6">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EC50 – 69.4 mg.l</w:t>
            </w:r>
            <w:r w:rsidRPr="00DA7035">
              <w:rPr>
                <w:sz w:val="18"/>
                <w:szCs w:val="18"/>
                <w:vertAlign w:val="superscript"/>
              </w:rPr>
              <w:t>-1</w:t>
            </w:r>
          </w:p>
          <w:p w14:paraId="7BB5A5AA" w14:textId="1DE968DA"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Another source: 39.9 mg.l</w:t>
            </w:r>
            <w:r w:rsidRPr="00DA7035">
              <w:rPr>
                <w:sz w:val="18"/>
                <w:szCs w:val="18"/>
                <w:vertAlign w:val="superscript"/>
              </w:rPr>
              <w:t>-1</w:t>
            </w:r>
          </w:p>
        </w:tc>
        <w:tc>
          <w:tcPr>
            <w:tcW w:w="1479" w:type="dxa"/>
            <w:shd w:val="clear" w:color="auto" w:fill="FBE4D5" w:themeFill="accent2" w:themeFillTint="33"/>
          </w:tcPr>
          <w:p w14:paraId="02A16E43" w14:textId="20AE177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Synthetic freshwater</w:t>
            </w:r>
          </w:p>
        </w:tc>
        <w:tc>
          <w:tcPr>
            <w:tcW w:w="2694" w:type="dxa"/>
            <w:shd w:val="clear" w:color="auto" w:fill="FBE4D5" w:themeFill="accent2" w:themeFillTint="33"/>
          </w:tcPr>
          <w:p w14:paraId="3B3D3B57" w14:textId="0CCEEA63" w:rsidR="006E0CB6" w:rsidRDefault="00593B6C"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253 ng/L </w:t>
            </w:r>
            <w:r w:rsidR="00592DDF">
              <w:rPr>
                <w:sz w:val="18"/>
                <w:szCs w:val="18"/>
              </w:rPr>
              <w:fldChar w:fldCharType="begin" w:fldLock="1"/>
            </w:r>
            <w:r w:rsidR="00785F6B">
              <w:rPr>
                <w:sz w:val="18"/>
                <w:szCs w:val="18"/>
              </w:rPr>
              <w:instrText>ADDIN CSL_CITATION { "citationItems" : [ { "id" : "ITEM-1", "itemData" : { "DOI" : "10.1016/j.watres.2010.05.032", "ISBN" : "1879-2448 (Electronic)\\r0043-1354 (Linking)", "ISSN" : "00431354", "PMID" : "20554303", "abstract" : "This study provides the first pan-European reconnaissance of the occurrence of polar organic persistent pollutants in European ground water. In total, 164 individual ground-water samples from 23 European Countries were collected and analysed (among others) for 59 selected organic compounds, comprising pharmaceuticals, antibiotics, pesticides (and their transformation products), perfluorinated acids (PFAs), benzotriazoles, hormones, alkylphenolics (endocrine disrupters), Caffeine, Diethyltoluamide (DEET), and Triclosan. The most relevant compounds in terms of frequency of detection and maximum concentrations detected were DEET (84%; 454 ng/L), Caffeine (83%; 189 ng/L), PFOA (66%; 39 ng/L), Atrazine (56%; 253 ng/L), Desethylatrazine (55%; 487 ng/L), 1H-Benzotriazole (53%; 1032 ng/L), Methylbenzotriazole (52%; 516 ng/L), Desethylterbutylazine (49%; 266 ng/L), PFOS (48%, 135 ng/L), Simazine (43%; 127 ng/L), Carbamazepine (42%; 390 ng/L), nonylphenoxy acetic acid (NPE1C) (42%; 11 \u03bcg/L), Bisphenol A (40%; 2.3 \u03bcg/L), PFHxS (35%; 19 ng/L), Terbutylazine (34%; 716 ng/L), Bentazone (32%; 11 \u03bcg/L), Propazine (32%; 25 ng/L), PFHpA (30%; 21 ng/L), 2,4-Dinitrophenol (29%; 122 ng/L), Diuron (29%; 279 ng/L), and Sulfamethoxazole (24%; 38 ng/L). The chemicals which were detected most frequently above the European ground water quality standard for pesticides of 0.1 \u03bcg/L were Chloridazon-desphenyl (26 samples), NPE1C (20), Bisphenol A (12), Benzotriazole (8), N,N'-Dimethylsulfamid (DMS) (8), Desethylatrazine (6), Nonylphenol (6), Chloridazon-methyldesphenyl (6), Methylbenzotriazole (5), Carbamazepine (4), and Bentazone (4). However, only 1.7% of all single analytical measurements (in total \u0302 8000) were above this threshold value of 0.1 \u03bcg/L; 7.3% were &gt; than 10 ng/L. \u00a9 2010 Elsevier Ltd.", "author" : [ { "dropping-particle" : "", "family" : "Loos", "given" : "Robert", "non-dropping-particle" : "", "parse-names" : false, "suffix" : "" }, { "dropping-particle" : "", "family" : "Locoro", "given" : "Giovanni", "non-dropping-particle" : "", "parse-names" : false, "suffix" : "" }, { "dropping-particle" : "", "family" : "Comero", "given" : "Sara", "non-dropping-particle" : "", "parse-names" : false, "suffix" : "" }, { "dropping-particle" : "", "family" : "Contini", "given" : "Serafino", "non-dropping-particle" : "", "parse-names" : false, "suffix" : "" }, { "dropping-particle" : "", "family" : "Schwesig", "given" : "David", "non-dropping-particle" : "", "parse-names" : false, "suffix" : "" }, { "dropping-particle" : "", "family" : "Werres", "given" : "Friedrich", "non-dropping-particle" : "", "parse-names" : false, "suffix" : "" }, { "dropping-particle" : "", "family" : "Balsaa", "given" : "Peter", "non-dropping-particle" : "", "parse-names" : false, "suffix" : "" }, { "dropping-particle" : "", "family" : "Gans", "given" : "Oliver", "non-dropping-particle" : "", "parse-names" : false, "suffix" : "" }, { "dropping-particle" : "", "family" : "Weiss", "given" : "Stefan", "non-dropping-particle" : "", "parse-names" : false, "suffix" : "" }, { "dropping-particle" : "", "family" : "Blaha", "given" : "Ludek", "non-dropping-particle" : "", "parse-names" : false, "suffix" : "" }, { "dropping-particle" : "", "family" : "Bolchi", "given" : "Monica", "non-dropping-particle" : "", "parse-names" : false, "suffix" : "" }, { "dropping-particle" : "", "family" : "Gawlik", "given" : "Bernd Manfred", "non-dropping-particle" : "", "parse-names" : false, "suffix" : "" } ], "container-title" : "Water Research", "id" : "ITEM-1", "issue" : "14", "issued" : { "date-parts" : [ [ "2010" ] ] }, "page" : "4115-4126", "publisher" : "Elsevier Ltd", "title" : "Pan-European survey on the occurrence of selected polar organic persistent pollutants in ground water", "type" : "article-journal", "volume" : "44" }, "uris" : [ "http://www.mendeley.com/documents/?uuid=13b22a0e-007e-4ad1-a78a-e49e0ffe45d3" ] } ], "mendeley" : { "formattedCitation" : "(Loos &lt;i&gt;et al.&lt;/i&gt;, 2010)", "plainTextFormattedCitation" : "(Loos et al., 2010)", "previouslyFormattedCitation" : "(Loos &lt;i&gt;et al.&lt;/i&gt;, 2010)" }, "properties" : { "noteIndex" : 0 }, "schema" : "https://github.com/citation-style-language/schema/raw/master/csl-citation.json" }</w:instrText>
            </w:r>
            <w:r w:rsidR="00592DDF">
              <w:rPr>
                <w:sz w:val="18"/>
                <w:szCs w:val="18"/>
              </w:rPr>
              <w:fldChar w:fldCharType="separate"/>
            </w:r>
            <w:r w:rsidR="00592DDF" w:rsidRPr="00592DDF">
              <w:rPr>
                <w:noProof/>
                <w:sz w:val="18"/>
                <w:szCs w:val="18"/>
              </w:rPr>
              <w:t xml:space="preserve">(Loos </w:t>
            </w:r>
            <w:r w:rsidR="00592DDF" w:rsidRPr="00592DDF">
              <w:rPr>
                <w:i/>
                <w:noProof/>
                <w:sz w:val="18"/>
                <w:szCs w:val="18"/>
              </w:rPr>
              <w:t>et al.</w:t>
            </w:r>
            <w:r w:rsidR="00592DDF" w:rsidRPr="00592DDF">
              <w:rPr>
                <w:noProof/>
                <w:sz w:val="18"/>
                <w:szCs w:val="18"/>
              </w:rPr>
              <w:t>, 2010)</w:t>
            </w:r>
            <w:r w:rsidR="00592DDF">
              <w:rPr>
                <w:sz w:val="18"/>
                <w:szCs w:val="18"/>
              </w:rPr>
              <w:fldChar w:fldCharType="end"/>
            </w:r>
          </w:p>
          <w:p w14:paraId="060FAB6D" w14:textId="71484311" w:rsidR="00592DDF" w:rsidRPr="00C46368" w:rsidRDefault="00592DDF"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EU peak groundwater concentration</w:t>
            </w:r>
          </w:p>
        </w:tc>
      </w:tr>
      <w:tr w:rsidR="00D677B2" w14:paraId="53C4F959"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BE4D5" w:themeFill="accent2" w:themeFillTint="33"/>
          </w:tcPr>
          <w:p w14:paraId="01CB79F8" w14:textId="706424B6" w:rsidR="00E3314C" w:rsidRPr="003417B9" w:rsidRDefault="00E3314C" w:rsidP="00E3314C">
            <w:pPr>
              <w:rPr>
                <w:b w:val="0"/>
              </w:rPr>
            </w:pPr>
            <w:r w:rsidRPr="003417B9">
              <w:rPr>
                <w:b w:val="0"/>
              </w:rPr>
              <w:t>Metaldehyde</w:t>
            </w:r>
          </w:p>
        </w:tc>
        <w:tc>
          <w:tcPr>
            <w:tcW w:w="1758" w:type="dxa"/>
            <w:shd w:val="clear" w:color="auto" w:fill="FBE4D5" w:themeFill="accent2" w:themeFillTint="33"/>
          </w:tcPr>
          <w:p w14:paraId="7612CC0C" w14:textId="4CE141A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Most common molluscicide, main cause of PCVs in UK</w:t>
            </w:r>
          </w:p>
        </w:tc>
        <w:tc>
          <w:tcPr>
            <w:tcW w:w="1538" w:type="dxa"/>
            <w:shd w:val="clear" w:color="auto" w:fill="FBE4D5" w:themeFill="accent2" w:themeFillTint="33"/>
          </w:tcPr>
          <w:p w14:paraId="4A2AE7F7" w14:textId="78A11828"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Inhibits metabolism/ damages CNS in molluscs, humans</w:t>
            </w:r>
          </w:p>
        </w:tc>
        <w:tc>
          <w:tcPr>
            <w:tcW w:w="1851" w:type="dxa"/>
            <w:shd w:val="clear" w:color="auto" w:fill="FBE4D5" w:themeFill="accent2" w:themeFillTint="33"/>
          </w:tcPr>
          <w:p w14:paraId="5728AAF8" w14:textId="02473A1D"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6B11C605" w14:textId="4E33D06C"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only paper on bacteria and metaldehyde out there!</w:t>
            </w:r>
          </w:p>
        </w:tc>
        <w:tc>
          <w:tcPr>
            <w:tcW w:w="2167" w:type="dxa"/>
            <w:shd w:val="clear" w:color="auto" w:fill="FBE4D5" w:themeFill="accent2" w:themeFillTint="33"/>
          </w:tcPr>
          <w:p w14:paraId="34CFA164"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Metaldehyde is not normally broken down by water processing or aquatic bacteria</w:t>
            </w:r>
          </w:p>
          <w:p w14:paraId="23E69F1C" w14:textId="1C6F5139"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But Acinetobacter E1 (soil) can use it as a food source!</w:t>
            </w:r>
          </w:p>
        </w:tc>
        <w:tc>
          <w:tcPr>
            <w:tcW w:w="1612" w:type="dxa"/>
            <w:shd w:val="clear" w:color="auto" w:fill="FBE4D5" w:themeFill="accent2" w:themeFillTint="33"/>
          </w:tcPr>
          <w:p w14:paraId="758BADA7"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0-1000 </w:t>
            </w:r>
            <w:proofErr w:type="spellStart"/>
            <w:r>
              <w:rPr>
                <w:sz w:val="18"/>
              </w:rPr>
              <w:t>μM</w:t>
            </w:r>
            <w:proofErr w:type="spellEnd"/>
          </w:p>
          <w:p w14:paraId="6172C139" w14:textId="0A91D77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that it’s directly comparable)</w:t>
            </w:r>
          </w:p>
        </w:tc>
        <w:tc>
          <w:tcPr>
            <w:tcW w:w="1479" w:type="dxa"/>
            <w:shd w:val="clear" w:color="auto" w:fill="FBE4D5" w:themeFill="accent2" w:themeFillTint="33"/>
          </w:tcPr>
          <w:p w14:paraId="33C0B0CD"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p w14:paraId="51F70CBF" w14:textId="77777777"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Water sol:</w:t>
            </w:r>
          </w:p>
          <w:p w14:paraId="0A6B8F90" w14:textId="5BDF7628"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sidRPr="005579A2">
              <w:rPr>
                <w:sz w:val="18"/>
                <w:szCs w:val="18"/>
              </w:rPr>
              <w:t>0.188 g</w:t>
            </w:r>
            <w:r>
              <w:rPr>
                <w:sz w:val="18"/>
                <w:szCs w:val="18"/>
              </w:rPr>
              <w:t>/</w:t>
            </w:r>
            <w:r w:rsidRPr="005579A2">
              <w:rPr>
                <w:sz w:val="18"/>
                <w:szCs w:val="18"/>
              </w:rPr>
              <w:t>L</w:t>
            </w:r>
            <w:r>
              <w:rPr>
                <w:sz w:val="18"/>
                <w:szCs w:val="18"/>
              </w:rPr>
              <w:t xml:space="preserve"> @</w:t>
            </w:r>
            <w:r w:rsidRPr="005579A2">
              <w:rPr>
                <w:sz w:val="18"/>
                <w:szCs w:val="18"/>
              </w:rPr>
              <w:t xml:space="preserve"> 20 °C</w:t>
            </w:r>
          </w:p>
        </w:tc>
        <w:tc>
          <w:tcPr>
            <w:tcW w:w="2694" w:type="dxa"/>
            <w:shd w:val="clear" w:color="auto" w:fill="FBE4D5" w:themeFill="accent2" w:themeFillTint="33"/>
          </w:tcPr>
          <w:p w14:paraId="5B6F3159" w14:textId="307971D9" w:rsidR="000130F3" w:rsidRDefault="00D56221"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 ug/L</w:t>
            </w:r>
            <w:r w:rsidR="00785F6B">
              <w:rPr>
                <w:sz w:val="18"/>
                <w:szCs w:val="18"/>
              </w:rPr>
              <w:t xml:space="preserve"> typically during Oct-Dec app. Period (UK rivers) </w:t>
            </w:r>
            <w:r w:rsidR="00785F6B">
              <w:rPr>
                <w:sz w:val="18"/>
                <w:szCs w:val="18"/>
              </w:rPr>
              <w:fldChar w:fldCharType="begin" w:fldLock="1"/>
            </w:r>
            <w:r w:rsidR="00785F6B">
              <w:rPr>
                <w:sz w:val="18"/>
                <w:szCs w:val="18"/>
              </w:rPr>
              <w:instrText>ADDIN CSL_CITATION { "citationItems" : [ { "id" : "ITEM-1", "itemData" : { "DOI" : "10.1111/wej.12056", "ISBN" : "1747-6593", "ISSN" : "17476593", "abstract" : "The presence of metaldehyde in raw and treated water has become a recognised problem recently. The current study used water industry monitoring data collected over a two and a half-year period (2008\u20132011) to quantify the presence of metaldehyde in rivers and finished waters. Measured surface water concentrations were then compared with catchment characteristics in an attempt to identify those factors driving losses of the pesticide to water. An assessment was also made of the robustness of the monitoring strategy used, which was assumed to represent typical water industry practice, and is currently being used to develop catchment management plans. It was found that exceedance of the European Union pesticide standard (0.1 \u03bcg/L) during the October\u2013December slug pellet application period is commonplace. Peak concentrations were generally in the 0.4\u20130.6 \u03bcg/L range although sometimes were an order of magnitude higher.", "author" : [ { "dropping-particle" : "", "family" : "Kay", "given" : "Paul", "non-dropping-particle" : "", "parse-names" : false, "suffix" : "" }, { "dropping-particle" : "", "family" : "Grayson", "given" : "Richard", "non-dropping-particle" : "", "parse-names" : false, "suffix" : "" } ], "container-title" : "Water and Environment Journal", "id" : "ITEM-1", "issue" : "3", "issued" : { "date-parts" : [ [ "2014" ] ] }, "page" : "410-417", "title" : "Using water industry data to assess the metaldehyde pollution problem", "type" : "article-journal", "volume" : "28" }, "uris" : [ "http://www.mendeley.com/documents/?uuid=67b146c9-ae6e-4144-8045-818695b67ce7" ] } ], "mendeley" : { "formattedCitation" : "(Kay and Grayson, 2014)", "plainTextFormattedCitation" : "(Kay and Grayson, 2014)" }, "properties" : { "noteIndex" : 0 }, "schema" : "https://github.com/citation-style-language/schema/raw/master/csl-citation.json" }</w:instrText>
            </w:r>
            <w:r w:rsidR="00785F6B">
              <w:rPr>
                <w:sz w:val="18"/>
                <w:szCs w:val="18"/>
              </w:rPr>
              <w:fldChar w:fldCharType="separate"/>
            </w:r>
            <w:r w:rsidR="00785F6B" w:rsidRPr="00785F6B">
              <w:rPr>
                <w:noProof/>
                <w:sz w:val="18"/>
                <w:szCs w:val="18"/>
              </w:rPr>
              <w:t>(Kay and Grayson, 2014)</w:t>
            </w:r>
            <w:r w:rsidR="00785F6B">
              <w:rPr>
                <w:sz w:val="18"/>
                <w:szCs w:val="18"/>
              </w:rPr>
              <w:fldChar w:fldCharType="end"/>
            </w:r>
            <w:bookmarkStart w:id="0" w:name="_GoBack"/>
            <w:bookmarkEnd w:id="0"/>
          </w:p>
        </w:tc>
      </w:tr>
      <w:tr w:rsidR="0061480A" w14:paraId="4E9345E6" w14:textId="77777777" w:rsidTr="003417B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0CECE" w:themeFill="background2" w:themeFillShade="E6"/>
          </w:tcPr>
          <w:p w14:paraId="528EE27A" w14:textId="3C6C3D6D" w:rsidR="0061480A" w:rsidRDefault="0061480A" w:rsidP="00E3314C">
            <w:pPr>
              <w:rPr>
                <w:sz w:val="18"/>
                <w:szCs w:val="18"/>
              </w:rPr>
            </w:pPr>
            <w:r>
              <w:t>Heavy Metals</w:t>
            </w:r>
          </w:p>
        </w:tc>
      </w:tr>
      <w:tr w:rsidR="00D677B2" w14:paraId="36677B06"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D0CECE" w:themeFill="background2" w:themeFillShade="E6"/>
          </w:tcPr>
          <w:p w14:paraId="12C428FA" w14:textId="23BFC8F6" w:rsidR="0061480A" w:rsidRPr="003417B9" w:rsidRDefault="0061480A" w:rsidP="0061480A">
            <w:pPr>
              <w:rPr>
                <w:b w:val="0"/>
              </w:rPr>
            </w:pPr>
            <w:r w:rsidRPr="003417B9">
              <w:rPr>
                <w:b w:val="0"/>
              </w:rPr>
              <w:t>Copper</w:t>
            </w:r>
          </w:p>
        </w:tc>
        <w:tc>
          <w:tcPr>
            <w:tcW w:w="1758" w:type="dxa"/>
            <w:shd w:val="clear" w:color="auto" w:fill="D0CECE" w:themeFill="background2" w:themeFillShade="E6"/>
          </w:tcPr>
          <w:p w14:paraId="0A64B9DE" w14:textId="3D53A862"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Major anthropogenic pollutant, and essential nutrient</w:t>
            </w:r>
          </w:p>
        </w:tc>
        <w:tc>
          <w:tcPr>
            <w:tcW w:w="1538" w:type="dxa"/>
            <w:shd w:val="clear" w:color="auto" w:fill="D0CECE" w:themeFill="background2" w:themeFillShade="E6"/>
          </w:tcPr>
          <w:p w14:paraId="553B3238" w14:textId="4C568BC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Oxidative stress</w:t>
            </w:r>
          </w:p>
        </w:tc>
        <w:tc>
          <w:tcPr>
            <w:tcW w:w="1851" w:type="dxa"/>
            <w:shd w:val="clear" w:color="auto" w:fill="D0CECE" w:themeFill="background2" w:themeFillShade="E6"/>
          </w:tcPr>
          <w:p w14:paraId="5B026D80" w14:textId="41EF433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"noteIndex" : 0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167" w:type="dxa"/>
            <w:shd w:val="clear" w:color="auto" w:fill="D0CECE" w:themeFill="background2" w:themeFillShade="E6"/>
          </w:tcPr>
          <w:p w14:paraId="072FBB91" w14:textId="4640823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12" w:type="dxa"/>
            <w:shd w:val="clear" w:color="auto" w:fill="D0CECE" w:themeFill="background2" w:themeFillShade="E6"/>
          </w:tcPr>
          <w:p w14:paraId="4D3B6B03" w14:textId="59641C85"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479" w:type="dxa"/>
            <w:shd w:val="clear" w:color="auto" w:fill="D0CECE" w:themeFill="background2" w:themeFillShade="E6"/>
          </w:tcPr>
          <w:p w14:paraId="7B853AE9" w14:textId="536F6BF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694" w:type="dxa"/>
            <w:shd w:val="clear" w:color="auto" w:fill="D0CECE" w:themeFill="background2" w:themeFillShade="E6"/>
          </w:tcPr>
          <w:p w14:paraId="6DCEB7B3" w14:textId="27B2A66D" w:rsid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20.64 mg/kg mean</w:t>
            </w:r>
          </w:p>
          <w:p w14:paraId="41320145" w14:textId="674F8337" w:rsidR="00E36DBD" w:rsidRP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96.70 mg/kg max</w:t>
            </w:r>
          </w:p>
        </w:tc>
      </w:tr>
      <w:tr w:rsidR="00D677B2" w14:paraId="1587D592" w14:textId="77777777" w:rsidTr="006E0CB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D0CECE" w:themeFill="background2" w:themeFillShade="E6"/>
          </w:tcPr>
          <w:p w14:paraId="38C4BF71" w14:textId="64F2A349" w:rsidR="00E3314C" w:rsidRPr="003417B9" w:rsidRDefault="00137120" w:rsidP="00E3314C">
            <w:pPr>
              <w:rPr>
                <w:b w:val="0"/>
              </w:rPr>
            </w:pPr>
            <w:r>
              <w:rPr>
                <w:b w:val="0"/>
              </w:rPr>
              <w:t>Nickel</w:t>
            </w:r>
          </w:p>
        </w:tc>
        <w:tc>
          <w:tcPr>
            <w:tcW w:w="1758" w:type="dxa"/>
            <w:shd w:val="clear" w:color="auto" w:fill="D0CECE" w:themeFill="background2" w:themeFillShade="E6"/>
          </w:tcPr>
          <w:p w14:paraId="6EF123A5" w14:textId="29B0ED59"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38" w:type="dxa"/>
            <w:shd w:val="clear" w:color="auto" w:fill="D0CECE" w:themeFill="background2" w:themeFillShade="E6"/>
          </w:tcPr>
          <w:p w14:paraId="33F169BA" w14:textId="70CA5B74"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r w:rsidR="00D677B2">
              <w:rPr>
                <w:sz w:val="18"/>
                <w:szCs w:val="18"/>
              </w:rPr>
              <w:t xml:space="preserve"> (weak), enzyme disruption</w:t>
            </w:r>
          </w:p>
        </w:tc>
        <w:tc>
          <w:tcPr>
            <w:tcW w:w="1851" w:type="dxa"/>
            <w:shd w:val="clear" w:color="auto" w:fill="D0CECE" w:themeFill="background2" w:themeFillShade="E6"/>
          </w:tcPr>
          <w:p w14:paraId="4F71D6EA" w14:textId="5E654921"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A33E32">
              <w:rPr>
                <w:sz w:val="18"/>
                <w:szCs w:val="18"/>
              </w:rPr>
              <w:instrText>ADDIN CSL_CITATION { "citationItems" : [ { "id" : "ITEM-1", "itemData" : { "DOI" : "10.1039/c1mt00063b", "ISBN" : "10.1039/C1MT00063B", "ISSN" : "1756-5901", "PMID" : "21799955", "abstract" : "Nickel has long been known to be an important human toxicant, including having the ability to form carcinomas, but until recently nickel was believed to be an issue only to microorganisms living in nickel-rich serpentine soils or areas contaminated by industrial pollution. This assumption was overturned by the discovery of a nickel defense system (RcnR/RcnA) found in microorganisms that live in a wide range of environmental niches, suggesting that nickel homeostasis is a general biological concern. To date, the mechanisms of nickel toxicity in microorganisms and higher eukaryotes are poorly understood. In this review, we summarize nickel homeostasis processes used by microorganisms and highlight in vivo and in vitro effects of exposure to elevated concentrations of nickel. On the basis of this evidence we propose four mechanisms of nickel toxicity: (1) nickel replaces the essential metal of metalloproteins, (2) nickel binds to catalytic residues of non-metalloenzymes; (3) nickel binds outside the catalytic site of an enzyme to inhibit allosterically and (4) nickel indirectly causes oxidative stress.", "author" : [ { "dropping-particle" : "", "family" : "Macomber", "given" : "Lee", "non-dropping-particle" : "", "parse-names" : false, "suffix" : "" }, { "dropping-particle" : "", "family" : "Hausinger", "given" : "Robert P", "non-dropping-particle" : "", "parse-names" : false, "suffix" : "" } ], "container-title" : "Metallomics", "id" : "ITEM-1", "issue" : "11", "issued" : { "date-parts" : [ [ "2011", "11" ] ] }, "page" : "1153", "publisher" : "NIH Public Access", "title" : "Mechanisms of nickel toxicity in microorganisms", "type" : "article-journal", "volume" : "3" }, "uris" : [ "http://www.mendeley.com/documents/?uuid=278743ac-c822-34e1-bc71-9f4921eaae89" ] } ], "mendeley" : { "formattedCitation" : "(Macomber and Hausinger, 2011)", "plainTextFormattedCitation" : "(Macomber and Hausinger, 2011)", "previouslyFormattedCitation" : "(Macomber and Hausinger, 2011)" }, "properties" : { "noteIndex" : 0 }, "schema" : "https://github.com/citation-style-language/schema/raw/master/csl-citation.json" }</w:instrText>
            </w:r>
            <w:r>
              <w:rPr>
                <w:sz w:val="18"/>
                <w:szCs w:val="18"/>
              </w:rPr>
              <w:fldChar w:fldCharType="separate"/>
            </w:r>
            <w:r w:rsidRPr="00D677B2">
              <w:rPr>
                <w:noProof/>
                <w:sz w:val="18"/>
                <w:szCs w:val="18"/>
              </w:rPr>
              <w:t>(Macomber and Hausinger, 2011)</w:t>
            </w:r>
            <w:r>
              <w:rPr>
                <w:sz w:val="18"/>
                <w:szCs w:val="18"/>
              </w:rPr>
              <w:fldChar w:fldCharType="end"/>
            </w:r>
          </w:p>
        </w:tc>
        <w:tc>
          <w:tcPr>
            <w:tcW w:w="2167" w:type="dxa"/>
            <w:shd w:val="clear" w:color="auto" w:fill="D0CECE" w:themeFill="background2" w:themeFillShade="E6"/>
          </w:tcPr>
          <w:p w14:paraId="5D4EC0BF" w14:textId="6F070D83"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sidRPr="00C903B6">
              <w:rPr>
                <w:i/>
                <w:sz w:val="18"/>
                <w:szCs w:val="18"/>
              </w:rPr>
              <w:t xml:space="preserve">V. </w:t>
            </w:r>
            <w:proofErr w:type="spellStart"/>
            <w:r w:rsidRPr="00C903B6">
              <w:rPr>
                <w:i/>
                <w:sz w:val="18"/>
                <w:szCs w:val="18"/>
              </w:rPr>
              <w:t>fischeri</w:t>
            </w:r>
            <w:proofErr w:type="spellEnd"/>
            <w:r>
              <w:rPr>
                <w:sz w:val="18"/>
                <w:szCs w:val="18"/>
              </w:rPr>
              <w:t xml:space="preserve"> luminescence 30 minutes</w:t>
            </w:r>
          </w:p>
        </w:tc>
        <w:tc>
          <w:tcPr>
            <w:tcW w:w="1612" w:type="dxa"/>
            <w:shd w:val="clear" w:color="auto" w:fill="D0CECE" w:themeFill="background2" w:themeFillShade="E6"/>
          </w:tcPr>
          <w:p w14:paraId="31455540" w14:textId="1DF6FEF6"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EC50 – 85 mg/l</w:t>
            </w:r>
          </w:p>
        </w:tc>
        <w:tc>
          <w:tcPr>
            <w:tcW w:w="1479" w:type="dxa"/>
            <w:shd w:val="clear" w:color="auto" w:fill="D0CECE" w:themeFill="background2" w:themeFillShade="E6"/>
          </w:tcPr>
          <w:p w14:paraId="4BE44760" w14:textId="7615D604"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Water + 20% soil NI slurry</w:t>
            </w:r>
          </w:p>
        </w:tc>
        <w:tc>
          <w:tcPr>
            <w:tcW w:w="2694" w:type="dxa"/>
            <w:shd w:val="clear" w:color="auto" w:fill="D0CECE" w:themeFill="background2" w:themeFillShade="E6"/>
          </w:tcPr>
          <w:p w14:paraId="2ABD6B0E" w14:textId="7554FD4D" w:rsidR="00E3314C" w:rsidRDefault="00137120" w:rsidP="00137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21.1 mg/kg mean</w:t>
            </w:r>
          </w:p>
          <w:p w14:paraId="0F930086" w14:textId="4F3D14D5" w:rsidR="00137120" w:rsidRPr="00E0712D" w:rsidRDefault="00137120"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 mg/kg max</w:t>
            </w:r>
          </w:p>
        </w:tc>
      </w:tr>
      <w:tr w:rsidR="0061480A" w14:paraId="15BE693D"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FF2CC" w:themeFill="accent4" w:themeFillTint="33"/>
          </w:tcPr>
          <w:p w14:paraId="66563F11" w14:textId="66579364" w:rsidR="0061480A" w:rsidRPr="00353F98" w:rsidRDefault="00042C30" w:rsidP="00E3314C">
            <w:pPr>
              <w:rPr>
                <w:sz w:val="18"/>
                <w:szCs w:val="18"/>
              </w:rPr>
            </w:pPr>
            <w:r>
              <w:t>(Poly)a</w:t>
            </w:r>
            <w:r w:rsidR="0061480A">
              <w:t>romatic Hydrocarbons</w:t>
            </w:r>
            <w:r w:rsidR="00636C9C">
              <w:t xml:space="preserve"> </w:t>
            </w:r>
          </w:p>
        </w:tc>
      </w:tr>
      <w:tr w:rsidR="00D677B2" w14:paraId="77EC08F4" w14:textId="77777777" w:rsidTr="006E0CB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FF2CC" w:themeFill="accent4" w:themeFillTint="33"/>
          </w:tcPr>
          <w:p w14:paraId="41DB3584" w14:textId="39F7E223" w:rsidR="00042C30" w:rsidRPr="003417B9" w:rsidRDefault="00042C30" w:rsidP="00042C30">
            <w:pPr>
              <w:rPr>
                <w:b w:val="0"/>
              </w:rPr>
            </w:pPr>
            <w:r>
              <w:rPr>
                <w:b w:val="0"/>
              </w:rPr>
              <w:t>Benzo[a]pyrene (PAH)</w:t>
            </w:r>
          </w:p>
        </w:tc>
        <w:tc>
          <w:tcPr>
            <w:tcW w:w="1758" w:type="dxa"/>
            <w:shd w:val="clear" w:color="auto" w:fill="FFF2CC" w:themeFill="accent4" w:themeFillTint="33"/>
          </w:tcPr>
          <w:p w14:paraId="11A0EDCF" w14:textId="48F60F5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Highly toxic PAH produced by incomplete combustion </w:t>
            </w:r>
          </w:p>
        </w:tc>
        <w:tc>
          <w:tcPr>
            <w:tcW w:w="1538" w:type="dxa"/>
            <w:shd w:val="clear" w:color="auto" w:fill="FFF2CC" w:themeFill="accent4" w:themeFillTint="33"/>
          </w:tcPr>
          <w:p w14:paraId="65CFE468" w14:textId="6A4E5FC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szCs w:val="18"/>
              </w:rPr>
              <w:t>Membrane damage, DNA damage</w:t>
            </w:r>
          </w:p>
        </w:tc>
        <w:tc>
          <w:tcPr>
            <w:tcW w:w="1851" w:type="dxa"/>
            <w:shd w:val="clear" w:color="auto" w:fill="FFF2CC" w:themeFill="accent4" w:themeFillTint="33"/>
          </w:tcPr>
          <w:p w14:paraId="737A4B2F" w14:textId="58830788"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677B2">
              <w:rPr>
                <w:sz w:val="18"/>
                <w:szCs w:val="18"/>
              </w:rPr>
              <w:instrText>ADDIN CSL_CITATION { "citationItems" : [ { "id" : "ITEM-1", "itemData" : { "DOI" : "10.1016/S0964-8305(00)00052-4", "ISSN" : "0964-8305", "abstract" : "Over the past 30 years, research on the microbial degradation of polycyclic aromatic hydrocarbons (PAHs) has resulted in the isolation of numerous genera of bacteria, fungi and algae capable of degrading low molecular weight PAHs (compounds containing three or less fused benzene rings). High molecular weight PAHs (compounds containing four or more fused benzene rings) are generally recalcitrant to microbial attack, although some fungi and algae are capable of transforming these compounds. Until recently, only a few genera of bacteria have been isolated with the ability to utilise four-ring PAHs as sole carbon and energy sources while cometabolism of five-ring compounds has been reported. The focuss of this review is on the high molecular weight PAH benzo[a]pyrene (BaP). There is concern about the presence of BaP in the environment because of its carcinogenicity, teratogenicity and toxicity. BaP has been observed to accumulate in marine organisms and plants which could indirectly cause human exposure through food consumption. This review provides an outline of the occurrence of BaP in the environment and the ability of bacteria, fungi and algae to degrade the compound, including pathways for BaP degradation by these organisms. In addition, approaches for improving microbial degradation of BaP are discussed.", "author" : [ { "dropping-particle" : "", "family" : "Juhasz", "given" : "Albert L", "non-dropping-particle" : "", "parse-names" : false, "suffix" : "" }, { "dropping-particle" : "", "family" : "Naidu", "given" : "Ravendra", "non-dropping-particle" : "", "parse-names" : false, "suffix" : "" } ], "container-title" : "International Biodeterioration &amp; Biodegradation", "id" : "ITEM-1", "issue" : "1-2", "issued" : { "date-parts" : [ [ "2000", "1", "1" ] ] }, "page" : "57-88", "publisher" : "Elsevier", "title" : "Bioremediation of high molecular weight polycyclic aromatic hydrocarbons: a review of the microbial degradation of benzo[a]pyrene", "type" : "article-journal", "volume" : "45" }, "uris" : [ "http://www.mendeley.com/documents/?uuid=3541d871-961b-382c-b4a7-8c0196cc5f4d" ] } ], "mendeley" : { "formattedCitation" : "(Juhasz and Naidu, 2000)", "plainTextFormattedCitation" : "(Juhasz and Naidu, 2000)", "previouslyFormattedCitation" : "(Juhasz and Naidu, 2000)" }, "properties" : { "noteIndex" : 0 }, "schema" : "https://github.com/citation-style-language/schema/raw/master/csl-citation.json" }</w:instrText>
            </w:r>
            <w:r>
              <w:rPr>
                <w:sz w:val="18"/>
                <w:szCs w:val="18"/>
              </w:rPr>
              <w:fldChar w:fldCharType="separate"/>
            </w:r>
            <w:r w:rsidRPr="00CD43F8">
              <w:rPr>
                <w:noProof/>
                <w:sz w:val="18"/>
                <w:szCs w:val="18"/>
              </w:rPr>
              <w:t>(Juhasz and Naidu, 2000)</w:t>
            </w:r>
            <w:r>
              <w:rPr>
                <w:sz w:val="18"/>
                <w:szCs w:val="18"/>
              </w:rPr>
              <w:fldChar w:fldCharType="end"/>
            </w:r>
          </w:p>
        </w:tc>
        <w:tc>
          <w:tcPr>
            <w:tcW w:w="2167" w:type="dxa"/>
            <w:shd w:val="clear" w:color="auto" w:fill="FFF2CC" w:themeFill="accent4" w:themeFillTint="33"/>
          </w:tcPr>
          <w:p w14:paraId="35A34F5F" w14:textId="068B3232"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bacteria can degrade Benzo[a]pyrene</w:t>
            </w:r>
          </w:p>
        </w:tc>
        <w:tc>
          <w:tcPr>
            <w:tcW w:w="1612" w:type="dxa"/>
            <w:shd w:val="clear" w:color="auto" w:fill="FFF2CC" w:themeFill="accent4" w:themeFillTint="33"/>
          </w:tcPr>
          <w:p w14:paraId="5528CEBF" w14:textId="4DCF4EEC"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rPr>
            </w:pPr>
            <w:r>
              <w:rPr>
                <w:sz w:val="18"/>
              </w:rPr>
              <w:t>various</w:t>
            </w:r>
          </w:p>
        </w:tc>
        <w:tc>
          <w:tcPr>
            <w:tcW w:w="1479" w:type="dxa"/>
            <w:shd w:val="clear" w:color="auto" w:fill="FFF2CC" w:themeFill="accent4" w:themeFillTint="33"/>
          </w:tcPr>
          <w:p w14:paraId="19904A0F" w14:textId="2A19B576"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various</w:t>
            </w:r>
          </w:p>
        </w:tc>
        <w:tc>
          <w:tcPr>
            <w:tcW w:w="2694" w:type="dxa"/>
            <w:shd w:val="clear" w:color="auto" w:fill="FFF2CC" w:themeFill="accent4" w:themeFillTint="33"/>
          </w:tcPr>
          <w:p w14:paraId="635C8367" w14:textId="3EB9A475" w:rsidR="000324D1"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215</w:t>
            </w:r>
            <w:r w:rsidRPr="000324D1">
              <w:rPr>
                <w:sz w:val="18"/>
                <w:szCs w:val="18"/>
              </w:rPr>
              <w:t xml:space="preserve"> µg/kg</w:t>
            </w:r>
            <w:r>
              <w:rPr>
                <w:sz w:val="18"/>
                <w:szCs w:val="18"/>
              </w:rPr>
              <w:t xml:space="preserve"> (urban mean)</w:t>
            </w:r>
          </w:p>
          <w:p w14:paraId="4F75DEAA" w14:textId="2897769F" w:rsidR="00042C30" w:rsidRPr="00317194"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24800</w:t>
            </w:r>
            <w:r w:rsidR="000324D1" w:rsidRPr="000324D1">
              <w:rPr>
                <w:sz w:val="18"/>
                <w:szCs w:val="18"/>
              </w:rPr>
              <w:t xml:space="preserve"> µg/kg</w:t>
            </w:r>
            <w:r w:rsidR="000324D1">
              <w:rPr>
                <w:sz w:val="18"/>
                <w:szCs w:val="18"/>
              </w:rPr>
              <w:t xml:space="preserve"> (urban max)</w:t>
            </w:r>
          </w:p>
        </w:tc>
      </w:tr>
      <w:tr w:rsidR="00D677B2" w14:paraId="37407436"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FF2CC" w:themeFill="accent4" w:themeFillTint="33"/>
          </w:tcPr>
          <w:p w14:paraId="7715B72E" w14:textId="6F1565B4" w:rsidR="0061480A" w:rsidRPr="003417B9" w:rsidRDefault="0061480A" w:rsidP="0061480A">
            <w:pPr>
              <w:rPr>
                <w:b w:val="0"/>
              </w:rPr>
            </w:pPr>
            <w:r w:rsidRPr="003417B9">
              <w:rPr>
                <w:b w:val="0"/>
              </w:rPr>
              <w:t>Benzene</w:t>
            </w:r>
            <w:r w:rsidR="00EE36F9">
              <w:rPr>
                <w:b w:val="0"/>
              </w:rPr>
              <w:t xml:space="preserve"> (Solvent</w:t>
            </w:r>
            <w:r w:rsidR="00042C30">
              <w:rPr>
                <w:b w:val="0"/>
              </w:rPr>
              <w:t>, AH</w:t>
            </w:r>
            <w:r w:rsidR="00EE36F9">
              <w:rPr>
                <w:b w:val="0"/>
              </w:rPr>
              <w:t>)</w:t>
            </w:r>
          </w:p>
        </w:tc>
        <w:tc>
          <w:tcPr>
            <w:tcW w:w="1758" w:type="dxa"/>
            <w:shd w:val="clear" w:color="auto" w:fill="FFF2CC" w:themeFill="accent4" w:themeFillTint="33"/>
          </w:tcPr>
          <w:p w14:paraId="17214FE2" w14:textId="22EB8EB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proofErr w:type="gramStart"/>
            <w:r>
              <w:rPr>
                <w:sz w:val="18"/>
              </w:rPr>
              <w:t>AH petrol additive,</w:t>
            </w:r>
            <w:proofErr w:type="gramEnd"/>
            <w:r>
              <w:rPr>
                <w:sz w:val="18"/>
              </w:rPr>
              <w:t xml:space="preserve"> used as stock in many synthesis pipelines</w:t>
            </w:r>
          </w:p>
        </w:tc>
        <w:tc>
          <w:tcPr>
            <w:tcW w:w="1538" w:type="dxa"/>
            <w:shd w:val="clear" w:color="auto" w:fill="FFF2CC" w:themeFill="accent4" w:themeFillTint="33"/>
          </w:tcPr>
          <w:p w14:paraId="7402416D" w14:textId="54E3B50F"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Mutagenesis</w:t>
            </w:r>
          </w:p>
        </w:tc>
        <w:tc>
          <w:tcPr>
            <w:tcW w:w="1851" w:type="dxa"/>
            <w:shd w:val="clear" w:color="auto" w:fill="FFF2CC" w:themeFill="accent4" w:themeFillTint="33"/>
          </w:tcPr>
          <w:p w14:paraId="1594F8DF" w14:textId="391FE99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"id" : "ITEM-3", "itemData" : { "ISBN" : "1844 323 145", "author" : [ { "dropping-particle" : "", "family" : "Earl", "given" : "N", "non-dropping-particle" : "", "parse-names" : false, "suffix" : "" }, { "dropping-particle" : "", "family" : "Cartwright", "given" : "C.D.", "non-dropping-particle" : "", "parse-names" : false, "suffix" : "" }, { "dropping-particle" : "", "family" : "Horrocks", "given" : "S.J.", "non-dropping-particle" : "", "parse-names" : false, "suffix" : "" }, { "dropping-particle" : "", "family" : "Worboys", "given" : "M.", "non-dropping-particle" : "", "parse-names" : false, "suffix" : "" }, { "dropping-particle" : "", "family" : "Swift", "given" : "S.", "non-dropping-particle" : "", "parse-names" : false, "suffix" : "" }, { "dropping-particle" : "", "family" : "Kirton", "given" : "J.A.", "non-dropping-particle" : "", "parse-names" : false, "suffix" : "" }, { "dropping-particle" : "", "family" : "Askan", "given" : "A.U.", "non-dropping-particle" : "", "parse-names" : false, "suffix" : "" }, { "dropping-particle" : "", "family" : "Kelleher", "given" : "H.", "non-dropping-particle" : "", "parse-names" : false, "suffix" : "" }, { "dropping-particle" : "", "family" : "Nancarrow", "given" : "D.J.", "non-dropping-particle" : "", "parse-names" : false, "suffix" : "" } ], "container-title" : "Draft R&amp;D Technical Report P5-079/TR1", "id" : "ITEM-3", "issued" : { "date-parts" : [ [ "2003" ] ] }, "page" : "190", "title" : "Review of the Fate and Transport of Selected Contaminants in the Soil Environment", "type" : "article-journal" }, "uris" : [ "http://www.mendeley.com/documents/?uuid=3e3d3110-bd15-338b-93ba-c59ea3dc08b1" ] } ], "mendeley" : { "formattedCitation" : "(Earl &lt;i&gt;et al.&lt;/i&gt;, 2003; Hartnik &lt;i&gt;et al.&lt;/i&gt;, 2007; Haritash and Kaushik, 2009)", "plainTextFormattedCitation" : "(Earl et al., 2003; Hartnik et al., 2007; Haritash and Kaushik, 2009)", "previouslyFormattedCitation" : "(Earl &lt;i&gt;et al.&lt;/i&gt;, 2003; Hartnik &lt;i&gt;et al.&lt;/i&gt;, 2007; Haritash and Kaushik, 2009)" }, "properties" : { "noteIndex" : 0 }, "schema" : "https://github.com/citation-style-language/schema/raw/master/csl-citation.json" }</w:instrText>
            </w:r>
            <w:r>
              <w:rPr>
                <w:sz w:val="18"/>
                <w:szCs w:val="18"/>
              </w:rPr>
              <w:fldChar w:fldCharType="separate"/>
            </w:r>
            <w:r w:rsidR="00A33E32" w:rsidRPr="00A33E32">
              <w:rPr>
                <w:noProof/>
                <w:sz w:val="18"/>
                <w:szCs w:val="18"/>
              </w:rPr>
              <w:t xml:space="preserve">(Earl </w:t>
            </w:r>
            <w:r w:rsidR="00A33E32" w:rsidRPr="00A33E32">
              <w:rPr>
                <w:i/>
                <w:noProof/>
                <w:sz w:val="18"/>
                <w:szCs w:val="18"/>
              </w:rPr>
              <w:t>et al.</w:t>
            </w:r>
            <w:r w:rsidR="00A33E32" w:rsidRPr="00A33E32">
              <w:rPr>
                <w:noProof/>
                <w:sz w:val="18"/>
                <w:szCs w:val="18"/>
              </w:rPr>
              <w:t xml:space="preserve">, 2003; Hartnik </w:t>
            </w:r>
            <w:r w:rsidR="00A33E32" w:rsidRPr="00A33E32">
              <w:rPr>
                <w:i/>
                <w:noProof/>
                <w:sz w:val="18"/>
                <w:szCs w:val="18"/>
              </w:rPr>
              <w:t>et al.</w:t>
            </w:r>
            <w:r w:rsidR="00A33E32" w:rsidRPr="00A33E32">
              <w:rPr>
                <w:noProof/>
                <w:sz w:val="18"/>
                <w:szCs w:val="18"/>
              </w:rPr>
              <w:t>, 2007; Haritash and Kaushik, 2009)</w:t>
            </w:r>
            <w:r>
              <w:rPr>
                <w:sz w:val="18"/>
                <w:szCs w:val="18"/>
              </w:rPr>
              <w:fldChar w:fldCharType="end"/>
            </w:r>
            <w:r>
              <w:rPr>
                <w:sz w:val="18"/>
                <w:szCs w:val="18"/>
              </w:rPr>
              <w:t xml:space="preserve"> </w:t>
            </w:r>
          </w:p>
        </w:tc>
        <w:tc>
          <w:tcPr>
            <w:tcW w:w="2167" w:type="dxa"/>
            <w:shd w:val="clear" w:color="auto" w:fill="FFF2CC" w:themeFill="accent4" w:themeFillTint="33"/>
          </w:tcPr>
          <w:p w14:paraId="5F16977B"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15 minutes</w:t>
            </w:r>
          </w:p>
          <w:p w14:paraId="0F1C49AC" w14:textId="47C2449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Many aquatic bacteria are known to degrade benzene</w:t>
            </w:r>
          </w:p>
        </w:tc>
        <w:tc>
          <w:tcPr>
            <w:tcW w:w="1612" w:type="dxa"/>
            <w:shd w:val="clear" w:color="auto" w:fill="FFF2CC" w:themeFill="accent4" w:themeFillTint="33"/>
          </w:tcPr>
          <w:p w14:paraId="4B4309F9" w14:textId="1E5E300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479" w:type="dxa"/>
            <w:shd w:val="clear" w:color="auto" w:fill="FFF2CC" w:themeFill="accent4" w:themeFillTint="33"/>
          </w:tcPr>
          <w:p w14:paraId="557CD08D"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DMSO</w:t>
            </w:r>
          </w:p>
          <w:p w14:paraId="61E393C7" w14:textId="77777777"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Water sol: </w:t>
            </w:r>
          </w:p>
          <w:p w14:paraId="65E28207" w14:textId="7B8DD4DC"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sidRPr="003E0827">
              <w:rPr>
                <w:sz w:val="18"/>
                <w:szCs w:val="18"/>
              </w:rPr>
              <w:t>1.79</w:t>
            </w:r>
            <w:r>
              <w:rPr>
                <w:sz w:val="18"/>
                <w:szCs w:val="18"/>
              </w:rPr>
              <w:t xml:space="preserve"> g/L @ 25°C</w:t>
            </w:r>
          </w:p>
        </w:tc>
        <w:tc>
          <w:tcPr>
            <w:tcW w:w="2694" w:type="dxa"/>
            <w:shd w:val="clear" w:color="auto" w:fill="FFF2CC" w:themeFill="accent4" w:themeFillTint="33"/>
          </w:tcPr>
          <w:p w14:paraId="07FCCB46" w14:textId="2DE9AE51" w:rsidR="0061480A" w:rsidRPr="00B1020E" w:rsidRDefault="00A33E32" w:rsidP="0061480A">
            <w:pPr>
              <w:cnfStyle w:val="000000000000" w:firstRow="0" w:lastRow="0" w:firstColumn="0" w:lastColumn="0" w:oddVBand="0" w:evenVBand="0" w:oddHBand="0" w:evenHBand="0" w:firstRowFirstColumn="0" w:firstRowLastColumn="0" w:lastRowFirstColumn="0" w:lastRowLastColumn="0"/>
              <w:rPr>
                <w:sz w:val="18"/>
                <w:szCs w:val="18"/>
              </w:rPr>
            </w:pPr>
            <w:r w:rsidRPr="00A33E32">
              <w:rPr>
                <w:sz w:val="18"/>
                <w:szCs w:val="18"/>
              </w:rPr>
              <w:t>0.02 mg</w:t>
            </w:r>
            <w:r>
              <w:rPr>
                <w:sz w:val="18"/>
                <w:szCs w:val="18"/>
              </w:rPr>
              <w:t>/kg (approximate mean for Europe, so not that useful)</w:t>
            </w:r>
          </w:p>
          <w:p w14:paraId="3DA327F3"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p>
        </w:tc>
      </w:tr>
    </w:tbl>
    <w:p w14:paraId="7AC762F7" w14:textId="1022648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30F3"/>
    <w:rsid w:val="0001644A"/>
    <w:rsid w:val="000324D1"/>
    <w:rsid w:val="00032577"/>
    <w:rsid w:val="000402F9"/>
    <w:rsid w:val="00042C30"/>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D67FE"/>
    <w:rsid w:val="000E4A86"/>
    <w:rsid w:val="000E5CF0"/>
    <w:rsid w:val="000F44F0"/>
    <w:rsid w:val="0010465C"/>
    <w:rsid w:val="00104F33"/>
    <w:rsid w:val="001076A1"/>
    <w:rsid w:val="00114CA8"/>
    <w:rsid w:val="001170F6"/>
    <w:rsid w:val="0012215C"/>
    <w:rsid w:val="00122B45"/>
    <w:rsid w:val="0012501D"/>
    <w:rsid w:val="00127648"/>
    <w:rsid w:val="001360BB"/>
    <w:rsid w:val="00137120"/>
    <w:rsid w:val="001408F6"/>
    <w:rsid w:val="001409C2"/>
    <w:rsid w:val="0015272F"/>
    <w:rsid w:val="0017381B"/>
    <w:rsid w:val="0017772D"/>
    <w:rsid w:val="001801D9"/>
    <w:rsid w:val="001916E1"/>
    <w:rsid w:val="001B0675"/>
    <w:rsid w:val="001B4032"/>
    <w:rsid w:val="001B4A5D"/>
    <w:rsid w:val="001C7035"/>
    <w:rsid w:val="001E7E68"/>
    <w:rsid w:val="00204DD5"/>
    <w:rsid w:val="00234990"/>
    <w:rsid w:val="00246A6F"/>
    <w:rsid w:val="00251337"/>
    <w:rsid w:val="0025734E"/>
    <w:rsid w:val="00262A75"/>
    <w:rsid w:val="00263EB5"/>
    <w:rsid w:val="00265641"/>
    <w:rsid w:val="002777FC"/>
    <w:rsid w:val="00281713"/>
    <w:rsid w:val="002C2E9F"/>
    <w:rsid w:val="002C6AB5"/>
    <w:rsid w:val="002D3B7E"/>
    <w:rsid w:val="00317194"/>
    <w:rsid w:val="003179D7"/>
    <w:rsid w:val="0032265D"/>
    <w:rsid w:val="003249C8"/>
    <w:rsid w:val="00331AE2"/>
    <w:rsid w:val="003417B9"/>
    <w:rsid w:val="003507EF"/>
    <w:rsid w:val="00353F98"/>
    <w:rsid w:val="003662EC"/>
    <w:rsid w:val="0037585A"/>
    <w:rsid w:val="00387987"/>
    <w:rsid w:val="003923AF"/>
    <w:rsid w:val="003A7406"/>
    <w:rsid w:val="003A7E82"/>
    <w:rsid w:val="003B07A1"/>
    <w:rsid w:val="003B3C0F"/>
    <w:rsid w:val="003C3E64"/>
    <w:rsid w:val="003C7FC1"/>
    <w:rsid w:val="003E0827"/>
    <w:rsid w:val="003E6C62"/>
    <w:rsid w:val="003F4176"/>
    <w:rsid w:val="00410B02"/>
    <w:rsid w:val="00412353"/>
    <w:rsid w:val="00412F3A"/>
    <w:rsid w:val="00420ED6"/>
    <w:rsid w:val="0042618B"/>
    <w:rsid w:val="00436334"/>
    <w:rsid w:val="00443204"/>
    <w:rsid w:val="00447101"/>
    <w:rsid w:val="004634E3"/>
    <w:rsid w:val="00465193"/>
    <w:rsid w:val="00467A49"/>
    <w:rsid w:val="00483606"/>
    <w:rsid w:val="00484255"/>
    <w:rsid w:val="004A0EDF"/>
    <w:rsid w:val="004A30FC"/>
    <w:rsid w:val="004A62AF"/>
    <w:rsid w:val="004B5980"/>
    <w:rsid w:val="004C409E"/>
    <w:rsid w:val="004D2937"/>
    <w:rsid w:val="004D632C"/>
    <w:rsid w:val="004E1786"/>
    <w:rsid w:val="004E3735"/>
    <w:rsid w:val="004E74DB"/>
    <w:rsid w:val="005114EC"/>
    <w:rsid w:val="00546B24"/>
    <w:rsid w:val="00551CA0"/>
    <w:rsid w:val="00556A7F"/>
    <w:rsid w:val="005579A2"/>
    <w:rsid w:val="0057181B"/>
    <w:rsid w:val="00592DDF"/>
    <w:rsid w:val="00593B6C"/>
    <w:rsid w:val="00597EE2"/>
    <w:rsid w:val="005A4B07"/>
    <w:rsid w:val="005D2F0E"/>
    <w:rsid w:val="005F1E11"/>
    <w:rsid w:val="00607063"/>
    <w:rsid w:val="0061081C"/>
    <w:rsid w:val="00610F4D"/>
    <w:rsid w:val="00612F99"/>
    <w:rsid w:val="006141BB"/>
    <w:rsid w:val="0061480A"/>
    <w:rsid w:val="006365A4"/>
    <w:rsid w:val="00636C9C"/>
    <w:rsid w:val="00656171"/>
    <w:rsid w:val="006567C0"/>
    <w:rsid w:val="00656955"/>
    <w:rsid w:val="0066270A"/>
    <w:rsid w:val="006640BF"/>
    <w:rsid w:val="0066654A"/>
    <w:rsid w:val="0066692B"/>
    <w:rsid w:val="0068144B"/>
    <w:rsid w:val="00682913"/>
    <w:rsid w:val="006869E1"/>
    <w:rsid w:val="00697725"/>
    <w:rsid w:val="006A0205"/>
    <w:rsid w:val="006B267C"/>
    <w:rsid w:val="006B2C3A"/>
    <w:rsid w:val="006E0CB6"/>
    <w:rsid w:val="006F3175"/>
    <w:rsid w:val="0070143E"/>
    <w:rsid w:val="00723D99"/>
    <w:rsid w:val="00730636"/>
    <w:rsid w:val="00734AC9"/>
    <w:rsid w:val="007365FF"/>
    <w:rsid w:val="00740454"/>
    <w:rsid w:val="00744FC4"/>
    <w:rsid w:val="007524ED"/>
    <w:rsid w:val="007642D9"/>
    <w:rsid w:val="007759B2"/>
    <w:rsid w:val="007859C7"/>
    <w:rsid w:val="00785F6B"/>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3706"/>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9F585C"/>
    <w:rsid w:val="00A02A26"/>
    <w:rsid w:val="00A16FB1"/>
    <w:rsid w:val="00A24ED8"/>
    <w:rsid w:val="00A3251D"/>
    <w:rsid w:val="00A33E32"/>
    <w:rsid w:val="00A403DD"/>
    <w:rsid w:val="00A46D6B"/>
    <w:rsid w:val="00A617D9"/>
    <w:rsid w:val="00A8371B"/>
    <w:rsid w:val="00A8714C"/>
    <w:rsid w:val="00A90D48"/>
    <w:rsid w:val="00A91B7C"/>
    <w:rsid w:val="00A9549B"/>
    <w:rsid w:val="00A97DC4"/>
    <w:rsid w:val="00AA2D51"/>
    <w:rsid w:val="00AA411E"/>
    <w:rsid w:val="00AB6146"/>
    <w:rsid w:val="00AC2837"/>
    <w:rsid w:val="00AE00BF"/>
    <w:rsid w:val="00AE268D"/>
    <w:rsid w:val="00AF2DCE"/>
    <w:rsid w:val="00AF5864"/>
    <w:rsid w:val="00AF7143"/>
    <w:rsid w:val="00AF7915"/>
    <w:rsid w:val="00B1020E"/>
    <w:rsid w:val="00B14AAC"/>
    <w:rsid w:val="00B172C2"/>
    <w:rsid w:val="00B36B4D"/>
    <w:rsid w:val="00B56868"/>
    <w:rsid w:val="00B56DD1"/>
    <w:rsid w:val="00BA4812"/>
    <w:rsid w:val="00BA6E83"/>
    <w:rsid w:val="00BB5579"/>
    <w:rsid w:val="00BC1A0E"/>
    <w:rsid w:val="00BC3020"/>
    <w:rsid w:val="00BC639A"/>
    <w:rsid w:val="00C03BA1"/>
    <w:rsid w:val="00C46368"/>
    <w:rsid w:val="00C50484"/>
    <w:rsid w:val="00C60637"/>
    <w:rsid w:val="00C63326"/>
    <w:rsid w:val="00C64BB1"/>
    <w:rsid w:val="00C72D33"/>
    <w:rsid w:val="00C76767"/>
    <w:rsid w:val="00C83700"/>
    <w:rsid w:val="00C84067"/>
    <w:rsid w:val="00C878E1"/>
    <w:rsid w:val="00C903B6"/>
    <w:rsid w:val="00C903F0"/>
    <w:rsid w:val="00C95CA7"/>
    <w:rsid w:val="00C97AD1"/>
    <w:rsid w:val="00CA151E"/>
    <w:rsid w:val="00CA3310"/>
    <w:rsid w:val="00CC0DF5"/>
    <w:rsid w:val="00CD43F8"/>
    <w:rsid w:val="00CE1771"/>
    <w:rsid w:val="00CE5537"/>
    <w:rsid w:val="00CE6208"/>
    <w:rsid w:val="00CF33FF"/>
    <w:rsid w:val="00CF69BC"/>
    <w:rsid w:val="00D001D4"/>
    <w:rsid w:val="00D02544"/>
    <w:rsid w:val="00D240DB"/>
    <w:rsid w:val="00D26269"/>
    <w:rsid w:val="00D33180"/>
    <w:rsid w:val="00D343E1"/>
    <w:rsid w:val="00D43AEB"/>
    <w:rsid w:val="00D56221"/>
    <w:rsid w:val="00D6127C"/>
    <w:rsid w:val="00D677B2"/>
    <w:rsid w:val="00D70C50"/>
    <w:rsid w:val="00D745B7"/>
    <w:rsid w:val="00D95C6D"/>
    <w:rsid w:val="00DA6762"/>
    <w:rsid w:val="00DA7035"/>
    <w:rsid w:val="00DB1B6C"/>
    <w:rsid w:val="00DB31DA"/>
    <w:rsid w:val="00DB481A"/>
    <w:rsid w:val="00DB6A57"/>
    <w:rsid w:val="00DB6AFF"/>
    <w:rsid w:val="00DD542C"/>
    <w:rsid w:val="00E038A2"/>
    <w:rsid w:val="00E0712D"/>
    <w:rsid w:val="00E14415"/>
    <w:rsid w:val="00E149BD"/>
    <w:rsid w:val="00E15ECF"/>
    <w:rsid w:val="00E30EF6"/>
    <w:rsid w:val="00E3314C"/>
    <w:rsid w:val="00E34473"/>
    <w:rsid w:val="00E36DBD"/>
    <w:rsid w:val="00E44C83"/>
    <w:rsid w:val="00E46194"/>
    <w:rsid w:val="00E53B17"/>
    <w:rsid w:val="00E64588"/>
    <w:rsid w:val="00E901B5"/>
    <w:rsid w:val="00E97F60"/>
    <w:rsid w:val="00EA2D3E"/>
    <w:rsid w:val="00EA728E"/>
    <w:rsid w:val="00ED24BB"/>
    <w:rsid w:val="00EE36F9"/>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E1780"/>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7557">
      <w:bodyDiv w:val="1"/>
      <w:marLeft w:val="0"/>
      <w:marRight w:val="0"/>
      <w:marTop w:val="0"/>
      <w:marBottom w:val="0"/>
      <w:divBdr>
        <w:top w:val="none" w:sz="0" w:space="0" w:color="auto"/>
        <w:left w:val="none" w:sz="0" w:space="0" w:color="auto"/>
        <w:bottom w:val="none" w:sz="0" w:space="0" w:color="auto"/>
        <w:right w:val="none" w:sz="0" w:space="0" w:color="auto"/>
      </w:divBdr>
    </w:div>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 w:id="19391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75CBD-4BE5-432F-973C-1CC3EABD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7125</Words>
  <Characters>40614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2</cp:revision>
  <dcterms:created xsi:type="dcterms:W3CDTF">2018-06-25T13:32:00Z</dcterms:created>
  <dcterms:modified xsi:type="dcterms:W3CDTF">2018-06-25T13:32:00Z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