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lainTable1"/>
        <w:tblpPr w:leftFromText="180" w:rightFromText="180" w:vertAnchor="page" w:horzAnchor="margin" w:tblpXSpec="center" w:tblpY="736"/>
        <w:tblW w:w="15021" w:type="dxa"/>
        <w:tblLook w:val="04A0" w:firstRow="1" w:lastRow="0" w:firstColumn="1" w:lastColumn="0" w:noHBand="0" w:noVBand="1"/>
      </w:tblPr>
      <w:tblGrid>
        <w:gridCol w:w="1987"/>
        <w:gridCol w:w="1778"/>
        <w:gridCol w:w="1549"/>
        <w:gridCol w:w="1883"/>
        <w:gridCol w:w="2207"/>
        <w:gridCol w:w="1628"/>
        <w:gridCol w:w="1239"/>
        <w:gridCol w:w="2750"/>
      </w:tblGrid>
      <w:tr w:rsidR="00DA7035" w14:paraId="654F0031" w14:textId="77777777" w:rsidTr="00DA7035">
        <w:trPr>
          <w:cnfStyle w:val="100000000000" w:firstRow="1" w:lastRow="0" w:firstColumn="0" w:lastColumn="0" w:oddVBand="0" w:evenVBand="0" w:oddHBand="0"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1987" w:type="dxa"/>
          </w:tcPr>
          <w:p w14:paraId="2C933DF7" w14:textId="77777777" w:rsidR="00697725" w:rsidRDefault="00697725" w:rsidP="00697725">
            <w:r>
              <w:t>Stressor</w:t>
            </w:r>
          </w:p>
        </w:tc>
        <w:tc>
          <w:tcPr>
            <w:tcW w:w="1778" w:type="dxa"/>
          </w:tcPr>
          <w:p w14:paraId="27BCF3FD" w14:textId="77777777" w:rsidR="00697725" w:rsidRDefault="00697725" w:rsidP="00697725">
            <w:pPr>
              <w:cnfStyle w:val="100000000000" w:firstRow="1" w:lastRow="0" w:firstColumn="0" w:lastColumn="0" w:oddVBand="0" w:evenVBand="0" w:oddHBand="0" w:evenHBand="0" w:firstRowFirstColumn="0" w:firstRowLastColumn="0" w:lastRowFirstColumn="0" w:lastRowLastColumn="0"/>
            </w:pPr>
            <w:r>
              <w:t>Relevance</w:t>
            </w:r>
          </w:p>
        </w:tc>
        <w:tc>
          <w:tcPr>
            <w:tcW w:w="1549" w:type="dxa"/>
          </w:tcPr>
          <w:p w14:paraId="16E900C9" w14:textId="77777777" w:rsidR="00697725" w:rsidRDefault="00697725" w:rsidP="00697725">
            <w:pPr>
              <w:cnfStyle w:val="100000000000" w:firstRow="1" w:lastRow="0" w:firstColumn="0" w:lastColumn="0" w:oddVBand="0" w:evenVBand="0" w:oddHBand="0" w:evenHBand="0" w:firstRowFirstColumn="0" w:firstRowLastColumn="0" w:lastRowFirstColumn="0" w:lastRowLastColumn="0"/>
            </w:pPr>
            <w:r>
              <w:t>Mechanism</w:t>
            </w:r>
          </w:p>
        </w:tc>
        <w:tc>
          <w:tcPr>
            <w:tcW w:w="1883" w:type="dxa"/>
          </w:tcPr>
          <w:p w14:paraId="03CFEAA0" w14:textId="77777777" w:rsidR="00697725" w:rsidRDefault="00697725" w:rsidP="00697725">
            <w:pPr>
              <w:cnfStyle w:val="100000000000" w:firstRow="1" w:lastRow="0" w:firstColumn="0" w:lastColumn="0" w:oddVBand="0" w:evenVBand="0" w:oddHBand="0" w:evenHBand="0" w:firstRowFirstColumn="0" w:firstRowLastColumn="0" w:lastRowFirstColumn="0" w:lastRowLastColumn="0"/>
            </w:pPr>
            <w:r>
              <w:t>Literature</w:t>
            </w:r>
          </w:p>
        </w:tc>
        <w:tc>
          <w:tcPr>
            <w:tcW w:w="2207" w:type="dxa"/>
          </w:tcPr>
          <w:p w14:paraId="5A68BA2A" w14:textId="77777777" w:rsidR="00697725" w:rsidRDefault="00697725" w:rsidP="00697725">
            <w:pPr>
              <w:cnfStyle w:val="100000000000" w:firstRow="1" w:lastRow="0" w:firstColumn="0" w:lastColumn="0" w:oddVBand="0" w:evenVBand="0" w:oddHBand="0" w:evenHBand="0" w:firstRowFirstColumn="0" w:firstRowLastColumn="0" w:lastRowFirstColumn="0" w:lastRowLastColumn="0"/>
            </w:pPr>
            <w:r>
              <w:t>Findings</w:t>
            </w:r>
          </w:p>
        </w:tc>
        <w:tc>
          <w:tcPr>
            <w:tcW w:w="1628" w:type="dxa"/>
          </w:tcPr>
          <w:p w14:paraId="7EBAC661" w14:textId="77777777" w:rsidR="00697725" w:rsidRDefault="00697725" w:rsidP="00697725">
            <w:pPr>
              <w:cnfStyle w:val="100000000000" w:firstRow="1" w:lastRow="0" w:firstColumn="0" w:lastColumn="0" w:oddVBand="0" w:evenVBand="0" w:oddHBand="0" w:evenHBand="0" w:firstRowFirstColumn="0" w:firstRowLastColumn="0" w:lastRowFirstColumn="0" w:lastRowLastColumn="0"/>
            </w:pPr>
            <w:r>
              <w:t xml:space="preserve">Study Conc. </w:t>
            </w:r>
          </w:p>
        </w:tc>
        <w:tc>
          <w:tcPr>
            <w:tcW w:w="1239" w:type="dxa"/>
          </w:tcPr>
          <w:p w14:paraId="5E59715F" w14:textId="77777777" w:rsidR="00697725" w:rsidRDefault="00697725" w:rsidP="00697725">
            <w:pPr>
              <w:cnfStyle w:val="100000000000" w:firstRow="1" w:lastRow="0" w:firstColumn="0" w:lastColumn="0" w:oddVBand="0" w:evenVBand="0" w:oddHBand="0" w:evenHBand="0" w:firstRowFirstColumn="0" w:firstRowLastColumn="0" w:lastRowFirstColumn="0" w:lastRowLastColumn="0"/>
            </w:pPr>
            <w:r>
              <w:t>Solvent Used</w:t>
            </w:r>
          </w:p>
        </w:tc>
        <w:tc>
          <w:tcPr>
            <w:tcW w:w="2750" w:type="dxa"/>
          </w:tcPr>
          <w:p w14:paraId="285F265A" w14:textId="77777777" w:rsidR="00697725" w:rsidRDefault="00697725" w:rsidP="00697725">
            <w:pPr>
              <w:cnfStyle w:val="100000000000" w:firstRow="1" w:lastRow="0" w:firstColumn="0" w:lastColumn="0" w:oddVBand="0" w:evenVBand="0" w:oddHBand="0" w:evenHBand="0" w:firstRowFirstColumn="0" w:firstRowLastColumn="0" w:lastRowFirstColumn="0" w:lastRowLastColumn="0"/>
            </w:pPr>
            <w:r>
              <w:t>Field Conc./Applications</w:t>
            </w:r>
          </w:p>
        </w:tc>
      </w:tr>
      <w:tr w:rsidR="00DA7035" w14:paraId="15E9093C" w14:textId="77777777" w:rsidTr="00DA7035">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987" w:type="dxa"/>
          </w:tcPr>
          <w:p w14:paraId="76A437DC" w14:textId="679E21FB" w:rsidR="00697725" w:rsidRPr="004E1786" w:rsidRDefault="00C50484" w:rsidP="00697725">
            <w:r>
              <w:t>Chloramphenicol</w:t>
            </w:r>
          </w:p>
        </w:tc>
        <w:tc>
          <w:tcPr>
            <w:tcW w:w="1778" w:type="dxa"/>
          </w:tcPr>
          <w:p w14:paraId="14FFE797" w14:textId="6E36418A" w:rsidR="00697725" w:rsidRPr="008639EE" w:rsidRDefault="00C50484" w:rsidP="0069772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Common and long-used antibiotic (bacteriostatic)</w:t>
            </w:r>
          </w:p>
        </w:tc>
        <w:tc>
          <w:tcPr>
            <w:tcW w:w="1549" w:type="dxa"/>
          </w:tcPr>
          <w:p w14:paraId="3864384A" w14:textId="2BFC5365" w:rsidR="00697725" w:rsidRPr="008639EE" w:rsidRDefault="00C50484" w:rsidP="0069772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Inhibits protein chain elongation via peptidyl transferase</w:t>
            </w:r>
          </w:p>
        </w:tc>
        <w:tc>
          <w:tcPr>
            <w:tcW w:w="1883" w:type="dxa"/>
          </w:tcPr>
          <w:p w14:paraId="77D03DB4" w14:textId="2E229BEA" w:rsidR="00697725" w:rsidRPr="008639EE" w:rsidRDefault="00C50484" w:rsidP="0069772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 "citationItems" : [ { "id" : "ITEM-1", "itemData" : { "DOI" : "10.1016/S0045-6535(98)00560-8", "ISSN" : "0045-6535", "abstract" : "Despite their common use the fate and effects of antibiotics in the environment are largely unknown. These compounds may enter the environment through different pathways, resulting in the contamination of waste water or fresh water, where bacteria are most likely the primarily affected organisms. In this paper the toxicity of several drugs, reflecting the most important groups of antibiotics and chemotherapeutics, towards Vibrio fischeri are presented. The chronic bioluminescence inhibition assay with Vibrio fischeri is shown to be sensitive against many of the high volume antibiotics used for veterinary purposes and in aquaculture. Thus the assay may be a valuable tool for an effects assessment and biomonitoring of these xenobiotics. The available data for both parts of the risk assessment procedure \u2014 exposure assessment and effects assessment \u2014 have to be regarded as insufficient for most antibiotics. When the available data about environmental concentrations of antibiotics are compared with their toxicity towards Vibrio fischeri, direct effects on natural microbial communities are to be expected.", "author" : [ { "dropping-particle" : "", "family" : "Backhaus", "given" : "T.", "non-dropping-particle" : "", "parse-names" : false, "suffix" : "" }, { "dropping-particle" : "", "family" : "Grimme", "given" : "L.H.", "non-dropping-particle" : "", "parse-names" : false, "suffix" : "" } ], "container-title" : "Chemosphere", "id" : "ITEM-1", "issue" : "14", "issued" : { "date-parts" : [ [ "1999", "6", "1" ] ] }, "page" : "3291-3301", "publisher" : "Pergamon", "title" : "The toxicity of antibiotic agents to the luminescent bacterium Vibrio fischeri", "type" : "article-journal", "volume" : "38" }, "uris" : [ "http://www.mendeley.com/documents/?uuid=8096c6bc-6756-37a2-a65b-b8550b405abe" ] }, { "id" : "ITEM-2", "itemData" : { "DOI" : "10.1016/J.CHEMOSPHERE.2008.11.086", "ISSN" : "0045-6535", "abstract" : "Although antibiotics have been used in large quantities for some decades, until recently the existence of these substances in the environment has received little notice. It is only in recent years that a more complex investigation of antibiotic substances has been undertaken in order to permit an assessment of the environmental risks they may pose. Within the last decade an increasing number of studies covering antibiotic input, occurrence, fate and effects have been published, but there is still a lack of understanding and knowledge about antibiotics in the aquatic environment despite the numerous studies performed. This review addresses the present state of knowledge concerning the input, occurrence, fate and effects of antibiotics in the environment. It brings up important questions that are still open, and addresses some significant issues which must be tackled in the future for a better understanding of the behavior of antibiotics in the environment, as well as the risks associated with their occurrence. Questions related to resistance in the environment that may be caused by antibiotics will be addressed in the second part.", "author" : [ { "dropping-particle" : "", "family" : "K\u00fcmmerer", "given" : "Klaus", "non-dropping-particle" : "", "parse-names" : false, "suffix" : "" } ], "container-title" : "Chemosphere", "id" : "ITEM-2", "issue" : "4", "issued" : { "date-parts" : [ [ "2009", "4", "1" ] ] }, "page" : "417-434", "publisher" : "Pergamon", "title" : "Antibiotics in the aquatic environment \u2013 A review \u2013 Part I", "type" : "article-journal", "volume" : "75" }, "uris" : [ "http://www.mendeley.com/documents/?uuid=b06c2a86-462f-3969-be7d-4a1ae8677648" ] } ], "mendeley" : { "formattedCitation" : "(Backhaus and Grimme, 1999; K\u00fcmmerer, 2009)", "plainTextFormattedCitation" : "(Backhaus and Grimme, 1999; K\u00fcmmerer, 2009)", "previouslyFormattedCitation" : "(Backhaus and Grimme, 1999; K\u00fcmmerer, 2009)" }, "properties" : {  }, "schema" : "https://github.com/citation-style-language/schema/raw/master/csl-citation.json" }</w:instrText>
            </w:r>
            <w:r>
              <w:rPr>
                <w:sz w:val="18"/>
                <w:szCs w:val="18"/>
              </w:rPr>
              <w:fldChar w:fldCharType="separate"/>
            </w:r>
            <w:r w:rsidRPr="00C50484">
              <w:rPr>
                <w:noProof/>
                <w:sz w:val="18"/>
                <w:szCs w:val="18"/>
              </w:rPr>
              <w:t>(Backhaus and Grimme, 1999; Kümmerer, 2009)</w:t>
            </w:r>
            <w:r>
              <w:rPr>
                <w:sz w:val="18"/>
                <w:szCs w:val="18"/>
              </w:rPr>
              <w:fldChar w:fldCharType="end"/>
            </w:r>
          </w:p>
        </w:tc>
        <w:tc>
          <w:tcPr>
            <w:tcW w:w="2207" w:type="dxa"/>
          </w:tcPr>
          <w:p w14:paraId="0ADC25E5" w14:textId="5FA531DB" w:rsidR="00697725" w:rsidRPr="003249C8" w:rsidRDefault="003249C8" w:rsidP="0069772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Toxic to </w:t>
            </w:r>
            <w:r w:rsidRPr="003249C8">
              <w:rPr>
                <w:i/>
                <w:sz w:val="18"/>
                <w:szCs w:val="18"/>
              </w:rPr>
              <w:t xml:space="preserve">V. </w:t>
            </w:r>
            <w:proofErr w:type="spellStart"/>
            <w:r w:rsidRPr="003249C8">
              <w:rPr>
                <w:i/>
                <w:sz w:val="18"/>
                <w:szCs w:val="18"/>
              </w:rPr>
              <w:t>fischeri</w:t>
            </w:r>
            <w:proofErr w:type="spellEnd"/>
            <w:r>
              <w:rPr>
                <w:sz w:val="18"/>
                <w:szCs w:val="18"/>
              </w:rPr>
              <w:t xml:space="preserve"> over chronic (24h) exposures</w:t>
            </w:r>
          </w:p>
        </w:tc>
        <w:tc>
          <w:tcPr>
            <w:tcW w:w="1628" w:type="dxa"/>
          </w:tcPr>
          <w:p w14:paraId="30EA18E3" w14:textId="77777777" w:rsidR="00697725" w:rsidRDefault="00D02544" w:rsidP="00697725">
            <w:pPr>
              <w:cnfStyle w:val="000000100000" w:firstRow="0" w:lastRow="0" w:firstColumn="0" w:lastColumn="0" w:oddVBand="0" w:evenVBand="0" w:oddHBand="1" w:evenHBand="0" w:firstRowFirstColumn="0" w:firstRowLastColumn="0" w:lastRowFirstColumn="0" w:lastRowLastColumn="0"/>
              <w:rPr>
                <w:sz w:val="18"/>
                <w:szCs w:val="18"/>
                <w:vertAlign w:val="subscript"/>
              </w:rPr>
            </w:pPr>
            <w:r>
              <w:rPr>
                <w:sz w:val="18"/>
                <w:szCs w:val="18"/>
              </w:rPr>
              <w:t>EC90 – 0.129 mg.l</w:t>
            </w:r>
            <w:r w:rsidRPr="00551CA0">
              <w:rPr>
                <w:sz w:val="18"/>
                <w:szCs w:val="18"/>
                <w:vertAlign w:val="superscript"/>
              </w:rPr>
              <w:t>-1</w:t>
            </w:r>
          </w:p>
          <w:p w14:paraId="33E20C47" w14:textId="73A61A65" w:rsidR="00D02544" w:rsidRDefault="00D02544" w:rsidP="00697725">
            <w:pPr>
              <w:cnfStyle w:val="000000100000" w:firstRow="0" w:lastRow="0" w:firstColumn="0" w:lastColumn="0" w:oddVBand="0" w:evenVBand="0" w:oddHBand="1" w:evenHBand="0" w:firstRowFirstColumn="0" w:firstRowLastColumn="0" w:lastRowFirstColumn="0" w:lastRowLastColumn="0"/>
              <w:rPr>
                <w:sz w:val="18"/>
                <w:szCs w:val="18"/>
                <w:vertAlign w:val="subscript"/>
              </w:rPr>
            </w:pPr>
            <w:r>
              <w:rPr>
                <w:sz w:val="18"/>
                <w:szCs w:val="18"/>
              </w:rPr>
              <w:t>EC50 – 0.064 mg.l</w:t>
            </w:r>
            <w:r w:rsidRPr="00551CA0">
              <w:rPr>
                <w:sz w:val="18"/>
                <w:szCs w:val="18"/>
                <w:vertAlign w:val="superscript"/>
              </w:rPr>
              <w:t>-1</w:t>
            </w:r>
          </w:p>
          <w:p w14:paraId="3AA66D47" w14:textId="77297B26" w:rsidR="00D02544" w:rsidRPr="008639EE" w:rsidRDefault="00D02544" w:rsidP="0069772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EC90 – 0.019 mg.l</w:t>
            </w:r>
            <w:r w:rsidRPr="00551CA0">
              <w:rPr>
                <w:sz w:val="18"/>
                <w:szCs w:val="18"/>
                <w:vertAlign w:val="superscript"/>
              </w:rPr>
              <w:t>-1</w:t>
            </w:r>
          </w:p>
        </w:tc>
        <w:tc>
          <w:tcPr>
            <w:tcW w:w="1239" w:type="dxa"/>
          </w:tcPr>
          <w:p w14:paraId="1DBB0148" w14:textId="5F4A9B55" w:rsidR="00697725" w:rsidRPr="008639EE" w:rsidRDefault="00D02544" w:rsidP="0069772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Stock solution?</w:t>
            </w:r>
          </w:p>
        </w:tc>
        <w:tc>
          <w:tcPr>
            <w:tcW w:w="2750" w:type="dxa"/>
          </w:tcPr>
          <w:p w14:paraId="2A2CDB62" w14:textId="538A12EB" w:rsidR="00697725" w:rsidRPr="008639EE" w:rsidRDefault="00551CA0" w:rsidP="0069772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Up to 60 ng.l</w:t>
            </w:r>
            <w:r w:rsidRPr="00551CA0">
              <w:rPr>
                <w:sz w:val="18"/>
                <w:szCs w:val="18"/>
                <w:vertAlign w:val="superscript"/>
              </w:rPr>
              <w:t>-1</w:t>
            </w:r>
            <w:r>
              <w:rPr>
                <w:sz w:val="18"/>
                <w:szCs w:val="18"/>
              </w:rPr>
              <w:t xml:space="preserve"> in surface water</w:t>
            </w:r>
          </w:p>
        </w:tc>
      </w:tr>
      <w:tr w:rsidR="00DA7035" w14:paraId="30D74382" w14:textId="77777777" w:rsidTr="00DA7035">
        <w:trPr>
          <w:trHeight w:val="276"/>
        </w:trPr>
        <w:tc>
          <w:tcPr>
            <w:cnfStyle w:val="001000000000" w:firstRow="0" w:lastRow="0" w:firstColumn="1" w:lastColumn="0" w:oddVBand="0" w:evenVBand="0" w:oddHBand="0" w:evenHBand="0" w:firstRowFirstColumn="0" w:firstRowLastColumn="0" w:lastRowFirstColumn="0" w:lastRowLastColumn="0"/>
            <w:tcW w:w="1987" w:type="dxa"/>
          </w:tcPr>
          <w:p w14:paraId="2813F2FA" w14:textId="77777777" w:rsidR="00697725" w:rsidRDefault="00697725" w:rsidP="00697725">
            <w:r>
              <w:t>Arsenic</w:t>
            </w:r>
          </w:p>
        </w:tc>
        <w:tc>
          <w:tcPr>
            <w:tcW w:w="1778" w:type="dxa"/>
          </w:tcPr>
          <w:p w14:paraId="205D32CB" w14:textId="7EEA9802" w:rsidR="00697725" w:rsidRPr="008639EE" w:rsidRDefault="00697725"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Major anthropogenic stressor</w:t>
            </w:r>
            <w:r w:rsidR="004A62AF">
              <w:rPr>
                <w:sz w:val="18"/>
                <w:szCs w:val="18"/>
              </w:rPr>
              <w:t>, metalloid</w:t>
            </w:r>
          </w:p>
        </w:tc>
        <w:tc>
          <w:tcPr>
            <w:tcW w:w="1549" w:type="dxa"/>
          </w:tcPr>
          <w:p w14:paraId="327264A6" w14:textId="5D947DAE" w:rsidR="00697725" w:rsidRDefault="00697725"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Ox</w:t>
            </w:r>
            <w:r w:rsidR="00F41098">
              <w:rPr>
                <w:sz w:val="18"/>
                <w:szCs w:val="18"/>
              </w:rPr>
              <w:t>idative</w:t>
            </w:r>
            <w:r>
              <w:rPr>
                <w:sz w:val="18"/>
                <w:szCs w:val="18"/>
              </w:rPr>
              <w:t xml:space="preserve"> stress</w:t>
            </w:r>
          </w:p>
        </w:tc>
        <w:tc>
          <w:tcPr>
            <w:tcW w:w="1883" w:type="dxa"/>
          </w:tcPr>
          <w:p w14:paraId="698BF20B" w14:textId="77777777" w:rsidR="00697725" w:rsidRDefault="00697725"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 "citationItems" : [ { "id" : "ITEM-1", "itemData" : { "DOI" : "10.1016/J.JBIOTEC.2006.07.018", "ISSN" : "0168-1656", "abstract" : "Arsenic resistance and removal was evaluated in nine bacterial strains of marine and non-marine origins. Of the strains tested, Marinomonas communis exhibited the second-highest arsenic resistance with median effective concentration (EC50) value of 510mgAsl\u22121, and was capable of removing arsenic from culture medium amended with arsenate. Arsenic accumulation in cells amounted to 2290\u03bcgAsg\u22121 (dry weight) when incubated on medium containing 5mgAsl\u22121 of arsenate. More than half of the arsenic removed was related to metabolic activity: 45% of the arsenic was incorporated into the cytosol fraction and 10% was found in the lipid-bound fraction of the membrane, with the remaining arsenic considered to be adsorbed onto the cell surface. Potential arsenic resistance and removal were also examined in six marine and non-marine environmental water samples. Of the total bacterial colony counts, 28\u2013100% of bacteria showed arsenic resistance. Some of the bacterial consortia, especially those from seawater enriched with arsenate, exhibited higher accumulated levels of arsenic than M. communis under the same condition. These results showed that arsenic resistant and/or accumulating bacteria are widespread in the aquatic environment, and that arsenic-accumulating bacteria such as M. communis are potential candidates for bioremediation of arsenic contaminated water.", "author" : [ { "dropping-particle" : "", "family" : "Takeuchi", "given" : "Mio", "non-dropping-particle" : "", "parse-names" : false, "suffix" : "" }, { "dropping-particle" : "", "family" : "Kawahata", "given" : "Hodaka", "non-dropping-particle" : "", "parse-names" : false, "suffix" : "" }, { "dropping-particle" : "", "family" : "Gupta", "given" : "Lallan Prasad", "non-dropping-particle" : "", "parse-names" : false, "suffix" : "" }, { "dropping-particle" : "", "family" : "Kita", "given" : "Noriko", "non-dropping-particle" : "", "parse-names" : false, "suffix" : "" }, { "dropping-particle" : "", "family" : "Morishita", "given" : "Yuichi", "non-dropping-particle" : "", "parse-names" : false, "suffix" : "" }, { "dropping-particle" : "", "family" : "Ono", "given" : "Yoshiro", "non-dropping-particle" : "", "parse-names" : false, "suffix" : "" }, { "dropping-particle" : "", "family" : "Komai", "given" : "Takeshi", "non-dropping-particle" : "", "parse-names" : false, "suffix" : "" } ], "container-title" : "Journal of Biotechnology", "id" : "ITEM-1", "issue" : "3", "issued" : { "date-parts" : [ [ "2007", "1", "10" ] ] }, "page" : "434-442", "publisher" : "Elsevier", "title" : "Arsenic resistance and removal by marine and non-marine bacteria", "type" : "article-journal", "volume" : "127" }, "uris" : [ "http://www.mendeley.com/documents/?uuid=01fc1ecb-bc93-3907-819a-4fb32f9c0066" ] } ], "mendeley" : { "formattedCitation" : "(Takeuchi &lt;i&gt;et al.&lt;/i&gt;, 2007)", "plainTextFormattedCitation" : "(Takeuchi et al., 2007)", "previouslyFormattedCitation" : "(Takeuchi &lt;i&gt;et al.&lt;/i&gt;, 2007)" }, "properties" : {  }, "schema" : "https://github.com/citation-style-language/schema/raw/master/csl-citation.json" }</w:instrText>
            </w:r>
            <w:r>
              <w:rPr>
                <w:sz w:val="18"/>
                <w:szCs w:val="18"/>
              </w:rPr>
              <w:fldChar w:fldCharType="separate"/>
            </w:r>
            <w:r w:rsidRPr="006365A4">
              <w:rPr>
                <w:noProof/>
                <w:sz w:val="18"/>
                <w:szCs w:val="18"/>
              </w:rPr>
              <w:t xml:space="preserve">(Takeuchi </w:t>
            </w:r>
            <w:r w:rsidRPr="006365A4">
              <w:rPr>
                <w:i/>
                <w:noProof/>
                <w:sz w:val="18"/>
                <w:szCs w:val="18"/>
              </w:rPr>
              <w:t>et al.</w:t>
            </w:r>
            <w:r w:rsidRPr="006365A4">
              <w:rPr>
                <w:noProof/>
                <w:sz w:val="18"/>
                <w:szCs w:val="18"/>
              </w:rPr>
              <w:t>, 2007)</w:t>
            </w:r>
            <w:r>
              <w:rPr>
                <w:sz w:val="18"/>
                <w:szCs w:val="18"/>
              </w:rPr>
              <w:fldChar w:fldCharType="end"/>
            </w:r>
          </w:p>
          <w:p w14:paraId="38D1839C" w14:textId="77777777" w:rsidR="00697725" w:rsidRPr="008639EE" w:rsidRDefault="00697725"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 "citationItems" : [ { "id" : "ITEM-1", "itemData" : { "abstract" : "The range of As concentrations found in natural waters is large, ranging from less than 0.5 mg l \u00c01 to more than 5000 mg l \u00c01 . Typical concentrations in freshwater are less than 10 mg l \u00c01 and frequently less than 1 mg l \u00c01 . Rarely, much higher concentrations are found, particularly in groundwater. In such areas, more than 10% of wells may be 'affected' (defined as those exceeding 50 mg l \u00c01) and in the worst cases, this figure may exceed 90%. Well-known high-As groundwater areas have been found in Argentina, Chile, Mexico, China and Hungary, and more recently in West Bengal (India), Bangladesh and Vietnam. The scale of the problem in terms of population exposed to high As con-centrations is greatest in the Bengal Basin with more than 40 million people drinking water containing 'excessive' As. These large-scale 'natural' As groundwater problem areas tend to be found in two types of environment: firstly, inland or closed basins in arid or semi-arid areas, and secondly, strongly reducing aquifers often derived from alluvium. Both environments tend to contain geologically young sediments and to be in flat, low-lying areas where groundwater flow is sluggish. Historically, these are poorly flushed aquifers and any As released from the sediments following burial has been able to accumulate in the groundwater. Arsenic-rich groundwaters are also found in geothermal areas and, on a more localised scale, in areas of mining activity and where oxidation of sulphide minerals has occurred. The As content of the aquifer materials in major problem aquifers does not appear to be exceptionally high, being normally in the range 1\u201320 mg kg \u00c01 . There appear to be two distinct 'triggers' that can lead to the release of As on a large scale. The first is the development of high pH (&gt; 8.5) conditions in semi-arid or arid environments usually as a result of the combined effects of mineral weathering and high evaporation rates. This pH change leads either to the desorption of adsorbed As (especially As(V) species) and a range of other anion-forming elements (V, B, F, Mo, Se and U) from mineral oxides, especially Fe oxides, or it prevents them from being adsorbed. The second trigger is the development of strongly reducing conditions at near-neutral pH values, leading to the desorption of As from mineral oxides and to the reductive dissolution of Fe and Mn oxides, also leading to As release. Iron (II) and As(III) are relatively abundant in these groundwaters and SO 4 concentrati\u2026", "author" : [ { "dropping-particle" : "", "family" : "Smedley", "given" : "P L", "non-dropping-particle" : "", "parse-names" : false, "suffix" : "" }, { "dropping-particle" : "", "family" : "Kinniburgh", "given" : "D G", "non-dropping-particle" : "", "parse-names" : false, "suffix" : "" } ], "container-title" : "Applied Geochemistry", "id" : "ITEM-1", "issued" : { "date-parts" : [ [ "2002" ] ] }, "page" : "517-568", "title" : "A review of the source, behaviour and distribution of arsenic in natural waters", "type" : "article-journal", "volume" : "17" }, "uris" : [ "http://www.mendeley.com/documents/?uuid=c047af57-1b27-304d-9e91-95d066ff7391" ] } ], "mendeley" : { "formattedCitation" : "(Smedley and Kinniburgh, 2002)", "plainTextFormattedCitation" : "(Smedley and Kinniburgh, 2002)", "previouslyFormattedCitation" : "(Smedley and Kinniburgh, 2002)" }, "properties" : {  }, "schema" : "https://github.com/citation-style-language/schema/raw/master/csl-citation.json" }</w:instrText>
            </w:r>
            <w:r>
              <w:rPr>
                <w:sz w:val="18"/>
                <w:szCs w:val="18"/>
              </w:rPr>
              <w:fldChar w:fldCharType="separate"/>
            </w:r>
            <w:r w:rsidRPr="00F45DCD">
              <w:rPr>
                <w:noProof/>
                <w:sz w:val="18"/>
                <w:szCs w:val="18"/>
              </w:rPr>
              <w:t>(Smedley and Kinniburgh, 2002)</w:t>
            </w:r>
            <w:r>
              <w:rPr>
                <w:sz w:val="18"/>
                <w:szCs w:val="18"/>
              </w:rPr>
              <w:fldChar w:fldCharType="end"/>
            </w:r>
          </w:p>
        </w:tc>
        <w:tc>
          <w:tcPr>
            <w:tcW w:w="2207" w:type="dxa"/>
          </w:tcPr>
          <w:p w14:paraId="58B2DBED" w14:textId="77777777" w:rsidR="00697725" w:rsidRPr="008639EE" w:rsidRDefault="00697725"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EC50 of 9 strains varied from 20-730 mg.l</w:t>
            </w:r>
            <w:r w:rsidRPr="006365A4">
              <w:rPr>
                <w:sz w:val="18"/>
                <w:szCs w:val="18"/>
                <w:vertAlign w:val="superscript"/>
              </w:rPr>
              <w:t>-1</w:t>
            </w:r>
          </w:p>
        </w:tc>
        <w:tc>
          <w:tcPr>
            <w:tcW w:w="1628" w:type="dxa"/>
          </w:tcPr>
          <w:p w14:paraId="60ABEE49" w14:textId="77777777" w:rsidR="00697725" w:rsidRDefault="00697725"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 5, 50, 250 mg.l</w:t>
            </w:r>
            <w:r w:rsidRPr="006365A4">
              <w:rPr>
                <w:sz w:val="18"/>
                <w:szCs w:val="18"/>
                <w:vertAlign w:val="superscript"/>
              </w:rPr>
              <w:t>-1</w:t>
            </w:r>
          </w:p>
          <w:p w14:paraId="3EE14288" w14:textId="77777777" w:rsidR="00697725" w:rsidRPr="008639EE" w:rsidRDefault="00697725"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(+500 and 750 for one strain)</w:t>
            </w:r>
          </w:p>
        </w:tc>
        <w:tc>
          <w:tcPr>
            <w:tcW w:w="1239" w:type="dxa"/>
          </w:tcPr>
          <w:p w14:paraId="62C23757" w14:textId="77777777" w:rsidR="00697725" w:rsidRPr="008639EE" w:rsidRDefault="00697725"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dH</w:t>
            </w:r>
            <w:r w:rsidRPr="006365A4">
              <w:rPr>
                <w:sz w:val="18"/>
                <w:szCs w:val="18"/>
                <w:vertAlign w:val="subscript"/>
              </w:rPr>
              <w:t>2</w:t>
            </w:r>
            <w:r>
              <w:rPr>
                <w:sz w:val="18"/>
                <w:szCs w:val="18"/>
              </w:rPr>
              <w:t>O</w:t>
            </w:r>
          </w:p>
        </w:tc>
        <w:tc>
          <w:tcPr>
            <w:tcW w:w="2750" w:type="dxa"/>
          </w:tcPr>
          <w:p w14:paraId="4FD1FFF0" w14:textId="77777777" w:rsidR="00697725" w:rsidRDefault="00697725" w:rsidP="00697725">
            <w:pPr>
              <w:cnfStyle w:val="000000000000" w:firstRow="0" w:lastRow="0" w:firstColumn="0" w:lastColumn="0" w:oddVBand="0" w:evenVBand="0" w:oddHBand="0" w:evenHBand="0" w:firstRowFirstColumn="0" w:firstRowLastColumn="0" w:lastRowFirstColumn="0" w:lastRowLastColumn="0"/>
              <w:rPr>
                <w:sz w:val="18"/>
                <w:szCs w:val="18"/>
                <w:vertAlign w:val="superscript"/>
              </w:rPr>
            </w:pPr>
            <w:r>
              <w:rPr>
                <w:sz w:val="18"/>
                <w:szCs w:val="18"/>
              </w:rPr>
              <w:t>Typically &gt;10 ug.l</w:t>
            </w:r>
            <w:r w:rsidRPr="00F45DCD">
              <w:rPr>
                <w:sz w:val="18"/>
                <w:szCs w:val="18"/>
                <w:vertAlign w:val="superscript"/>
              </w:rPr>
              <w:t>-1</w:t>
            </w:r>
            <w:r>
              <w:rPr>
                <w:sz w:val="18"/>
                <w:szCs w:val="18"/>
                <w:vertAlign w:val="superscript"/>
              </w:rPr>
              <w:t xml:space="preserve"> </w:t>
            </w:r>
          </w:p>
          <w:p w14:paraId="46547347" w14:textId="77777777" w:rsidR="00697725" w:rsidRPr="00F45DCD" w:rsidRDefault="00697725"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Principally certain aquifers, some industrial uses</w:t>
            </w:r>
          </w:p>
        </w:tc>
      </w:tr>
      <w:tr w:rsidR="00DA7035" w14:paraId="3C900CA6" w14:textId="77777777" w:rsidTr="00DA7035">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987" w:type="dxa"/>
          </w:tcPr>
          <w:p w14:paraId="4D45AE76" w14:textId="518EB3DD" w:rsidR="00697725" w:rsidRDefault="0093508C" w:rsidP="00697725">
            <w:r>
              <w:t>Amoxycillin</w:t>
            </w:r>
          </w:p>
        </w:tc>
        <w:tc>
          <w:tcPr>
            <w:tcW w:w="1778" w:type="dxa"/>
          </w:tcPr>
          <w:p w14:paraId="0542D5B7" w14:textId="27185B7F" w:rsidR="00697725" w:rsidRPr="008639EE" w:rsidRDefault="00CF69BC" w:rsidP="0069772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Common antibiotic</w:t>
            </w:r>
          </w:p>
        </w:tc>
        <w:tc>
          <w:tcPr>
            <w:tcW w:w="1549" w:type="dxa"/>
          </w:tcPr>
          <w:p w14:paraId="700D6FB8" w14:textId="34238539" w:rsidR="00697725" w:rsidRPr="008639EE" w:rsidRDefault="0093508C" w:rsidP="0069772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Beta-lactam inhibition?</w:t>
            </w:r>
          </w:p>
        </w:tc>
        <w:tc>
          <w:tcPr>
            <w:tcW w:w="1883" w:type="dxa"/>
          </w:tcPr>
          <w:p w14:paraId="4E83E66C" w14:textId="3153B09B" w:rsidR="00697725" w:rsidRPr="008639EE" w:rsidRDefault="00B14AAC" w:rsidP="0069772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 "citationItems" : [ { "id" : "ITEM-1", "itemData" : { "DOI" : "10.1016/j.marpolbul.2004.10.038", "ISBN" : "0025-326X", "ISSN" : "0025326X", "PMID" : "15757723", "abstract" : "Awareness of antibiotics in wastewaters and aquatic ecosystems is growing as investigations into alternate pollutants increase and analytical techniques for detecting these chemicals improve. The presence of three antibiotics (ciprofloxacin, norfloxacin and cephalexin) was evaluated in both sewage effluent and environmental waters downstream from a sewage discharge. Bacteria cultured from the sewage bioreactor and receiving waters were tested for resistance against six antibiotics (ciprofloxacin, tetracycline, ampicillin, trimethoprim, erythromycin and trimethoprim/sulphamethoxazole) and effects of short term exposure (24 h) to antibiotics on bacterial denitrification rates were examined. Antibiotics were detected entering the sewage treatment plant with varying levels of removal during the treatment process. Antibiotics were also detected in effluent entering receiving waters and detectable 500 m from the source. Among the bacteria cultured from the sewage bioreactor, resistance was displayed against all six antibiotics tested and bacteria cultured from receiving waters were resistant against two of the antibiotics tested. Rates of denitrification were observed to decrease in response to some antibiotics and not to others, though this was only observed at concentrations exceeding those likely to be found in the environment. Findings from this preliminary research have indicated that antibiotics are entering our aquatic systems and pose a potential threat to ecosystem function and potentially human health. \u00a9 2004 Elsevier Ltd. All rights reserved.", "author" : [ { "dropping-particle" : "", "family" : "Costanzo", "given" : "Simon D.", "non-dropping-particle" : "", "parse-names" : false, "suffix" : "" }, { "dropping-particle" : "", "family" : "Murby", "given" : "John", "non-dropping-particle" : "", "parse-names" : false, "suffix" : "" }, { "dropping-particle" : "", "family" : "Bates", "given" : "John", "non-dropping-particle" : "", "parse-names" : false, "suffix" : "" } ], "container-title" : "Marine Pollution Bulletin", "id" : "ITEM-1", "issue" : "1-4", "issued" : { "date-parts" : [ [ "2005", "1", "1" ] ] }, "page" : "218-223", "publisher" : "Pergamon", "title" : "Ecosystem response to antibiotics entering the aquatic environment", "type" : "paper-conference", "volume" : "51" }, "uris" : [ "http://www.mendeley.com/documents/?uuid=7ba76c62-75db-3a70-89c8-154bbb41ceb9" ] } ], "mendeley" : { "formattedCitation" : "(Costanzo, Murby and Bates, 2005)", "plainTextFormattedCitation" : "(Costanzo, Murby and Bates, 2005)", "previouslyFormattedCitation" : "(Costanzo, Murby and Bates, 2005)" }, "properties" : {  }, "schema" : "https://github.com/citation-style-language/schema/raw/master/csl-citation.json" }</w:instrText>
            </w:r>
            <w:r>
              <w:rPr>
                <w:sz w:val="18"/>
                <w:szCs w:val="18"/>
              </w:rPr>
              <w:fldChar w:fldCharType="separate"/>
            </w:r>
            <w:r w:rsidRPr="00B14AAC">
              <w:rPr>
                <w:noProof/>
                <w:sz w:val="18"/>
                <w:szCs w:val="18"/>
              </w:rPr>
              <w:t>(Costanzo, Murby and Bates, 2005)</w:t>
            </w:r>
            <w:r>
              <w:rPr>
                <w:sz w:val="18"/>
                <w:szCs w:val="18"/>
              </w:rPr>
              <w:fldChar w:fldCharType="end"/>
            </w:r>
          </w:p>
        </w:tc>
        <w:tc>
          <w:tcPr>
            <w:tcW w:w="2207" w:type="dxa"/>
          </w:tcPr>
          <w:p w14:paraId="352B8B63" w14:textId="0DB955BA" w:rsidR="00697725" w:rsidRPr="008639EE" w:rsidRDefault="0093508C" w:rsidP="0069772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No evidence of resistance in </w:t>
            </w:r>
            <w:r w:rsidR="00FF64D3">
              <w:rPr>
                <w:sz w:val="18"/>
                <w:szCs w:val="18"/>
              </w:rPr>
              <w:t>sewerage of stream bacteria</w:t>
            </w:r>
          </w:p>
        </w:tc>
        <w:tc>
          <w:tcPr>
            <w:tcW w:w="1628" w:type="dxa"/>
          </w:tcPr>
          <w:p w14:paraId="628F19BF" w14:textId="0EE77014" w:rsidR="00697725" w:rsidRPr="008639EE" w:rsidRDefault="00FF64D3" w:rsidP="0069772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Significant drop in mean denitrification rates (33%) by bacteria @ </w:t>
            </w:r>
            <w:r w:rsidR="00C64BB1">
              <w:rPr>
                <w:sz w:val="18"/>
                <w:szCs w:val="18"/>
              </w:rPr>
              <w:t>1mg.l</w:t>
            </w:r>
            <w:r w:rsidR="00C64BB1" w:rsidRPr="00C64BB1">
              <w:rPr>
                <w:sz w:val="18"/>
                <w:szCs w:val="18"/>
                <w:vertAlign w:val="superscript"/>
              </w:rPr>
              <w:t>-1</w:t>
            </w:r>
          </w:p>
        </w:tc>
        <w:tc>
          <w:tcPr>
            <w:tcW w:w="1239" w:type="dxa"/>
          </w:tcPr>
          <w:p w14:paraId="26DBAADA" w14:textId="77777777" w:rsidR="00697725" w:rsidRPr="008639EE" w:rsidRDefault="00697725" w:rsidP="00697725">
            <w:pPr>
              <w:cnfStyle w:val="000000100000" w:firstRow="0" w:lastRow="0" w:firstColumn="0" w:lastColumn="0" w:oddVBand="0" w:evenVBand="0" w:oddHBand="1" w:evenHBand="0" w:firstRowFirstColumn="0" w:firstRowLastColumn="0" w:lastRowFirstColumn="0" w:lastRowLastColumn="0"/>
              <w:rPr>
                <w:sz w:val="18"/>
                <w:szCs w:val="18"/>
              </w:rPr>
            </w:pPr>
          </w:p>
        </w:tc>
        <w:tc>
          <w:tcPr>
            <w:tcW w:w="2750" w:type="dxa"/>
          </w:tcPr>
          <w:p w14:paraId="46EF1B0F" w14:textId="77777777" w:rsidR="00697725" w:rsidRDefault="004B5980" w:rsidP="0069772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49% recovery from water (?)</w:t>
            </w:r>
          </w:p>
          <w:p w14:paraId="54362757" w14:textId="52F6ECF3" w:rsidR="004B5980" w:rsidRPr="008639EE" w:rsidRDefault="004B5980" w:rsidP="0069772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High output into environment, but a t</w:t>
            </w:r>
            <w:r w:rsidRPr="004B5980">
              <w:rPr>
                <w:sz w:val="18"/>
                <w:szCs w:val="18"/>
                <w:vertAlign w:val="subscript"/>
              </w:rPr>
              <w:t>90</w:t>
            </w:r>
            <w:r>
              <w:rPr>
                <w:sz w:val="18"/>
                <w:szCs w:val="18"/>
              </w:rPr>
              <w:t xml:space="preserve"> of &lt;2 days</w:t>
            </w:r>
          </w:p>
        </w:tc>
      </w:tr>
      <w:tr w:rsidR="007759B2" w14:paraId="4BFA3E93" w14:textId="77777777" w:rsidTr="00DA7035">
        <w:trPr>
          <w:trHeight w:val="276"/>
        </w:trPr>
        <w:tc>
          <w:tcPr>
            <w:cnfStyle w:val="001000000000" w:firstRow="0" w:lastRow="0" w:firstColumn="1" w:lastColumn="0" w:oddVBand="0" w:evenVBand="0" w:oddHBand="0" w:evenHBand="0" w:firstRowFirstColumn="0" w:firstRowLastColumn="0" w:lastRowFirstColumn="0" w:lastRowLastColumn="0"/>
            <w:tcW w:w="1987" w:type="dxa"/>
          </w:tcPr>
          <w:p w14:paraId="7D420030" w14:textId="77777777" w:rsidR="00697725" w:rsidRDefault="00697725" w:rsidP="00697725">
            <w:r>
              <w:t>Imidacloprid</w:t>
            </w:r>
          </w:p>
        </w:tc>
        <w:tc>
          <w:tcPr>
            <w:tcW w:w="1778" w:type="dxa"/>
          </w:tcPr>
          <w:p w14:paraId="680E2101" w14:textId="77777777" w:rsidR="00697725" w:rsidRPr="008639EE" w:rsidRDefault="00697725"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Significant neonic (although now banned)</w:t>
            </w:r>
          </w:p>
        </w:tc>
        <w:tc>
          <w:tcPr>
            <w:tcW w:w="1549" w:type="dxa"/>
          </w:tcPr>
          <w:p w14:paraId="01150F0A" w14:textId="77777777" w:rsidR="00697725" w:rsidRDefault="00697725" w:rsidP="00697725">
            <w:pPr>
              <w:cnfStyle w:val="000000000000" w:firstRow="0" w:lastRow="0" w:firstColumn="0" w:lastColumn="0" w:oddVBand="0" w:evenVBand="0" w:oddHBand="0" w:evenHBand="0" w:firstRowFirstColumn="0" w:firstRowLastColumn="0" w:lastRowFirstColumn="0" w:lastRowLastColumn="0"/>
              <w:rPr>
                <w:sz w:val="18"/>
                <w:szCs w:val="18"/>
              </w:rPr>
            </w:pPr>
            <w:proofErr w:type="spellStart"/>
            <w:r>
              <w:rPr>
                <w:sz w:val="18"/>
                <w:szCs w:val="18"/>
              </w:rPr>
              <w:t>ACh</w:t>
            </w:r>
            <w:proofErr w:type="spellEnd"/>
            <w:r>
              <w:rPr>
                <w:sz w:val="18"/>
                <w:szCs w:val="18"/>
              </w:rPr>
              <w:t xml:space="preserve"> inhibition</w:t>
            </w:r>
          </w:p>
        </w:tc>
        <w:tc>
          <w:tcPr>
            <w:tcW w:w="1883" w:type="dxa"/>
          </w:tcPr>
          <w:p w14:paraId="1FEEA6C9" w14:textId="77777777" w:rsidR="00697725" w:rsidRPr="008639EE" w:rsidRDefault="00697725"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 "citationItems" : [ { "id" : "ITEM-1", "itemData" : { "DOI" : "10.1016/J.CHEMOSPHERE.2009.05.002", "ISSN" : "0045-6535", "abstract" : "The use of a very effective insecticide against sucking pests, neonicotinoid imidacloprid, has been increasing extensively. For this reason elevated concentrations are expected in aquatic environment. Despite this fact, there is still a lack of data available on its possible risk for the environment. In this study, the potential hazards of imidacloprid and its commercial product Confidor SL 200 to aquatic environment were identified by the acute and chronic toxicity assessment using bacteria Vibrio fischeri, algae Desmodesmus subspicatus, crustacean Daphnia magna, fish Danio rerio and the ready biodegradability determination. We found out, that imidacloprid was not highly toxic to tested organisms in comparison to some other environmental pollutants tested in the same experimental set-up. Among the organisms tested, water flea D. magna proved to be the most sensitive species after a short-term (48h EC50=56.6mgL\u22121) and long-term exposure (21d NOEC=1.25mgL\u22121). On the contrary, the intensified toxicity of Confidor SL 200 in comparison to analytical grade imidacloprid was observed in the case of algae and slight increase of its toxicity was detected testing daphnids and fish. The activities of cholinesterase, catalase and glutathione S-transferase of daphnids were not early biomarkers of exposure to imidacloprid and its commercial product. Imidacloprid was found persistent in water samples and not readily biodegradable in aquatic environment. Due to increased future predicted use of commercial products containing imidacloprid and the findings of this work, we recommend additional toxicity and biodegradability studies of other commercial products with imidacloprid as an active constituent.", "author" : [ { "dropping-particle" : "", "family" : "Ti\u0161ler", "given" : "Tatjana", "non-dropping-particle" : "", "parse-names" : false, "suffix" : "" }, { "dropping-particle" : "", "family" : "Jemec", "given" : "Anita", "non-dropping-particle" : "", "parse-names" : false, "suffix" : "" }, { "dropping-particle" : "", "family" : "Mozeti\u010d", "given" : "Branka", "non-dropping-particle" : "", "parse-names" : false, "suffix" : "" }, { "dropping-particle" : "", "family" : "Treb\u0161e", "given" : "Polonca", "non-dropping-particle" : "", "parse-names" : false, "suffix" : "" } ], "container-title" : "Chemosphere", "id" : "ITEM-1", "issue" : "7", "issued" : { "date-parts" : [ [ "2009", "8", "1" ] ] }, "page" : "907-914", "publisher" : "Pergamon", "title" : "Hazard identification of imidacloprid to aquatic environment", "type" : "article-journal", "volume" : "76" }, "uris" : [ "http://www.mendeley.com/documents/?uuid=7ff425e4-60f9-324b-b089-ff0bc3372f39" ] } ], "mendeley" : { "formattedCitation" : "(Ti\u0161ler &lt;i&gt;et al.&lt;/i&gt;, 2009)", "plainTextFormattedCitation" : "(Ti\u0161ler et al., 2009)", "previouslyFormattedCitation" : "(Ti\u0161ler &lt;i&gt;et al.&lt;/i&gt;, 2009)" }, "properties" : {  }, "schema" : "https://github.com/citation-style-language/schema/raw/master/csl-citation.json" }</w:instrText>
            </w:r>
            <w:r>
              <w:rPr>
                <w:sz w:val="18"/>
                <w:szCs w:val="18"/>
              </w:rPr>
              <w:fldChar w:fldCharType="separate"/>
            </w:r>
            <w:r w:rsidRPr="004634E3">
              <w:rPr>
                <w:noProof/>
                <w:sz w:val="18"/>
                <w:szCs w:val="18"/>
              </w:rPr>
              <w:t xml:space="preserve">(Tišler </w:t>
            </w:r>
            <w:r w:rsidRPr="004634E3">
              <w:rPr>
                <w:i/>
                <w:noProof/>
                <w:sz w:val="18"/>
                <w:szCs w:val="18"/>
              </w:rPr>
              <w:t>et al.</w:t>
            </w:r>
            <w:r w:rsidRPr="004634E3">
              <w:rPr>
                <w:noProof/>
                <w:sz w:val="18"/>
                <w:szCs w:val="18"/>
              </w:rPr>
              <w:t>, 2009)</w:t>
            </w:r>
            <w:r>
              <w:rPr>
                <w:sz w:val="18"/>
                <w:szCs w:val="18"/>
              </w:rPr>
              <w:fldChar w:fldCharType="end"/>
            </w:r>
          </w:p>
        </w:tc>
        <w:tc>
          <w:tcPr>
            <w:tcW w:w="2207" w:type="dxa"/>
          </w:tcPr>
          <w:p w14:paraId="218130AF" w14:textId="77777777" w:rsidR="00697725" w:rsidRPr="003179D7" w:rsidRDefault="00697725"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IC50 for </w:t>
            </w:r>
            <w:r w:rsidRPr="003179D7">
              <w:rPr>
                <w:i/>
                <w:sz w:val="18"/>
                <w:szCs w:val="18"/>
              </w:rPr>
              <w:t xml:space="preserve">V. </w:t>
            </w:r>
            <w:proofErr w:type="spellStart"/>
            <w:r w:rsidRPr="003179D7">
              <w:rPr>
                <w:i/>
                <w:sz w:val="18"/>
                <w:szCs w:val="18"/>
              </w:rPr>
              <w:t>fischeri</w:t>
            </w:r>
            <w:proofErr w:type="spellEnd"/>
            <w:r>
              <w:rPr>
                <w:sz w:val="18"/>
                <w:szCs w:val="18"/>
              </w:rPr>
              <w:t xml:space="preserve"> over 30 min was 61.9 mg.l</w:t>
            </w:r>
            <w:r w:rsidRPr="003179D7">
              <w:rPr>
                <w:sz w:val="18"/>
                <w:szCs w:val="18"/>
                <w:vertAlign w:val="superscript"/>
              </w:rPr>
              <w:t>-1</w:t>
            </w:r>
          </w:p>
          <w:p w14:paraId="7435695F" w14:textId="77777777" w:rsidR="00697725" w:rsidRPr="008639EE" w:rsidRDefault="00697725" w:rsidP="00697725">
            <w:pPr>
              <w:cnfStyle w:val="000000000000" w:firstRow="0" w:lastRow="0" w:firstColumn="0" w:lastColumn="0" w:oddVBand="0" w:evenVBand="0" w:oddHBand="0" w:evenHBand="0" w:firstRowFirstColumn="0" w:firstRowLastColumn="0" w:lastRowFirstColumn="0" w:lastRowLastColumn="0"/>
              <w:rPr>
                <w:sz w:val="18"/>
                <w:szCs w:val="18"/>
              </w:rPr>
            </w:pPr>
          </w:p>
        </w:tc>
        <w:tc>
          <w:tcPr>
            <w:tcW w:w="1628" w:type="dxa"/>
          </w:tcPr>
          <w:p w14:paraId="4018681F" w14:textId="608CFAE6" w:rsidR="00697725" w:rsidRDefault="00697725"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IC20 – 11.9</w:t>
            </w:r>
            <w:r w:rsidR="00EA728E">
              <w:rPr>
                <w:sz w:val="18"/>
                <w:szCs w:val="18"/>
              </w:rPr>
              <w:t xml:space="preserve"> mg.l</w:t>
            </w:r>
            <w:r w:rsidR="00EA728E" w:rsidRPr="003179D7">
              <w:rPr>
                <w:sz w:val="18"/>
                <w:szCs w:val="18"/>
                <w:vertAlign w:val="superscript"/>
              </w:rPr>
              <w:t>-1</w:t>
            </w:r>
          </w:p>
          <w:p w14:paraId="035F4036" w14:textId="6ABFC96C" w:rsidR="00697725" w:rsidRDefault="00697725"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IC50 – 61.9</w:t>
            </w:r>
            <w:r w:rsidR="00EA728E">
              <w:rPr>
                <w:sz w:val="18"/>
                <w:szCs w:val="18"/>
              </w:rPr>
              <w:t xml:space="preserve"> mg.l</w:t>
            </w:r>
            <w:r w:rsidR="00EA728E" w:rsidRPr="003179D7">
              <w:rPr>
                <w:sz w:val="18"/>
                <w:szCs w:val="18"/>
                <w:vertAlign w:val="superscript"/>
              </w:rPr>
              <w:t>-1</w:t>
            </w:r>
          </w:p>
          <w:p w14:paraId="782F0E03" w14:textId="2516879E" w:rsidR="00697725" w:rsidRPr="008639EE" w:rsidRDefault="00697725"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IC80 – 320</w:t>
            </w:r>
            <w:r w:rsidR="00EA728E">
              <w:rPr>
                <w:sz w:val="18"/>
                <w:szCs w:val="18"/>
              </w:rPr>
              <w:t xml:space="preserve"> mg.l</w:t>
            </w:r>
            <w:r w:rsidR="00EA728E" w:rsidRPr="003179D7">
              <w:rPr>
                <w:sz w:val="18"/>
                <w:szCs w:val="18"/>
                <w:vertAlign w:val="superscript"/>
              </w:rPr>
              <w:t>-1</w:t>
            </w:r>
          </w:p>
        </w:tc>
        <w:tc>
          <w:tcPr>
            <w:tcW w:w="1239" w:type="dxa"/>
          </w:tcPr>
          <w:p w14:paraId="40398459" w14:textId="77777777" w:rsidR="00697725" w:rsidRPr="008639EE" w:rsidRDefault="00697725"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dH</w:t>
            </w:r>
            <w:r w:rsidRPr="006365A4">
              <w:rPr>
                <w:sz w:val="18"/>
                <w:szCs w:val="18"/>
                <w:vertAlign w:val="subscript"/>
              </w:rPr>
              <w:t>2</w:t>
            </w:r>
            <w:r>
              <w:rPr>
                <w:sz w:val="18"/>
                <w:szCs w:val="18"/>
              </w:rPr>
              <w:t>O</w:t>
            </w:r>
          </w:p>
        </w:tc>
        <w:tc>
          <w:tcPr>
            <w:tcW w:w="2750" w:type="dxa"/>
          </w:tcPr>
          <w:p w14:paraId="79971C86" w14:textId="77777777" w:rsidR="00697725" w:rsidRDefault="00697725"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Severely restricted in EU since 2013</w:t>
            </w:r>
          </w:p>
          <w:p w14:paraId="352E4AD9" w14:textId="77777777" w:rsidR="00697725" w:rsidRPr="008639EE" w:rsidRDefault="00697725"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 ug.l</w:t>
            </w:r>
            <w:r w:rsidRPr="00AE268D">
              <w:rPr>
                <w:sz w:val="18"/>
                <w:szCs w:val="18"/>
                <w:vertAlign w:val="superscript"/>
              </w:rPr>
              <w:t>-1</w:t>
            </w:r>
            <w:r>
              <w:rPr>
                <w:sz w:val="18"/>
                <w:szCs w:val="18"/>
              </w:rPr>
              <w:t xml:space="preserve"> is a ‘field realistic dose’</w:t>
            </w:r>
          </w:p>
        </w:tc>
      </w:tr>
      <w:tr w:rsidR="007759B2" w14:paraId="22303916" w14:textId="77777777" w:rsidTr="00DA7035">
        <w:trPr>
          <w:cnfStyle w:val="000000100000" w:firstRow="0" w:lastRow="0" w:firstColumn="0" w:lastColumn="0" w:oddVBand="0" w:evenVBand="0" w:oddHBand="1" w:evenHBand="0" w:firstRowFirstColumn="0" w:firstRowLastColumn="0" w:lastRowFirstColumn="0" w:lastRowLastColumn="0"/>
          <w:trHeight w:val="292"/>
        </w:trPr>
        <w:tc>
          <w:tcPr>
            <w:cnfStyle w:val="001000000000" w:firstRow="0" w:lastRow="0" w:firstColumn="1" w:lastColumn="0" w:oddVBand="0" w:evenVBand="0" w:oddHBand="0" w:evenHBand="0" w:firstRowFirstColumn="0" w:firstRowLastColumn="0" w:lastRowFirstColumn="0" w:lastRowLastColumn="0"/>
            <w:tcW w:w="1987" w:type="dxa"/>
          </w:tcPr>
          <w:p w14:paraId="4BB0BAFB" w14:textId="11401204" w:rsidR="00697725" w:rsidRDefault="00803936" w:rsidP="00697725">
            <w:r>
              <w:t>Sodium</w:t>
            </w:r>
          </w:p>
        </w:tc>
        <w:tc>
          <w:tcPr>
            <w:tcW w:w="1778" w:type="dxa"/>
          </w:tcPr>
          <w:p w14:paraId="56021948" w14:textId="49E60A1C" w:rsidR="00697725" w:rsidRPr="008639EE" w:rsidRDefault="004A30FC" w:rsidP="0069772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Minor anthropogenic pollutant – but irreplaceable?</w:t>
            </w:r>
          </w:p>
        </w:tc>
        <w:tc>
          <w:tcPr>
            <w:tcW w:w="1549" w:type="dxa"/>
          </w:tcPr>
          <w:p w14:paraId="2990C0CA" w14:textId="77777777" w:rsidR="00697725" w:rsidRDefault="00697725" w:rsidP="00697725">
            <w:pPr>
              <w:cnfStyle w:val="000000100000" w:firstRow="0" w:lastRow="0" w:firstColumn="0" w:lastColumn="0" w:oddVBand="0" w:evenVBand="0" w:oddHBand="1" w:evenHBand="0" w:firstRowFirstColumn="0" w:firstRowLastColumn="0" w:lastRowFirstColumn="0" w:lastRowLastColumn="0"/>
              <w:rPr>
                <w:sz w:val="18"/>
                <w:szCs w:val="18"/>
              </w:rPr>
            </w:pPr>
          </w:p>
        </w:tc>
        <w:tc>
          <w:tcPr>
            <w:tcW w:w="1883" w:type="dxa"/>
          </w:tcPr>
          <w:p w14:paraId="3140D2DC" w14:textId="6109A504" w:rsidR="00697725" w:rsidRPr="008639EE" w:rsidRDefault="00803936" w:rsidP="0069772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 "citationItems" : [ { "id" : "ITEM-1", "itemData" : { "DOI" : "10.1016/j.chemosphere.2016.12.121", "ISBN" : "0045-6535", "ISSN" : "18791298", "PMID" : "28068568", "abstract" : "Benthic communities in the aquatic ecosystem are influenced by both natural and anthropogenic stressors. To understand the ecogenomic responses of sediment communities to the multiple stressors of polluted environments, the bacteria, protistan and metazoan communities in sediments from marine and adjacent riverine areas of North Bohai Sea were characterized by environmental DNA meta-systematics, and their associations with environmental variables were assessed by multiple statistical approaches. The bacterial communities were dominated by Firmicutes (mean 22.4%), Proteobacteria (mean 21.6%) and Actinobacteria (mean 21.5%). The protistan communities were dominated by Ochrophyta (33.7%), Cercozoa (18.9%) and Ciliophora (17.9%). Arthropoda (71.1%) dominated the metazoan communities in sediments. The structures of communities in sediments were shaped by both natural variables (spatial variability and/or salinity (presented as Na and Ca)) and anthropogenic contaminants, including DDTs, PAHs or metals (Cu, Al, Co, Cr, Cu, Fe, K, Mg, Mn, Ni and Zn). Particularly, the correlation network of multiple communities was modulated by the concentrations of Na and DDTs at the family level. Overall, environmental DNA meta-systematics can provide a powerful tool for biomonitoring, sediment quality assessment, and key stressors identification.", "author" : [ { "dropping-particle" : "", "family" : "Xie", "given" : "Yuwei", "non-dropping-particle" : "", "parse-names" : false, "suffix" : "" }, { "dropping-particle" : "", "family" : "Hong", "given" : "Seongjin", "non-dropping-particle" : "", "parse-names" : false, "suffix" : "" }, { "dropping-particle" : "", "family" : "Kim", "given" : "Seonjin", "non-dropping-particle" : "", "parse-names" : false, "suffix" : "" }, { "dropping-particle" : "", "family" : "Zhang", "given" : "Xiaowei", "non-dropping-particle" : "", "parse-names" : false, "suffix" : "" }, { "dropping-particle" : "", "family" : "Yang", "given" : "Jianghua", "non-dropping-particle" : "", "parse-names" : false, "suffix" : "" }, { "dropping-particle" : "", "family" : "Giesy", "given" : "John P.", "non-dropping-particle" : "", "parse-names" : false, "suffix" : "" }, { "dropping-particle" : "", "family" : "Wang", "given" : "Tieyu", "non-dropping-particle" : "", "parse-names" : false, "suffix" : "" }, { "dropping-particle" : "", "family" : "Lu", "given" : "Yonglong", "non-dropping-particle" : "", "parse-names" : false, "suffix" : "" }, { "dropping-particle" : "", "family" : "Yu", "given" : "Hongxia", "non-dropping-particle" : "", "parse-names" : false, "suffix" : "" }, { "dropping-particle" : "", "family" : "Khim", "given" : "Jong Seong", "non-dropping-particle" : "", "parse-names" : false, "suffix" : "" } ], "container-title" : "Chemosphere", "id" : "ITEM-1", "issued" : { "date-parts" : [ [ "2017" ] ] }, "page" : "166-174", "title" : "Ecogenomic responses of benthic communities under multiple stressors along the marine and adjacent riverine areas of northern Bohai Sea, China", "type" : "article-journal", "volume" : "172" }, "uris" : [ "http://www.mendeley.com/documents/?uuid=d3af80cd-b027-474b-bc4a-5963acc63990" ] } ], "mendeley" : { "formattedCitation" : "(Xie &lt;i&gt;et al.&lt;/i&gt;, 2017)", "plainTextFormattedCitation" : "(Xie et al., 2017)", "previouslyFormattedCitation" : "(Xie &lt;i&gt;et al.&lt;/i&gt;, 2017)" }, "properties" : {  }, "schema" : "https://github.com/citation-style-language/schema/raw/master/csl-citation.json" }</w:instrText>
            </w:r>
            <w:r>
              <w:rPr>
                <w:sz w:val="18"/>
                <w:szCs w:val="18"/>
              </w:rPr>
              <w:fldChar w:fldCharType="separate"/>
            </w:r>
            <w:r w:rsidRPr="00803936">
              <w:rPr>
                <w:noProof/>
                <w:sz w:val="18"/>
                <w:szCs w:val="18"/>
              </w:rPr>
              <w:t xml:space="preserve">(Xie </w:t>
            </w:r>
            <w:r w:rsidRPr="00803936">
              <w:rPr>
                <w:i/>
                <w:noProof/>
                <w:sz w:val="18"/>
                <w:szCs w:val="18"/>
              </w:rPr>
              <w:t>et al.</w:t>
            </w:r>
            <w:r w:rsidRPr="00803936">
              <w:rPr>
                <w:noProof/>
                <w:sz w:val="18"/>
                <w:szCs w:val="18"/>
              </w:rPr>
              <w:t>, 2017)</w:t>
            </w:r>
            <w:r>
              <w:rPr>
                <w:sz w:val="18"/>
                <w:szCs w:val="18"/>
              </w:rPr>
              <w:fldChar w:fldCharType="end"/>
            </w:r>
          </w:p>
        </w:tc>
        <w:tc>
          <w:tcPr>
            <w:tcW w:w="2207" w:type="dxa"/>
          </w:tcPr>
          <w:p w14:paraId="1EE614B8" w14:textId="108B1335" w:rsidR="00697725" w:rsidRPr="008639EE" w:rsidRDefault="00CE5537" w:rsidP="0069772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Na concentration</w:t>
            </w:r>
            <w:r w:rsidR="00DD542C">
              <w:rPr>
                <w:sz w:val="18"/>
                <w:szCs w:val="18"/>
              </w:rPr>
              <w:t xml:space="preserve"> had a more significant effect (13%) than any other stressor/factor</w:t>
            </w:r>
            <w:r>
              <w:rPr>
                <w:sz w:val="18"/>
                <w:szCs w:val="18"/>
              </w:rPr>
              <w:t xml:space="preserve"> </w:t>
            </w:r>
          </w:p>
        </w:tc>
        <w:tc>
          <w:tcPr>
            <w:tcW w:w="1628" w:type="dxa"/>
          </w:tcPr>
          <w:p w14:paraId="7BB5A5AA" w14:textId="2FE2F35E" w:rsidR="00697725" w:rsidRPr="008639EE" w:rsidRDefault="000E5CF0" w:rsidP="0069772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Chronic across riverine/tidal gradients</w:t>
            </w:r>
          </w:p>
        </w:tc>
        <w:tc>
          <w:tcPr>
            <w:tcW w:w="1239" w:type="dxa"/>
          </w:tcPr>
          <w:p w14:paraId="02A16E43" w14:textId="739B212B" w:rsidR="00697725" w:rsidRPr="008639EE" w:rsidRDefault="000F44F0" w:rsidP="0069772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Observational study</w:t>
            </w:r>
          </w:p>
        </w:tc>
        <w:tc>
          <w:tcPr>
            <w:tcW w:w="2750" w:type="dxa"/>
          </w:tcPr>
          <w:p w14:paraId="060FAB6D" w14:textId="77777777" w:rsidR="00697725" w:rsidRPr="008639EE" w:rsidRDefault="00697725" w:rsidP="00697725">
            <w:pPr>
              <w:cnfStyle w:val="000000100000" w:firstRow="0" w:lastRow="0" w:firstColumn="0" w:lastColumn="0" w:oddVBand="0" w:evenVBand="0" w:oddHBand="1" w:evenHBand="0" w:firstRowFirstColumn="0" w:firstRowLastColumn="0" w:lastRowFirstColumn="0" w:lastRowLastColumn="0"/>
              <w:rPr>
                <w:sz w:val="18"/>
                <w:szCs w:val="18"/>
              </w:rPr>
            </w:pPr>
          </w:p>
        </w:tc>
      </w:tr>
      <w:tr w:rsidR="007759B2" w14:paraId="77586C04" w14:textId="77777777" w:rsidTr="00DA7035">
        <w:trPr>
          <w:trHeight w:val="276"/>
        </w:trPr>
        <w:tc>
          <w:tcPr>
            <w:cnfStyle w:val="001000000000" w:firstRow="0" w:lastRow="0" w:firstColumn="1" w:lastColumn="0" w:oddVBand="0" w:evenVBand="0" w:oddHBand="0" w:evenHBand="0" w:firstRowFirstColumn="0" w:firstRowLastColumn="0" w:lastRowFirstColumn="0" w:lastRowLastColumn="0"/>
            <w:tcW w:w="1987" w:type="dxa"/>
          </w:tcPr>
          <w:p w14:paraId="2F0ACC36" w14:textId="7A98416A" w:rsidR="00697725" w:rsidRDefault="00DD542C" w:rsidP="00DD542C">
            <w:r>
              <w:t>DCD (Nitrification Inhibitor)</w:t>
            </w:r>
          </w:p>
        </w:tc>
        <w:tc>
          <w:tcPr>
            <w:tcW w:w="1778" w:type="dxa"/>
          </w:tcPr>
          <w:p w14:paraId="4C490C4B" w14:textId="2D5EC41B" w:rsidR="00697725" w:rsidRPr="008639EE" w:rsidRDefault="0066270A"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Used widely to reduce nitrogen loss from</w:t>
            </w:r>
            <w:r w:rsidR="00A403DD">
              <w:rPr>
                <w:sz w:val="18"/>
                <w:szCs w:val="18"/>
              </w:rPr>
              <w:t xml:space="preserve"> farmland, but can affect freshwater</w:t>
            </w:r>
          </w:p>
        </w:tc>
        <w:tc>
          <w:tcPr>
            <w:tcW w:w="1549" w:type="dxa"/>
          </w:tcPr>
          <w:p w14:paraId="2969852F" w14:textId="04A5C60D" w:rsidR="00697725" w:rsidRPr="008639EE" w:rsidRDefault="00A403DD" w:rsidP="00AB6146">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Inhibits uptake of ammonium</w:t>
            </w:r>
          </w:p>
        </w:tc>
        <w:tc>
          <w:tcPr>
            <w:tcW w:w="1883" w:type="dxa"/>
          </w:tcPr>
          <w:p w14:paraId="50271578" w14:textId="04A7BC09" w:rsidR="00697725" w:rsidRPr="008639EE" w:rsidRDefault="00A403DD"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 "citationItems" : [ { "id" : "ITEM-1", "itemData" : { "DOI" : "10.1038/srep44657", "ISBN" : "2045-2322", "ISSN" : "20452322", "author" : [ { "dropping-particle" : "", "family" : "Salis", "given" : "R. K.", "non-dropping-particle" : "", "parse-names" : false, "suffix" : "" }, { "dropping-particle" : "", "family" : "Bruder", "given" : "A.", "non-dropping-particle" : "", "parse-names" : false, "suffix" : "" }, { "dropping-particle" : "", "family" : "Piggott", "given" : "J. J.", "non-dropping-particle" : "", "parse-names" : false, "suffix" : "" }, { "dropping-particle" : "", "family" : "Summerfield", "given" : "T. C.", "non-dropping-particle" : "", "parse-names" : false, "suffix" : "" }, { "dropping-particle" : "", "family" : "Matthaei", "given" : "C. D.", "non-dropping-particle" : "", "parse-names" : false, "suffix" : "" } ], "container-title" : "Scientific Reports", "id" : "ITEM-1", "issue" : "February", "issued" : { "date-parts" : [ [ "2017" ] ] }, "page" : "1-12", "publisher" : "Nature Publishing Group", "title" : "High-throughput amplicon sequencing and stream benthic bacteria: Identifying the best taxonomic level for multiple-stressor research", "type" : "article-journal", "volume" : "7" }, "uris" : [ "http://www.mendeley.com/documents/?uuid=15bc9acc-b66c-43f0-b1d7-cb9c735a90ae" ] } ], "mendeley" : { "formattedCitation" : "(Salis &lt;i&gt;et al.&lt;/i&gt;, 2017)", "plainTextFormattedCitation" : "(Salis et al., 2017)", "previouslyFormattedCitation" : "(Salis &lt;i&gt;et al.&lt;/i&gt;, 2017)" }, "properties" : {  }, "schema" : "https://github.com/citation-style-language/schema/raw/master/csl-citation.json" }</w:instrText>
            </w:r>
            <w:r>
              <w:rPr>
                <w:sz w:val="18"/>
                <w:szCs w:val="18"/>
              </w:rPr>
              <w:fldChar w:fldCharType="separate"/>
            </w:r>
            <w:r w:rsidRPr="00A403DD">
              <w:rPr>
                <w:noProof/>
                <w:sz w:val="18"/>
                <w:szCs w:val="18"/>
              </w:rPr>
              <w:t xml:space="preserve">(Salis </w:t>
            </w:r>
            <w:r w:rsidRPr="00A403DD">
              <w:rPr>
                <w:i/>
                <w:noProof/>
                <w:sz w:val="18"/>
                <w:szCs w:val="18"/>
              </w:rPr>
              <w:t>et al.</w:t>
            </w:r>
            <w:r w:rsidRPr="00A403DD">
              <w:rPr>
                <w:noProof/>
                <w:sz w:val="18"/>
                <w:szCs w:val="18"/>
              </w:rPr>
              <w:t>, 2017)</w:t>
            </w:r>
            <w:r>
              <w:rPr>
                <w:sz w:val="18"/>
                <w:szCs w:val="18"/>
              </w:rPr>
              <w:fldChar w:fldCharType="end"/>
            </w:r>
          </w:p>
        </w:tc>
        <w:tc>
          <w:tcPr>
            <w:tcW w:w="2207" w:type="dxa"/>
          </w:tcPr>
          <w:p w14:paraId="066F7BAE" w14:textId="35D06232" w:rsidR="00697725" w:rsidRPr="008639EE" w:rsidRDefault="00A403DD"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Disadvantages ammonium-oxidising bacteria, doesn’t affect others</w:t>
            </w:r>
          </w:p>
        </w:tc>
        <w:tc>
          <w:tcPr>
            <w:tcW w:w="1628" w:type="dxa"/>
          </w:tcPr>
          <w:p w14:paraId="7DE888F1" w14:textId="01403B3B" w:rsidR="00697725" w:rsidRPr="008639EE" w:rsidRDefault="00412353"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w:t>
            </w:r>
            <w:r w:rsidR="00A403DD" w:rsidRPr="00A403DD">
              <w:rPr>
                <w:sz w:val="18"/>
                <w:szCs w:val="18"/>
              </w:rPr>
              <w:t>.38± 0.06 mg</w:t>
            </w:r>
            <w:r w:rsidR="00A403DD">
              <w:rPr>
                <w:sz w:val="18"/>
                <w:szCs w:val="18"/>
              </w:rPr>
              <w:t>.</w:t>
            </w:r>
            <w:r>
              <w:rPr>
                <w:sz w:val="18"/>
                <w:szCs w:val="18"/>
              </w:rPr>
              <w:t>l</w:t>
            </w:r>
            <w:r w:rsidR="00A403DD" w:rsidRPr="00A403DD">
              <w:rPr>
                <w:sz w:val="18"/>
                <w:szCs w:val="18"/>
                <w:vertAlign w:val="superscript"/>
              </w:rPr>
              <w:t>−1</w:t>
            </w:r>
          </w:p>
        </w:tc>
        <w:tc>
          <w:tcPr>
            <w:tcW w:w="1239" w:type="dxa"/>
          </w:tcPr>
          <w:p w14:paraId="5CDA715F" w14:textId="68CDFC6A" w:rsidR="00697725" w:rsidRPr="008639EE" w:rsidRDefault="00A403DD"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Running water</w:t>
            </w:r>
          </w:p>
        </w:tc>
        <w:tc>
          <w:tcPr>
            <w:tcW w:w="2750" w:type="dxa"/>
          </w:tcPr>
          <w:p w14:paraId="433C3209" w14:textId="2C7D6725" w:rsidR="00697725" w:rsidRPr="008639EE" w:rsidRDefault="00412353" w:rsidP="0069772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Study concentration was ‘similar to those found in 1</w:t>
            </w:r>
            <w:r w:rsidRPr="00412353">
              <w:rPr>
                <w:sz w:val="18"/>
                <w:szCs w:val="18"/>
                <w:vertAlign w:val="superscript"/>
              </w:rPr>
              <w:t>st</w:t>
            </w:r>
            <w:r>
              <w:rPr>
                <w:sz w:val="18"/>
                <w:szCs w:val="18"/>
              </w:rPr>
              <w:t>-order streams in an NZ dairy farm.’</w:t>
            </w:r>
          </w:p>
        </w:tc>
      </w:tr>
      <w:tr w:rsidR="00B14AAC" w14:paraId="461D3CAE" w14:textId="77777777" w:rsidTr="00DA703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987" w:type="dxa"/>
          </w:tcPr>
          <w:p w14:paraId="5449686D" w14:textId="0A82B8AF" w:rsidR="000B7518" w:rsidRDefault="00AA2D51" w:rsidP="00DD542C">
            <w:r>
              <w:t>Glyphosate</w:t>
            </w:r>
          </w:p>
        </w:tc>
        <w:tc>
          <w:tcPr>
            <w:tcW w:w="1778" w:type="dxa"/>
          </w:tcPr>
          <w:p w14:paraId="1F3812A3" w14:textId="4D0CEBDB" w:rsidR="000B7518" w:rsidRDefault="00AB6146" w:rsidP="0069772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Most commonly used herbicide in the US</w:t>
            </w:r>
          </w:p>
        </w:tc>
        <w:tc>
          <w:tcPr>
            <w:tcW w:w="1549" w:type="dxa"/>
          </w:tcPr>
          <w:p w14:paraId="452FC66A" w14:textId="0D4BAB06" w:rsidR="000B7518" w:rsidRDefault="00AB6146" w:rsidP="00AB614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Interferes with amino acid synthesis</w:t>
            </w:r>
          </w:p>
        </w:tc>
        <w:tc>
          <w:tcPr>
            <w:tcW w:w="1883" w:type="dxa"/>
          </w:tcPr>
          <w:p w14:paraId="54DBAA1F" w14:textId="24501AAD" w:rsidR="000B7518" w:rsidRDefault="007759B2" w:rsidP="0069772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 "citationItems" : [ { "id" : "ITEM-1", "itemData" : { "DOI" : "10.1016/J.APSOIL.2013.07.005", "ISSN" : "0929-1393", "abstract" : "Glyphosate is an active substance of the most used herbicides worldwide. Nevertheless, questions on safety of glyphosate-based herbicides are periodically raised and recent studies indicate that glyphosate may not be as safe as assumed, mostly due to the additives/surfactants in its formulations. The aim of this study was to evaluate the effects of isopropylamine salt of glyphosate and two glyphosate-based herbicides, Roundup Max\u2122 (containing surfactant polyethoxylated tallow amine, POEA) and Roundup Quick\u2122 (without POEA), on non-target species. Special focus was on the evaluation of long-term effects of high concentrations (simulating accidental pollution, e.g. transportation spills) of glyphosate formulations on soil health. Laboratory ecotoxicity testing was conducted with (i) two aquatic organisms \u2013 crustaceans Daphnia magna and marine bacteria Vibrio fischeri, (ii) five bacterial strains (Escherichia coli MG1655, Pseudomonas putida KT2440 and three bacterial isolates from the soil) and (iii) terrestrial plants Raphanus sativus and Hordeum vulgare. Laboratory toxicity results showed that among the non-target test species, D. magna and V. fischeri were the most sensitive to glyphosate formulations: acute EC50 values ranged from 4 to 49mgL\u22121. Direct relation between the toxicity of the tested formulations and the presence/absence of the surfactant POEA was not evident. Long-term outdoor experiments (April to September 2012) showed that the number of heterotrophic microbes in Roundup-spiked (up to 1000-fold the recommended field rate) soils during two months after the treatment were significantly higher than in the control soils, especially in case of Roundup Quick\u2122. Residual toxicity of the treated soils to terrestrial plants decreased more rapidly in Roundup Quick-spiked soils. It was shown that in temperate climate conditions the recovery of soil health in case of (accidental) pollution by glyphosate formulations is slow and may even exceed the duration of the vegetation period. The mobility of glyphosate in the soils proved very low thus risks to aquatic ecosystems due to application of glyphosate-based herbicides may occur rather in case of direct contamination of surface water.", "author" : [ { "dropping-particle" : "", "family" : "Sihtm\u00e4e", "given" : "M.", "non-dropping-particle" : "", "parse-names" : false, "suffix" : "" }, { "dropping-particle" : "", "family" : "Blinova", "given" : "I.", "non-dropping-particle" : "", "parse-names" : false, "suffix" : "" }, { "dropping-particle" : "", "family" : "K\u00fcnnis-Beres", "given" : "K.", "non-dropping-particle" : "", "parse-names" : false, "suffix" : "" }, { "dropping-particle" : "", "family" : "Kanarbik", "given" : "L.", "non-dropping-particle" : "", "parse-names" : false, "suffix" : "" }, { "dropping-particle" : "", "family" : "Heinlaan", "given" : "M.", "non-dropping-particle" : "", "parse-names" : false, "suffix" : "" }, { "dropping-particle" : "", "family" : "Kahru", "given" : "A.", "non-dropping-particle" : "", "parse-names" : false, "suffix" : "" } ], "container-title" : "Applied Soil Ecology", "id" : "ITEM-1", "issued" : { "date-parts" : [ [ "2013", "10", "1" ] ] }, "page" : "215-224", "publisher" : "Elsevier", "title" : "Ecotoxicological effects of different glyphosate formulations", "type" : "article-journal", "volume" : "72" }, "uris" : [ "http://www.mendeley.com/documents/?uuid=50129863-f2ad-3317-bc05-f806cb259c92" ] }, { "id" : "ITEM-2", "itemData" : { "DOI" : "10.1016/J.SCITOTENV.2017.10.309", "ISSN" : "0048-9697", "abstract" : "The herbicide glyphosate, N-(phosphonomethyl) glycine, has been used extensively in the past 40years, under the assumption that side effects were minimal. However, in recent years, concerns have increased worldwide about the potential wide ranging direct and indirect health effects of the large scale use of glyphosate. In 2015, the World Health Organization reclassified glyphosate as probably carcinogenic to humans. A detailed overview is given of the scientific literature on the movement and residues of glyphosate and its breakdown product aminomethyl phosphonic acid (AMPA) in soil and water, their toxicity to macro- and microorganisms, their effects on microbial compositions and potential indirect effects on plant, animal and human health. Although the acute toxic effects of glyphosate and AMPA on mammals are low, there are animal data raising the possibility of health effects associated with chronic, ultra-low doses related to accumulation of these compounds in the environment. Intensive glyphosate use has led to the selection of glyphosate-resistant weeds and microorganisms. Shifts in microbial compositions due to selective pressure by glyphosate may have contributed to the proliferation of plant and animal pathogens. Research on a link between glyphosate and antibiotic resistance is still scarce but we hypothesize that the selection pressure for glyphosate-resistance in bacteria could lead to shifts in microbiome composition and increases in antibiotic resistance to clinically important antimicrobial agents. We recommend interdisciplinary research on the associations between low level chronic glyphosate exposure, distortions in microbial communities, expansion of antibiotic resistance and the emergence of animal, human and plant diseases. Independent research is needed to revisit the tolerance thresholds for glyphosate residues in water, food and animal feed taking all possible health risks into account.", "author" : [ { "dropping-particle" : "", "family" : "Bruggen", "given" : "A.H.C.", "non-dropping-particle" : "Van", "parse-names" : false, "suffix" : "" }, { "dropping-particle" : "", "family" : "He", "given" : "M.M.", "non-dropping-particle" : "", "parse-names" : false, "suffix" : "" }, { "dropping-particle" : "", "family" : "Shin", "given" : "K.", "non-dropping-particle" : "", "parse-names" : false, "suffix" : "" }, { "dropping-particle" : "", "family" : "Mai", "given" : "V.", "non-dropping-particle" : "", "parse-names" : false, "suffix" : "" }, { "dropping-particle" : "", "family" : "Jeong", "given" : "K.C.", "non-dropping-particle" : "", "parse-names" : false, "suffix" : "" }, { "dropping-particle" : "", "family" : "Finckh", "given" : "M.R.", "non-dropping-particle" : "", "parse-names" : false, "suffix" : "" }, { "dropping-particle" : "", "family" : "Morris", "given" : "J.G.", "non-dropping-particle" : "", "parse-names" : false, "suffix" : "" } ], "container-title" : "Science of The Total Environment", "id" : "ITEM-2", "issued" : { "date-parts" : [ [ "2018", "3", "1" ] ] }, "page" : "255-268", "publisher" : "Elsevier", "title" : "Environmental and health effects of the herbicide glyphosate", "type" : "article-journal", "volume" : "616-617" }, "uris" : [ "http://www.mendeley.com/documents/?uuid=52f958c8-cbc0-3e98-8e25-ff8a6bb3c65c" ] } ], "mendeley" : { "formattedCitation" : "(Sihtm\u00e4e &lt;i&gt;et al.&lt;/i&gt;, 2013; Van Bruggen &lt;i&gt;et al.&lt;/i&gt;, 2018)", "plainTextFormattedCitation" : "(Sihtm\u00e4e et al., 2013; Van Bruggen et al., 2018)", "previouslyFormattedCitation" : "(Sihtm\u00e4e &lt;i&gt;et al.&lt;/i&gt;, 2013; Van Bruggen &lt;i&gt;et al.&lt;/i&gt;, 2018)" }, "properties" : {  }, "schema" : "https://github.com/citation-style-language/schema/raw/master/csl-citation.json" }</w:instrText>
            </w:r>
            <w:r>
              <w:rPr>
                <w:sz w:val="18"/>
                <w:szCs w:val="18"/>
              </w:rPr>
              <w:fldChar w:fldCharType="separate"/>
            </w:r>
            <w:r w:rsidRPr="007759B2">
              <w:rPr>
                <w:noProof/>
                <w:sz w:val="18"/>
                <w:szCs w:val="18"/>
              </w:rPr>
              <w:t xml:space="preserve">(Sihtmäe </w:t>
            </w:r>
            <w:r w:rsidRPr="007759B2">
              <w:rPr>
                <w:i/>
                <w:noProof/>
                <w:sz w:val="18"/>
                <w:szCs w:val="18"/>
              </w:rPr>
              <w:t>et al.</w:t>
            </w:r>
            <w:r w:rsidRPr="007759B2">
              <w:rPr>
                <w:noProof/>
                <w:sz w:val="18"/>
                <w:szCs w:val="18"/>
              </w:rPr>
              <w:t xml:space="preserve">, 2013; Van Bruggen </w:t>
            </w:r>
            <w:r w:rsidRPr="007759B2">
              <w:rPr>
                <w:i/>
                <w:noProof/>
                <w:sz w:val="18"/>
                <w:szCs w:val="18"/>
              </w:rPr>
              <w:t>et al.</w:t>
            </w:r>
            <w:r w:rsidRPr="007759B2">
              <w:rPr>
                <w:noProof/>
                <w:sz w:val="18"/>
                <w:szCs w:val="18"/>
              </w:rPr>
              <w:t>, 2018)</w:t>
            </w:r>
            <w:r>
              <w:rPr>
                <w:sz w:val="18"/>
                <w:szCs w:val="18"/>
              </w:rPr>
              <w:fldChar w:fldCharType="end"/>
            </w:r>
          </w:p>
        </w:tc>
        <w:tc>
          <w:tcPr>
            <w:tcW w:w="2207" w:type="dxa"/>
          </w:tcPr>
          <w:p w14:paraId="0A1A4A65" w14:textId="1D19F17E" w:rsidR="000B7518" w:rsidRPr="001076A1" w:rsidRDefault="001076A1" w:rsidP="0069772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Inhibition of luminescence in </w:t>
            </w:r>
            <w:r w:rsidRPr="001076A1">
              <w:rPr>
                <w:i/>
                <w:sz w:val="18"/>
                <w:szCs w:val="18"/>
              </w:rPr>
              <w:t xml:space="preserve">V. </w:t>
            </w:r>
            <w:proofErr w:type="spellStart"/>
            <w:r w:rsidRPr="001076A1">
              <w:rPr>
                <w:i/>
                <w:sz w:val="18"/>
                <w:szCs w:val="18"/>
              </w:rPr>
              <w:t>fischeri</w:t>
            </w:r>
            <w:proofErr w:type="spellEnd"/>
            <w:r>
              <w:rPr>
                <w:sz w:val="18"/>
                <w:szCs w:val="18"/>
              </w:rPr>
              <w:t xml:space="preserve"> in 30 minutes</w:t>
            </w:r>
          </w:p>
        </w:tc>
        <w:tc>
          <w:tcPr>
            <w:tcW w:w="1628" w:type="dxa"/>
          </w:tcPr>
          <w:p w14:paraId="00370314" w14:textId="77777777" w:rsidR="000B7518" w:rsidRDefault="00A91B7C" w:rsidP="00697725">
            <w:pPr>
              <w:cnfStyle w:val="000000100000" w:firstRow="0" w:lastRow="0" w:firstColumn="0" w:lastColumn="0" w:oddVBand="0" w:evenVBand="0" w:oddHBand="1" w:evenHBand="0" w:firstRowFirstColumn="0" w:firstRowLastColumn="0" w:lastRowFirstColumn="0" w:lastRowLastColumn="0"/>
              <w:rPr>
                <w:sz w:val="18"/>
                <w:szCs w:val="18"/>
                <w:vertAlign w:val="superscript"/>
              </w:rPr>
            </w:pPr>
            <w:r>
              <w:rPr>
                <w:sz w:val="18"/>
                <w:szCs w:val="18"/>
              </w:rPr>
              <w:t>EC50 – 7.6 mg.l</w:t>
            </w:r>
            <w:r w:rsidRPr="00A91B7C">
              <w:rPr>
                <w:sz w:val="18"/>
                <w:szCs w:val="18"/>
                <w:vertAlign w:val="superscript"/>
              </w:rPr>
              <w:t>-1</w:t>
            </w:r>
          </w:p>
          <w:p w14:paraId="2DA4C415" w14:textId="73642883" w:rsidR="00A91B7C" w:rsidRPr="00A91B7C" w:rsidRDefault="00A91B7C" w:rsidP="0069772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More toxic without adjuvants for </w:t>
            </w:r>
            <w:proofErr w:type="spellStart"/>
            <w:r>
              <w:rPr>
                <w:i/>
                <w:sz w:val="18"/>
                <w:szCs w:val="18"/>
              </w:rPr>
              <w:t>fischeri</w:t>
            </w:r>
            <w:proofErr w:type="spellEnd"/>
          </w:p>
        </w:tc>
        <w:tc>
          <w:tcPr>
            <w:tcW w:w="1239" w:type="dxa"/>
          </w:tcPr>
          <w:p w14:paraId="250326BB" w14:textId="5E8D3D4D" w:rsidR="000B7518" w:rsidRDefault="00E149BD" w:rsidP="00697725">
            <w:pPr>
              <w:cnfStyle w:val="000000100000" w:firstRow="0" w:lastRow="0" w:firstColumn="0" w:lastColumn="0" w:oddVBand="0" w:evenVBand="0" w:oddHBand="1" w:evenHBand="0" w:firstRowFirstColumn="0" w:firstRowLastColumn="0" w:lastRowFirstColumn="0" w:lastRowLastColumn="0"/>
              <w:rPr>
                <w:sz w:val="18"/>
                <w:szCs w:val="18"/>
              </w:rPr>
            </w:pPr>
            <w:proofErr w:type="spellStart"/>
            <w:r>
              <w:rPr>
                <w:sz w:val="18"/>
                <w:szCs w:val="18"/>
              </w:rPr>
              <w:t>MilliQ</w:t>
            </w:r>
            <w:proofErr w:type="spellEnd"/>
            <w:r>
              <w:rPr>
                <w:sz w:val="18"/>
                <w:szCs w:val="18"/>
              </w:rPr>
              <w:t xml:space="preserve"> H</w:t>
            </w:r>
            <w:r w:rsidRPr="00E149BD">
              <w:rPr>
                <w:sz w:val="18"/>
                <w:szCs w:val="18"/>
                <w:vertAlign w:val="subscript"/>
              </w:rPr>
              <w:t>2</w:t>
            </w:r>
            <w:r>
              <w:rPr>
                <w:sz w:val="18"/>
                <w:szCs w:val="18"/>
              </w:rPr>
              <w:t>O</w:t>
            </w:r>
          </w:p>
        </w:tc>
        <w:tc>
          <w:tcPr>
            <w:tcW w:w="2750" w:type="dxa"/>
          </w:tcPr>
          <w:p w14:paraId="04F1AA41" w14:textId="3FA2F29C" w:rsidR="000B7518" w:rsidRDefault="00C878E1" w:rsidP="00697725">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Very variable, but up to 328 ug.l</w:t>
            </w:r>
            <w:r w:rsidRPr="00C878E1">
              <w:rPr>
                <w:sz w:val="18"/>
                <w:szCs w:val="18"/>
                <w:vertAlign w:val="superscript"/>
              </w:rPr>
              <w:t>-1</w:t>
            </w:r>
            <w:r>
              <w:rPr>
                <w:sz w:val="18"/>
                <w:szCs w:val="18"/>
              </w:rPr>
              <w:t xml:space="preserve"> in some US streams</w:t>
            </w:r>
          </w:p>
        </w:tc>
      </w:tr>
      <w:tr w:rsidR="00DA7035" w14:paraId="36677B06" w14:textId="77777777" w:rsidTr="00DA7035">
        <w:trPr>
          <w:trHeight w:val="276"/>
        </w:trPr>
        <w:tc>
          <w:tcPr>
            <w:cnfStyle w:val="001000000000" w:firstRow="0" w:lastRow="0" w:firstColumn="1" w:lastColumn="0" w:oddVBand="0" w:evenVBand="0" w:oddHBand="0" w:evenHBand="0" w:firstRowFirstColumn="0" w:firstRowLastColumn="0" w:lastRowFirstColumn="0" w:lastRowLastColumn="0"/>
            <w:tcW w:w="1987" w:type="dxa"/>
          </w:tcPr>
          <w:p w14:paraId="12C428FA" w14:textId="68C04ED7" w:rsidR="00DA7035" w:rsidRDefault="00DA7035" w:rsidP="00DA7035">
            <w:r>
              <w:t>Atrazine</w:t>
            </w:r>
          </w:p>
        </w:tc>
        <w:tc>
          <w:tcPr>
            <w:tcW w:w="1778" w:type="dxa"/>
          </w:tcPr>
          <w:p w14:paraId="0A64B9DE" w14:textId="03F92287" w:rsidR="00DA7035" w:rsidRDefault="00DA7035" w:rsidP="00DA703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Second most commonly used herbicide</w:t>
            </w:r>
          </w:p>
        </w:tc>
        <w:tc>
          <w:tcPr>
            <w:tcW w:w="1549" w:type="dxa"/>
          </w:tcPr>
          <w:p w14:paraId="553B3238" w14:textId="2E5AEDFD" w:rsidR="00DA7035" w:rsidRDefault="00F41098" w:rsidP="00DA703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Photosystem inhibition, endocrine disruptor?</w:t>
            </w:r>
          </w:p>
        </w:tc>
        <w:tc>
          <w:tcPr>
            <w:tcW w:w="1883" w:type="dxa"/>
          </w:tcPr>
          <w:p w14:paraId="5B026D80" w14:textId="73FB9BF2" w:rsidR="00DA7035" w:rsidRDefault="00F41098" w:rsidP="00DA703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 "citationItems" : [ { "id" : "ITEM-1", "itemData" : { "DOI" : "10.1007/s00128-008-9517-3", "ISSN" : "0007-4861", "author" : [ { "dropping-particle" : "", "family" : "Palma", "given" : "P.", "non-dropping-particle" : "", "parse-names" : false, "suffix" : "" }, { "dropping-particle" : "", "family" : "Palma", "given" : "V. L.", "non-dropping-particle" : "", "parse-names" : false, "suffix" : "" }, { "dropping-particle" : "", "family" : "Fernandes", "given" : "R. M.", "non-dropping-particle" : "", "parse-names" : false, "suffix" : "" }, { "dropping-particle" : "", "family" : "Soares", "given" : "A. M. V. M.", "non-dropping-particle" : "", "parse-names" : false, "suffix" : "" }, { "dropping-particle" : "", "family" : "Barbosa", "given" : "I. R.", "non-dropping-particle" : "", "parse-names" : false, "suffix" : "" } ], "container-title" : "Bulletin of Environmental Contamination and Toxicology", "id" : "ITEM-1", "issue" : "5", "issued" : { "date-parts" : [ [ "2008", "11", "8" ] ] }, "page" : "485-489", "publisher" : "Springer-Verlag", "title" : "Acute Toxicity of Atrazine, Endosulfan Sulphate and Chlorpyrifos to Vibrio fischeri, Thamnocephalus platyurus and Daphnia magna, Relative to Their Concentrations in Surface Waters from the Alentejo Region of Portugal", "type" : "article-journal", "volume" : "81" }, "uris" : [ "http://www.mendeley.com/documents/?uuid=0cda6edf-b55b-3f0e-b066-deea51896c3e" ] } ], "mendeley" : { "formattedCitation" : "(Palma &lt;i&gt;et al.&lt;/i&gt;, 2008)", "plainTextFormattedCitation" : "(Palma et al., 2008)", "previouslyFormattedCitation" : "(Palma &lt;i&gt;et al.&lt;/i&gt;, 2008)" }, "properties" : {  }, "schema" : "https://github.com/citation-style-language/schema/raw/master/csl-citation.json" }</w:instrText>
            </w:r>
            <w:r>
              <w:rPr>
                <w:sz w:val="18"/>
                <w:szCs w:val="18"/>
              </w:rPr>
              <w:fldChar w:fldCharType="separate"/>
            </w:r>
            <w:r w:rsidRPr="00F41098">
              <w:rPr>
                <w:noProof/>
                <w:sz w:val="18"/>
                <w:szCs w:val="18"/>
              </w:rPr>
              <w:t xml:space="preserve">(Palma </w:t>
            </w:r>
            <w:r w:rsidRPr="00F41098">
              <w:rPr>
                <w:i/>
                <w:noProof/>
                <w:sz w:val="18"/>
                <w:szCs w:val="18"/>
              </w:rPr>
              <w:t>et al.</w:t>
            </w:r>
            <w:r w:rsidRPr="00F41098">
              <w:rPr>
                <w:noProof/>
                <w:sz w:val="18"/>
                <w:szCs w:val="18"/>
              </w:rPr>
              <w:t>, 2008)</w:t>
            </w:r>
            <w:r>
              <w:rPr>
                <w:sz w:val="18"/>
                <w:szCs w:val="18"/>
              </w:rPr>
              <w:fldChar w:fldCharType="end"/>
            </w:r>
          </w:p>
        </w:tc>
        <w:tc>
          <w:tcPr>
            <w:tcW w:w="2207" w:type="dxa"/>
          </w:tcPr>
          <w:p w14:paraId="072FBB91" w14:textId="5B2A7DD7" w:rsidR="00DA7035" w:rsidRDefault="00DA7035" w:rsidP="00DA703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Inhibition of luminescence in </w:t>
            </w:r>
            <w:r w:rsidRPr="001076A1">
              <w:rPr>
                <w:i/>
                <w:sz w:val="18"/>
                <w:szCs w:val="18"/>
              </w:rPr>
              <w:t xml:space="preserve">V. </w:t>
            </w:r>
            <w:proofErr w:type="spellStart"/>
            <w:r w:rsidRPr="001076A1">
              <w:rPr>
                <w:i/>
                <w:sz w:val="18"/>
                <w:szCs w:val="18"/>
              </w:rPr>
              <w:t>fischeri</w:t>
            </w:r>
            <w:proofErr w:type="spellEnd"/>
            <w:r>
              <w:rPr>
                <w:sz w:val="18"/>
                <w:szCs w:val="18"/>
              </w:rPr>
              <w:t xml:space="preserve"> in 30 minutes</w:t>
            </w:r>
          </w:p>
        </w:tc>
        <w:tc>
          <w:tcPr>
            <w:tcW w:w="1628" w:type="dxa"/>
          </w:tcPr>
          <w:p w14:paraId="35933173" w14:textId="77777777" w:rsidR="00DA7035" w:rsidRDefault="00DA7035" w:rsidP="00DA7035">
            <w:pPr>
              <w:cnfStyle w:val="000000000000" w:firstRow="0" w:lastRow="0" w:firstColumn="0" w:lastColumn="0" w:oddVBand="0" w:evenVBand="0" w:oddHBand="0" w:evenHBand="0" w:firstRowFirstColumn="0" w:firstRowLastColumn="0" w:lastRowFirstColumn="0" w:lastRowLastColumn="0"/>
              <w:rPr>
                <w:sz w:val="18"/>
                <w:szCs w:val="18"/>
                <w:vertAlign w:val="superscript"/>
              </w:rPr>
            </w:pPr>
            <w:r>
              <w:rPr>
                <w:sz w:val="18"/>
                <w:szCs w:val="18"/>
              </w:rPr>
              <w:t>EC50 – 69.4 mg.l</w:t>
            </w:r>
            <w:r w:rsidRPr="00DA7035">
              <w:rPr>
                <w:sz w:val="18"/>
                <w:szCs w:val="18"/>
                <w:vertAlign w:val="superscript"/>
              </w:rPr>
              <w:t>-1</w:t>
            </w:r>
          </w:p>
          <w:p w14:paraId="4D3B6B03" w14:textId="6CC85221" w:rsidR="00DA7035" w:rsidRDefault="00DA7035" w:rsidP="00DA703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Another source: 39.9 mg.l</w:t>
            </w:r>
            <w:r w:rsidRPr="00DA7035">
              <w:rPr>
                <w:sz w:val="18"/>
                <w:szCs w:val="18"/>
                <w:vertAlign w:val="superscript"/>
              </w:rPr>
              <w:t>-1</w:t>
            </w:r>
          </w:p>
        </w:tc>
        <w:tc>
          <w:tcPr>
            <w:tcW w:w="1239" w:type="dxa"/>
          </w:tcPr>
          <w:p w14:paraId="7B853AE9" w14:textId="62CFE3E2" w:rsidR="00DA7035" w:rsidRDefault="00F41098" w:rsidP="00DA703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Synthetic freshwater</w:t>
            </w:r>
          </w:p>
        </w:tc>
        <w:tc>
          <w:tcPr>
            <w:tcW w:w="2750" w:type="dxa"/>
          </w:tcPr>
          <w:p w14:paraId="41320145" w14:textId="0EF14C3F" w:rsidR="00DA7035" w:rsidRPr="000B03BA" w:rsidRDefault="008739D8" w:rsidP="00DA7035">
            <w:pPr>
              <w:cnfStyle w:val="000000000000" w:firstRow="0" w:lastRow="0" w:firstColumn="0" w:lastColumn="0" w:oddVBand="0" w:evenVBand="0" w:oddHBand="0" w:evenHBand="0" w:firstRowFirstColumn="0" w:firstRowLastColumn="0" w:lastRowFirstColumn="0" w:lastRowLastColumn="0"/>
              <w:rPr>
                <w:sz w:val="18"/>
                <w:szCs w:val="18"/>
              </w:rPr>
            </w:pPr>
            <w:r w:rsidRPr="008739D8">
              <w:rPr>
                <w:sz w:val="18"/>
                <w:szCs w:val="18"/>
              </w:rPr>
              <w:t>0.01–5.50 μg L</w:t>
            </w:r>
            <w:r w:rsidRPr="000B03BA">
              <w:rPr>
                <w:sz w:val="18"/>
                <w:szCs w:val="18"/>
                <w:vertAlign w:val="superscript"/>
              </w:rPr>
              <w:t>−1</w:t>
            </w:r>
            <w:r w:rsidR="000B03BA">
              <w:rPr>
                <w:sz w:val="18"/>
                <w:szCs w:val="18"/>
              </w:rPr>
              <w:t xml:space="preserve"> in Portugal</w:t>
            </w:r>
          </w:p>
        </w:tc>
      </w:tr>
      <w:tr w:rsidR="00C63326" w14:paraId="1587D592" w14:textId="77777777" w:rsidTr="00DA703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987" w:type="dxa"/>
          </w:tcPr>
          <w:p w14:paraId="38C4BF71" w14:textId="3C7109B0" w:rsidR="00C63326" w:rsidRDefault="00C63326" w:rsidP="00C63326">
            <w:r>
              <w:t>Cadmium</w:t>
            </w:r>
          </w:p>
        </w:tc>
        <w:tc>
          <w:tcPr>
            <w:tcW w:w="1778" w:type="dxa"/>
          </w:tcPr>
          <w:p w14:paraId="6EF123A5" w14:textId="29B0ED59" w:rsidR="00C63326" w:rsidRDefault="00C63326" w:rsidP="00C6332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Major anthropogenic pollutant</w:t>
            </w:r>
          </w:p>
        </w:tc>
        <w:tc>
          <w:tcPr>
            <w:tcW w:w="1549" w:type="dxa"/>
          </w:tcPr>
          <w:p w14:paraId="33F169BA" w14:textId="5ABAFE03" w:rsidR="00C63326" w:rsidRDefault="00C63326" w:rsidP="00C6332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Oxidative stress</w:t>
            </w:r>
          </w:p>
        </w:tc>
        <w:tc>
          <w:tcPr>
            <w:tcW w:w="1883" w:type="dxa"/>
          </w:tcPr>
          <w:p w14:paraId="4F71D6EA" w14:textId="0960F32D" w:rsidR="00C63326" w:rsidRDefault="00D43AEB" w:rsidP="00C6332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 "citationItems" : [ { "id" : "ITEM-1", "itemData" : { "DOI" : "10.1002/tox.20411", "ISBN" : "1522-7278 (Electronic)\\r1520-4081 (Linking)", "ISSN" : "1522-7278 (ELECTRONIC) 1520-4081 (LINKING)", "abstract" : "Transition metals and polycyclic aromatic hydrocarbons (PAHs) are cocontaminants at many sites. Contaminants in mixtures are known to interact with biological systems in ways that can greatly alter the toxicity of individual compounds. The toxicities (individually and as mixtures) of copper (Cu), a redox- active metal; cadmium (Cd), a nonredox active metal; and phenanthrenequinone (PHQ), a redox-active oxygenated PAH, were examined using the bioluminescent bacterium Vibrio fischeri. We found that the cotoxicity of Cu/PHQ was dependent on the ratio of concentrations of each chemical in the mixture. Different interaction types (synergism, antagonism, and additivity) were observed with different combinations of these toxicants. The interaction types changed from antagonism at a low Cu to PHQ ratio (1:4), to additive at an intermediate Cu to PHQ ratio (2:3), to synergistic at higher Cu to PHQ ratios (3:2 and 4:1). In contrast to Cu/PHQ mixtures, the cotoxicity of Cd/PHQ did not change at different mixture ratios and was found for the most part to be additive. For the individual chemicals and their mixtures, reactive oxygen species (ROS) production was observed in V. fischeri, suggesting that individual and mixture toxicity of Cu, Cd, and PHQ to V fischeri involves ROS-related mechanisms. This study shows that mixture ratios can alter individual chemical toxicity, and should be taken into account in risk assessment. \u00a9 2008 Wiley Periodicals, Inc.", "author" : [ { "dropping-particle" : "", "family" : "Wang", "given" : "Wenxi", "non-dropping-particle" : "", "parse-names" : false, "suffix" : "" }, { "dropping-particle" : "", "family" : "Lampi", "given" : "Mark A.", "non-dropping-particle" : "", "parse-names" : false, "suffix" : "" }, { "dropping-particle" : "", "family" : "Huang", "given" : "X D", "non-dropping-particle" : "", "parse-names" : false, "suffix" : "" }, { "dropping-particle" : "", "family" : "Gerhardt", "given" : "Karen", "non-dropping-particle" : "", "parse-names" : false, "suffix" : "" }, { "dropping-particle" : "", "family" : "Dixon", "given" : "D. George", "non-dropping-particle" : "", "parse-names" : false, "suffix" : "" }, { "dropping-particle" : "", "family" : "Greenberg", "given" : "Bruce M.", "non-dropping-particle" : "", "parse-names" : false, "suffix" : "" } ], "container-title" : "Environmental Toxicology", "id" : "ITEM-1", "issue" : "2", "issued" : { "date-parts" : [ [ "2009", "4", "1" ] ] }, "page" : "166-177", "publisher" : "Wiley-Blackwell", "title" : "Assessment of mixture toxicity of copper, cadmium, and phenanthrenequinone to the marine bacterium vibrio fischeri", "type" : "article-journal", "volume" : "24" }, "uris" : [ "http://www.mendeley.com/documents/?uuid=096596ca-e338-33ac-98c7-151bf3088f92" ] }, { "id" : "ITEM-2", "itemData" : { "DOI" : "10.1016/J.GEXPLO.2008.03.003", "ISSN" : "0375-6742", "abstract" : "Acid mine waters have the potential to seriously impair the environmental quality of aquatic systems long after mining activities have ceased. This detailed study of dissolved and particulate metal fluxes from adits, drains and streams in the River Tamar catchment, southwest England, showed that seven specific sources, of the 25 adits and streams surveyed, accounted for more than 75% each of the 13\u00a0t a\u22121 Fe, 4.3\u00a0t a\u22121 Mn, 4.2\u00a0t a\u22121 Cu, 3.6\u00a0t a\u22121 Zn and 1.4\u00a0t a\u22121 As that we estimated to be discharged annually from the abandoned metalliferous mining area centred around Calstock and Gunnislake. Upstream of this study area, widespread multi-metallic mineralisation contributed to the flux of Fe, Mn, As, Co, Cu and Zn within the River Tamar. Simple mass balance calculations indicated that a large proportion (\u226550% for most dissolved and particulate metals) of the metal flux in the River Tamar was unaccounted for by our survey, and therefore is likely to have an important diffuse component, which is subject to ongoing investigations. Potential impacts of mine contamination on the estuarine environment are discussed. The study provided information necessary to prioritise monitoring and remediation efforts in the context of sustainable catchment management.", "author" : [ { "dropping-particle" : "", "family" : "Mighanetara", "given" : "Krongkaew", "non-dropping-particle" : "", "parse-names" : false, "suffix" : "" }, { "dropping-particle" : "", "family" : "Braungardt", "given" : "Charlotte B.", "non-dropping-particle" : "", "parse-names" : false, "suffix" : "" }, { "dropping-particle" : "", "family" : "Rieuwerts", "given" : "John S.", "non-dropping-particle" : "", "parse-names" : false, "suffix" : "" }, { "dropping-particle" : "", "family" : "Azizi", "given" : "Fethi", "non-dropping-particle" : "", "parse-names" : false, "suffix" : "" } ], "container-title" : "Journal of Geochemical Exploration", "id" : "ITEM-2", "issue" : "2-3", "issued" : { "date-parts" : [ [ "2009", "2", "1" ] ] }, "page" : "116-124", "publisher" : "Elsevier", "title" : "Contaminant fluxes from point and diffuse sources from abandoned mines in the River Tamar catchment, UK", "type" : "article-journal", "volume" : "100" }, "uris" : [ "http://www.mendeley.com/documents/?uuid=d4ed3aa3-578c-3a6e-803e-7e3502c9ed47" ] } ], "mendeley" : { "formattedCitation" : "(Mighanetara &lt;i&gt;et al.&lt;/i&gt;, 2009; Wang &lt;i&gt;et al.&lt;/i&gt;, 2009)", "plainTextFormattedCitation" : "(Mighanetara et al., 2009; Wang et al., 2009)", "previouslyFormattedCitation" : "(Mighanetara &lt;i&gt;et al.&lt;/i&gt;, 2009; Wang &lt;i&gt;et al.&lt;/i&gt;, 2009)" }, "properties" : {  }, "schema" : "https://github.com/citation-style-language/schema/raw/master/csl-citation.json" }</w:instrText>
            </w:r>
            <w:r>
              <w:rPr>
                <w:sz w:val="18"/>
                <w:szCs w:val="18"/>
              </w:rPr>
              <w:fldChar w:fldCharType="separate"/>
            </w:r>
            <w:r w:rsidRPr="00D43AEB">
              <w:rPr>
                <w:noProof/>
                <w:sz w:val="18"/>
                <w:szCs w:val="18"/>
              </w:rPr>
              <w:t xml:space="preserve">(Mighanetara </w:t>
            </w:r>
            <w:r w:rsidRPr="00D43AEB">
              <w:rPr>
                <w:i/>
                <w:noProof/>
                <w:sz w:val="18"/>
                <w:szCs w:val="18"/>
              </w:rPr>
              <w:t>et al.</w:t>
            </w:r>
            <w:r w:rsidRPr="00D43AEB">
              <w:rPr>
                <w:noProof/>
                <w:sz w:val="18"/>
                <w:szCs w:val="18"/>
              </w:rPr>
              <w:t xml:space="preserve">, 2009; Wang </w:t>
            </w:r>
            <w:r w:rsidRPr="00D43AEB">
              <w:rPr>
                <w:i/>
                <w:noProof/>
                <w:sz w:val="18"/>
                <w:szCs w:val="18"/>
              </w:rPr>
              <w:t>et al.</w:t>
            </w:r>
            <w:r w:rsidRPr="00D43AEB">
              <w:rPr>
                <w:noProof/>
                <w:sz w:val="18"/>
                <w:szCs w:val="18"/>
              </w:rPr>
              <w:t>, 2009)</w:t>
            </w:r>
            <w:r>
              <w:rPr>
                <w:sz w:val="18"/>
                <w:szCs w:val="18"/>
              </w:rPr>
              <w:fldChar w:fldCharType="end"/>
            </w:r>
          </w:p>
        </w:tc>
        <w:tc>
          <w:tcPr>
            <w:tcW w:w="2207" w:type="dxa"/>
          </w:tcPr>
          <w:p w14:paraId="5D4EC0BF" w14:textId="3A67C5EB" w:rsidR="00C63326" w:rsidRDefault="00C63326" w:rsidP="00C6332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Inhibition of luminescence in </w:t>
            </w:r>
            <w:r w:rsidRPr="001076A1">
              <w:rPr>
                <w:i/>
                <w:sz w:val="18"/>
                <w:szCs w:val="18"/>
              </w:rPr>
              <w:t xml:space="preserve">V. </w:t>
            </w:r>
            <w:proofErr w:type="spellStart"/>
            <w:r w:rsidRPr="001076A1">
              <w:rPr>
                <w:i/>
                <w:sz w:val="18"/>
                <w:szCs w:val="18"/>
              </w:rPr>
              <w:t>fischeri</w:t>
            </w:r>
            <w:proofErr w:type="spellEnd"/>
            <w:r>
              <w:rPr>
                <w:sz w:val="18"/>
                <w:szCs w:val="18"/>
              </w:rPr>
              <w:t xml:space="preserve"> in 60 minutes</w:t>
            </w:r>
          </w:p>
        </w:tc>
        <w:tc>
          <w:tcPr>
            <w:tcW w:w="1628" w:type="dxa"/>
          </w:tcPr>
          <w:p w14:paraId="31455540" w14:textId="013D1AD9" w:rsidR="00C63326" w:rsidRDefault="004A0EDF" w:rsidP="00C6332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EC50 - </w:t>
            </w:r>
            <w:r w:rsidRPr="004A0EDF">
              <w:rPr>
                <w:sz w:val="18"/>
                <w:szCs w:val="18"/>
              </w:rPr>
              <w:t>9.96</w:t>
            </w:r>
            <w:r>
              <w:rPr>
                <w:sz w:val="18"/>
              </w:rPr>
              <w:t xml:space="preserve"> mg.l</w:t>
            </w:r>
            <w:r w:rsidRPr="003A7406">
              <w:rPr>
                <w:sz w:val="18"/>
                <w:vertAlign w:val="superscript"/>
              </w:rPr>
              <w:t>-1</w:t>
            </w:r>
            <w:r>
              <w:rPr>
                <w:sz w:val="18"/>
              </w:rPr>
              <w:t>@ 30 minutes</w:t>
            </w:r>
          </w:p>
        </w:tc>
        <w:tc>
          <w:tcPr>
            <w:tcW w:w="1239" w:type="dxa"/>
          </w:tcPr>
          <w:p w14:paraId="4BE44760" w14:textId="6839FA75" w:rsidR="00C63326" w:rsidRDefault="00436334" w:rsidP="00C63326">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 saline</w:t>
            </w:r>
          </w:p>
        </w:tc>
        <w:tc>
          <w:tcPr>
            <w:tcW w:w="2750" w:type="dxa"/>
          </w:tcPr>
          <w:p w14:paraId="69FD837D" w14:textId="77777777" w:rsidR="00D43AEB" w:rsidRDefault="00D43AEB" w:rsidP="00D43AE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‘Streams in UK’:</w:t>
            </w:r>
          </w:p>
          <w:p w14:paraId="0F930086" w14:textId="3DAA43A1" w:rsidR="00C63326" w:rsidRPr="008739D8" w:rsidRDefault="00D43AEB" w:rsidP="00D43AEB">
            <w:pPr>
              <w:cnfStyle w:val="000000100000" w:firstRow="0" w:lastRow="0" w:firstColumn="0" w:lastColumn="0" w:oddVBand="0" w:evenVBand="0" w:oddHBand="1" w:evenHBand="0" w:firstRowFirstColumn="0" w:firstRowLastColumn="0" w:lastRowFirstColumn="0" w:lastRowLastColumn="0"/>
              <w:rPr>
                <w:sz w:val="18"/>
                <w:szCs w:val="18"/>
              </w:rPr>
            </w:pPr>
            <w:r w:rsidRPr="008078C4">
              <w:rPr>
                <w:sz w:val="18"/>
                <w:szCs w:val="18"/>
              </w:rPr>
              <w:t>≤ 1.1</w:t>
            </w:r>
            <w:r>
              <w:rPr>
                <w:sz w:val="18"/>
                <w:szCs w:val="18"/>
              </w:rPr>
              <w:t xml:space="preserve"> </w:t>
            </w:r>
            <w:r w:rsidRPr="008078C4">
              <w:rPr>
                <w:sz w:val="18"/>
                <w:szCs w:val="18"/>
              </w:rPr>
              <w:t xml:space="preserve"> μg L</w:t>
            </w:r>
            <w:r w:rsidRPr="008078C4">
              <w:rPr>
                <w:sz w:val="18"/>
                <w:szCs w:val="18"/>
                <w:vertAlign w:val="superscript"/>
              </w:rPr>
              <w:t>− 1</w:t>
            </w:r>
          </w:p>
        </w:tc>
      </w:tr>
      <w:tr w:rsidR="00D43AEB" w14:paraId="174A6469" w14:textId="77777777" w:rsidTr="00DA7035">
        <w:trPr>
          <w:trHeight w:val="276"/>
        </w:trPr>
        <w:tc>
          <w:tcPr>
            <w:cnfStyle w:val="001000000000" w:firstRow="0" w:lastRow="0" w:firstColumn="1" w:lastColumn="0" w:oddVBand="0" w:evenVBand="0" w:oddHBand="0" w:evenHBand="0" w:firstRowFirstColumn="0" w:firstRowLastColumn="0" w:lastRowFirstColumn="0" w:lastRowLastColumn="0"/>
            <w:tcW w:w="1987" w:type="dxa"/>
          </w:tcPr>
          <w:p w14:paraId="0FEC780C" w14:textId="7FF50999" w:rsidR="00D43AEB" w:rsidRDefault="00D43AEB" w:rsidP="00D43AEB">
            <w:r>
              <w:t>PHQ</w:t>
            </w:r>
          </w:p>
        </w:tc>
        <w:tc>
          <w:tcPr>
            <w:tcW w:w="1778" w:type="dxa"/>
          </w:tcPr>
          <w:p w14:paraId="7DC61D27" w14:textId="252F9177" w:rsidR="00D43AEB" w:rsidRDefault="00D43AEB" w:rsidP="00D43AE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A highly toxic </w:t>
            </w:r>
            <w:proofErr w:type="spellStart"/>
            <w:r>
              <w:rPr>
                <w:sz w:val="18"/>
                <w:szCs w:val="18"/>
              </w:rPr>
              <w:t>phototransformed</w:t>
            </w:r>
            <w:proofErr w:type="spellEnd"/>
            <w:r>
              <w:rPr>
                <w:sz w:val="18"/>
                <w:szCs w:val="18"/>
              </w:rPr>
              <w:t xml:space="preserve"> PAH</w:t>
            </w:r>
          </w:p>
        </w:tc>
        <w:tc>
          <w:tcPr>
            <w:tcW w:w="1549" w:type="dxa"/>
          </w:tcPr>
          <w:p w14:paraId="3459553C" w14:textId="38C82384" w:rsidR="00D43AEB" w:rsidRDefault="00D43AEB" w:rsidP="00D43AE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Conversion into electrophilic metabolites?</w:t>
            </w:r>
          </w:p>
        </w:tc>
        <w:tc>
          <w:tcPr>
            <w:tcW w:w="1883" w:type="dxa"/>
          </w:tcPr>
          <w:p w14:paraId="6227A035" w14:textId="2B7CFB3B" w:rsidR="00D43AEB" w:rsidRDefault="00D43AEB" w:rsidP="00D43AE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 "citationItems" : [ { "id" : "ITEM-1", "itemData" : { "DOI" : "10.1002/tox.20411", "ISBN" : "1522-7278 (Electronic)\\r1520-4081 (Linking)", "ISSN" : "1522-7278 (ELECTRONIC) 1520-4081 (LINKING)", "abstract" : "Transition metals and polycyclic aromatic hydrocarbons (PAHs) are cocontaminants at many sites. Contaminants in mixtures are known to interact with biological systems in ways that can greatly alter the toxicity of individual compounds. The toxicities (individually and as mixtures) of copper (Cu), a redox- active metal; cadmium (Cd), a nonredox active metal; and phenanthrenequinone (PHQ), a redox-active oxygenated PAH, were examined using the bioluminescent bacterium Vibrio fischeri. We found that the cotoxicity of Cu/PHQ was dependent on the ratio of concentrations of each chemical in the mixture. Different interaction types (synergism, antagonism, and additivity) were observed with different combinations of these toxicants. The interaction types changed from antagonism at a low Cu to PHQ ratio (1:4), to additive at an intermediate Cu to PHQ ratio (2:3), to synergistic at higher Cu to PHQ ratios (3:2 and 4:1). In contrast to Cu/PHQ mixtures, the cotoxicity of Cd/PHQ did not change at different mixture ratios and was found for the most part to be additive. For the individual chemicals and their mixtures, reactive oxygen species (ROS) production was observed in V. fischeri, suggesting that individual and mixture toxicity of Cu, Cd, and PHQ to V fischeri involves ROS-related mechanisms. This study shows that mixture ratios can alter individual chemical toxicity, and should be taken into account in risk assessment. \u00a9 2008 Wiley Periodicals, Inc.", "author" : [ { "dropping-particle" : "", "family" : "Wang", "given" : "Wenxi", "non-dropping-particle" : "", "parse-names" : false, "suffix" : "" }, { "dropping-particle" : "", "family" : "Lampi", "given" : "Mark A.", "non-dropping-particle" : "", "parse-names" : false, "suffix" : "" }, { "dropping-particle" : "", "family" : "Huang", "given" : "X D", "non-dropping-particle" : "", "parse-names" : false, "suffix" : "" }, { "dropping-particle" : "", "family" : "Gerhardt", "given" : "Karen", "non-dropping-particle" : "", "parse-names" : false, "suffix" : "" }, { "dropping-particle" : "", "family" : "Dixon", "given" : "D. George", "non-dropping-particle" : "", "parse-names" : false, "suffix" : "" }, { "dropping-particle" : "", "family" : "Greenberg", "given" : "Bruce M.", "non-dropping-particle" : "", "parse-names" : false, "suffix" : "" } ], "container-title" : "Environmental Toxicology", "id" : "ITEM-1", "issue" : "2", "issued" : { "date-parts" : [ [ "2009", "4", "1" ] ] }, "page" : "166-177", "publisher" : "Wiley-Blackwell", "title" : "Assessment of mixture toxicity of copper, cadmium, and phenanthrenequinone to the marine bacterium vibrio fischeri", "type" : "article-journal", "volume" : "24" }, "uris" : [ "http://www.mendeley.com/documents/?uuid=096596ca-e338-33ac-98c7-151bf3088f92" ] } ], "mendeley" : { "formattedCitation" : "(Wang &lt;i&gt;et al.&lt;/i&gt;, 2009)", "plainTextFormattedCitation" : "(Wang et al., 2009)", "previouslyFormattedCitation" : "(Wang &lt;i&gt;et al.&lt;/i&gt;, 2009)" }, "properties" : {  }, "schema" : "https://github.com/citation-style-language/schema/raw/master/csl-citation.json" }</w:instrText>
            </w:r>
            <w:r>
              <w:rPr>
                <w:sz w:val="18"/>
                <w:szCs w:val="18"/>
              </w:rPr>
              <w:fldChar w:fldCharType="separate"/>
            </w:r>
            <w:r w:rsidRPr="00D43AEB">
              <w:rPr>
                <w:noProof/>
                <w:sz w:val="18"/>
                <w:szCs w:val="18"/>
              </w:rPr>
              <w:t xml:space="preserve">(Wang </w:t>
            </w:r>
            <w:r w:rsidRPr="00D43AEB">
              <w:rPr>
                <w:i/>
                <w:noProof/>
                <w:sz w:val="18"/>
                <w:szCs w:val="18"/>
              </w:rPr>
              <w:t>et al.</w:t>
            </w:r>
            <w:r w:rsidRPr="00D43AEB">
              <w:rPr>
                <w:noProof/>
                <w:sz w:val="18"/>
                <w:szCs w:val="18"/>
              </w:rPr>
              <w:t>, 2009)</w:t>
            </w:r>
            <w:r>
              <w:rPr>
                <w:sz w:val="18"/>
                <w:szCs w:val="18"/>
              </w:rPr>
              <w:fldChar w:fldCharType="end"/>
            </w:r>
          </w:p>
        </w:tc>
        <w:tc>
          <w:tcPr>
            <w:tcW w:w="2207" w:type="dxa"/>
          </w:tcPr>
          <w:p w14:paraId="253A010D" w14:textId="7A6988E6" w:rsidR="00D43AEB" w:rsidRDefault="00D43AEB" w:rsidP="00D43AE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Inhibition of luminescence in </w:t>
            </w:r>
            <w:r w:rsidRPr="001076A1">
              <w:rPr>
                <w:i/>
                <w:sz w:val="18"/>
                <w:szCs w:val="18"/>
              </w:rPr>
              <w:t xml:space="preserve">V. </w:t>
            </w:r>
            <w:proofErr w:type="spellStart"/>
            <w:r w:rsidRPr="001076A1">
              <w:rPr>
                <w:i/>
                <w:sz w:val="18"/>
                <w:szCs w:val="18"/>
              </w:rPr>
              <w:t>fischeri</w:t>
            </w:r>
            <w:proofErr w:type="spellEnd"/>
            <w:r>
              <w:rPr>
                <w:sz w:val="18"/>
                <w:szCs w:val="18"/>
              </w:rPr>
              <w:t xml:space="preserve"> in 60 minutes</w:t>
            </w:r>
          </w:p>
        </w:tc>
        <w:tc>
          <w:tcPr>
            <w:tcW w:w="1628" w:type="dxa"/>
          </w:tcPr>
          <w:p w14:paraId="3D470380" w14:textId="4620F79F" w:rsidR="00D43AEB" w:rsidRDefault="00D43AEB" w:rsidP="00D43AE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EC50 - </w:t>
            </w:r>
            <w:r w:rsidRPr="004A0EDF">
              <w:rPr>
                <w:sz w:val="18"/>
                <w:szCs w:val="18"/>
              </w:rPr>
              <w:t>65.49</w:t>
            </w:r>
            <w:r>
              <w:rPr>
                <w:sz w:val="18"/>
              </w:rPr>
              <w:t xml:space="preserve"> ug.l</w:t>
            </w:r>
            <w:r w:rsidRPr="003A7406">
              <w:rPr>
                <w:sz w:val="18"/>
                <w:vertAlign w:val="superscript"/>
              </w:rPr>
              <w:t>-1</w:t>
            </w:r>
            <w:r>
              <w:rPr>
                <w:sz w:val="18"/>
              </w:rPr>
              <w:t>@ 30 minutes</w:t>
            </w:r>
          </w:p>
        </w:tc>
        <w:tc>
          <w:tcPr>
            <w:tcW w:w="1239" w:type="dxa"/>
          </w:tcPr>
          <w:p w14:paraId="685E0CAE" w14:textId="69551599" w:rsidR="00D43AEB" w:rsidRDefault="00D43AEB" w:rsidP="00D43AE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2% saline</w:t>
            </w:r>
          </w:p>
        </w:tc>
        <w:tc>
          <w:tcPr>
            <w:tcW w:w="2750" w:type="dxa"/>
          </w:tcPr>
          <w:p w14:paraId="7B195E7A" w14:textId="75A79F0E" w:rsidR="00D43AEB" w:rsidRPr="008739D8" w:rsidRDefault="00D43AEB" w:rsidP="00D43AE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Main source of human exposure is cigarette smoke (?)</w:t>
            </w:r>
          </w:p>
        </w:tc>
      </w:tr>
      <w:tr w:rsidR="00D43AEB" w14:paraId="15BE693D" w14:textId="77777777" w:rsidTr="00DA703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987" w:type="dxa"/>
          </w:tcPr>
          <w:p w14:paraId="4EC0A6D3" w14:textId="294AA5D1" w:rsidR="00D43AEB" w:rsidRPr="00A8714C" w:rsidRDefault="00D43AEB" w:rsidP="00D43AEB">
            <w:r w:rsidRPr="00A8714C">
              <w:t>Copper</w:t>
            </w:r>
          </w:p>
        </w:tc>
        <w:tc>
          <w:tcPr>
            <w:tcW w:w="1778" w:type="dxa"/>
          </w:tcPr>
          <w:p w14:paraId="4FCCDB78" w14:textId="2FC80F94" w:rsidR="00D43AEB" w:rsidRPr="00353F98" w:rsidRDefault="00D43AEB" w:rsidP="00D43AEB">
            <w:pPr>
              <w:cnfStyle w:val="000000100000" w:firstRow="0" w:lastRow="0" w:firstColumn="0" w:lastColumn="0" w:oddVBand="0" w:evenVBand="0" w:oddHBand="1" w:evenHBand="0" w:firstRowFirstColumn="0" w:firstRowLastColumn="0" w:lastRowFirstColumn="0" w:lastRowLastColumn="0"/>
              <w:rPr>
                <w:sz w:val="18"/>
                <w:szCs w:val="18"/>
              </w:rPr>
            </w:pPr>
            <w:r w:rsidRPr="00353F98">
              <w:rPr>
                <w:sz w:val="18"/>
              </w:rPr>
              <w:t>Major anthropogenic pollutant, and essential nutrient</w:t>
            </w:r>
          </w:p>
        </w:tc>
        <w:tc>
          <w:tcPr>
            <w:tcW w:w="1549" w:type="dxa"/>
          </w:tcPr>
          <w:p w14:paraId="010C7D3D" w14:textId="290A73A3" w:rsidR="00D43AEB" w:rsidRPr="00353F98" w:rsidRDefault="00D43AEB" w:rsidP="00D43AEB">
            <w:pPr>
              <w:cnfStyle w:val="000000100000" w:firstRow="0" w:lastRow="0" w:firstColumn="0" w:lastColumn="0" w:oddVBand="0" w:evenVBand="0" w:oddHBand="1" w:evenHBand="0" w:firstRowFirstColumn="0" w:firstRowLastColumn="0" w:lastRowFirstColumn="0" w:lastRowLastColumn="0"/>
              <w:rPr>
                <w:sz w:val="18"/>
                <w:szCs w:val="18"/>
              </w:rPr>
            </w:pPr>
            <w:r w:rsidRPr="00353F98">
              <w:rPr>
                <w:sz w:val="18"/>
              </w:rPr>
              <w:t>Oxidative stress</w:t>
            </w:r>
          </w:p>
        </w:tc>
        <w:tc>
          <w:tcPr>
            <w:tcW w:w="1883" w:type="dxa"/>
          </w:tcPr>
          <w:p w14:paraId="572D3D30" w14:textId="345D0FC7" w:rsidR="00D43AEB" w:rsidRPr="00353F98" w:rsidRDefault="00D43AEB" w:rsidP="00D43AE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Pr>
                <w:sz w:val="18"/>
                <w:szCs w:val="18"/>
              </w:rPr>
              <w:instrText>ADDIN CSL_CITATION { "citationItems" : [ { "id" : "ITEM-1", "itemData" : { "DOI" : "10.1002/tox.20411", "ISBN" : "1522-7278 (Electronic)\\r1520-4081 (Linking)", "ISSN" : "1522-7278 (ELECTRONIC) 1520-4081 (LINKING)", "abstract" : "Transition metals and polycyclic aromatic hydrocarbons (PAHs) are cocontaminants at many sites. Contaminants in mixtures are known to interact with biological systems in ways that can greatly alter the toxicity of individual compounds. The toxicities (individually and as mixtures) of copper (Cu), a redox- active metal; cadmium (Cd), a nonredox active metal; and phenanthrenequinone (PHQ), a redox-active oxygenated PAH, were examined using the bioluminescent bacterium Vibrio fischeri. We found that the cotoxicity of Cu/PHQ was dependent on the ratio of concentrations of each chemical in the mixture. Different interaction types (synergism, antagonism, and additivity) were observed with different combinations of these toxicants. The interaction types changed from antagonism at a low Cu to PHQ ratio (1:4), to additive at an intermediate Cu to PHQ ratio (2:3), to synergistic at higher Cu to PHQ ratios (3:2 and 4:1). In contrast to Cu/PHQ mixtures, the cotoxicity of Cd/PHQ did not change at different mixture ratios and was found for the most part to be additive. For the individual chemicals and their mixtures, reactive oxygen species (ROS) production was observed in V. fischeri, suggesting that individual and mixture toxicity of Cu, Cd, and PHQ to V fischeri involves ROS-related mechanisms. This study shows that mixture ratios can alter individual chemical toxicity, and should be taken into account in risk assessment. \u00a9 2008 Wiley Periodicals, Inc.", "author" : [ { "dropping-particle" : "", "family" : "Wang", "given" : "Wenxi", "non-dropping-particle" : "", "parse-names" : false, "suffix" : "" }, { "dropping-particle" : "", "family" : "Lampi", "given" : "Mark A.", "non-dropping-particle" : "", "parse-names" : false, "suffix" : "" }, { "dropping-particle" : "", "family" : "Huang", "given" : "X D", "non-dropping-particle" : "", "parse-names" : false, "suffix" : "" }, { "dropping-particle" : "", "family" : "Gerhardt", "given" : "Karen", "non-dropping-particle" : "", "parse-names" : false, "suffix" : "" }, { "dropping-particle" : "", "family" : "Dixon", "given" : "D. George", "non-dropping-particle" : "", "parse-names" : false, "suffix" : "" }, { "dropping-particle" : "", "family" : "Greenberg", "given" : "Bruce M.", "non-dropping-particle" : "", "parse-names" : false, "suffix" : "" } ], "container-title" : "Environmental Toxicology", "id" : "ITEM-1", "issue" : "2", "issued" : { "date-parts" : [ [ "2009", "4", "1" ] ] }, "page" : "166-177", "publisher" : "Wiley-Blackwell", "title" : "Assessment of mixture toxicity of copper, cadmium, and phenanthrenequinone to the marine bacterium vibrio fischeri", "type" : "article-journal", "volume" : "24" }, "uris" : [ "http://www.mendeley.com/documents/?uuid=096596ca-e338-33ac-98c7-151bf3088f92" ] }, { "id" : "ITEM-2", "itemData" : { "DOI" : "10.1016/J.GEXPLO.2008.03.003", "ISSN" : "0375-6742", "abstract" : "Acid mine waters have the potential to seriously impair the environmental quality of aquatic systems long after mining activities have ceased. This detailed study of dissolved and particulate metal fluxes from adits, drains and streams in the River Tamar catchment, southwest England, showed that seven specific sources, of the 25 adits and streams surveyed, accounted for more than 75% each of the 13\u00a0t a\u22121 Fe, 4.3\u00a0t a\u22121 Mn, 4.2\u00a0t a\u22121 Cu, 3.6\u00a0t a\u22121 Zn and 1.4\u00a0t a\u22121 As that we estimated to be discharged annually from the abandoned metalliferous mining area centred around Calstock and Gunnislake. Upstream of this study area, widespread multi-metallic mineralisation contributed to the flux of Fe, Mn, As, Co, Cu and Zn within the River Tamar. Simple mass balance calculations indicated that a large proportion (\u226550% for most dissolved and particulate metals) of the metal flux in the River Tamar was unaccounted for by our survey, and therefore is likely to have an important diffuse component, which is subject to ongoing investigations. Potential impacts of mine contamination on the estuarine environment are discussed. The study provided information necessary to prioritise monitoring and remediation efforts in the context of sustainable catchment management.", "author" : [ { "dropping-particle" : "", "family" : "Mighanetara", "given" : "Krongkaew", "non-dropping-particle" : "", "parse-names" : false, "suffix" : "" }, { "dropping-particle" : "", "family" : "Braungardt", "given" : "Charlotte B.", "non-dropping-particle" : "", "parse-names" : false, "suffix" : "" }, { "dropping-particle" : "", "family" : "Rieuwerts", "given" : "John S.", "non-dropping-particle" : "", "parse-names" : false, "suffix" : "" }, { "dropping-particle" : "", "family" : "Azizi", "given" : "Fethi", "non-dropping-particle" : "", "parse-names" : false, "suffix" : "" } ], "container-title" : "Journal of Geochemical Exploration", "id" : "ITEM-2", "issue" : "2-3", "issued" : { "date-parts" : [ [ "2009", "2", "1" ] ] }, "page" : "116-124", "publisher" : "Elsevier", "title" : "Contaminant fluxes from point and diffuse sources from abandoned mines in the River Tamar catchment, UK", "type" : "article-journal", "volume" : "100" }, "uris" : [ "http://www.mendeley.com/documents/?uuid=d4ed3aa3-578c-3a6e-803e-7e3502c9ed47" ] } ], "mendeley" : { "formattedCitation" : "(Mighanetara &lt;i&gt;et al.&lt;/i&gt;, 2009; Wang &lt;i&gt;et al.&lt;/i&gt;, 2009)", "plainTextFormattedCitation" : "(Mighanetara et al., 2009; Wang et al., 2009)", "previouslyFormattedCitation" : "(Mighanetara &lt;i&gt;et al.&lt;/i&gt;, 2009; Wang &lt;i&gt;et al.&lt;/i&gt;, 2009)" }, "properties" : {  }, "schema" : "https://github.com/citation-style-language/schema/raw/master/csl-citation.json" }</w:instrText>
            </w:r>
            <w:r>
              <w:rPr>
                <w:sz w:val="18"/>
                <w:szCs w:val="18"/>
              </w:rPr>
              <w:fldChar w:fldCharType="separate"/>
            </w:r>
            <w:r w:rsidRPr="00D43AEB">
              <w:rPr>
                <w:noProof/>
                <w:sz w:val="18"/>
                <w:szCs w:val="18"/>
              </w:rPr>
              <w:t xml:space="preserve">(Mighanetara </w:t>
            </w:r>
            <w:r w:rsidRPr="00D43AEB">
              <w:rPr>
                <w:i/>
                <w:noProof/>
                <w:sz w:val="18"/>
                <w:szCs w:val="18"/>
              </w:rPr>
              <w:t>et al.</w:t>
            </w:r>
            <w:r w:rsidRPr="00D43AEB">
              <w:rPr>
                <w:noProof/>
                <w:sz w:val="18"/>
                <w:szCs w:val="18"/>
              </w:rPr>
              <w:t xml:space="preserve">, 2009; Wang </w:t>
            </w:r>
            <w:r w:rsidRPr="00D43AEB">
              <w:rPr>
                <w:i/>
                <w:noProof/>
                <w:sz w:val="18"/>
                <w:szCs w:val="18"/>
              </w:rPr>
              <w:t>et al.</w:t>
            </w:r>
            <w:r w:rsidRPr="00D43AEB">
              <w:rPr>
                <w:noProof/>
                <w:sz w:val="18"/>
                <w:szCs w:val="18"/>
              </w:rPr>
              <w:t>, 2009)</w:t>
            </w:r>
            <w:r>
              <w:rPr>
                <w:sz w:val="18"/>
                <w:szCs w:val="18"/>
              </w:rPr>
              <w:fldChar w:fldCharType="end"/>
            </w:r>
          </w:p>
        </w:tc>
        <w:tc>
          <w:tcPr>
            <w:tcW w:w="2207" w:type="dxa"/>
          </w:tcPr>
          <w:p w14:paraId="7D9144D5" w14:textId="756BB404" w:rsidR="00D43AEB" w:rsidRPr="00546B24" w:rsidRDefault="00D43AEB" w:rsidP="00D43AE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Inhibition of luminescence in </w:t>
            </w:r>
            <w:r w:rsidRPr="001076A1">
              <w:rPr>
                <w:i/>
                <w:sz w:val="18"/>
                <w:szCs w:val="18"/>
              </w:rPr>
              <w:t xml:space="preserve">V. </w:t>
            </w:r>
            <w:proofErr w:type="spellStart"/>
            <w:r w:rsidRPr="001076A1">
              <w:rPr>
                <w:i/>
                <w:sz w:val="18"/>
                <w:szCs w:val="18"/>
              </w:rPr>
              <w:t>fischeri</w:t>
            </w:r>
            <w:proofErr w:type="spellEnd"/>
            <w:r>
              <w:rPr>
                <w:sz w:val="18"/>
                <w:szCs w:val="18"/>
              </w:rPr>
              <w:t xml:space="preserve"> in 60 minutes</w:t>
            </w:r>
          </w:p>
        </w:tc>
        <w:tc>
          <w:tcPr>
            <w:tcW w:w="1628" w:type="dxa"/>
          </w:tcPr>
          <w:p w14:paraId="490AA859" w14:textId="0BAD99E0" w:rsidR="00D43AEB" w:rsidRPr="00353F98" w:rsidRDefault="00D43AEB" w:rsidP="00D43AEB">
            <w:pPr>
              <w:cnfStyle w:val="000000100000" w:firstRow="0" w:lastRow="0" w:firstColumn="0" w:lastColumn="0" w:oddVBand="0" w:evenVBand="0" w:oddHBand="1" w:evenHBand="0" w:firstRowFirstColumn="0" w:firstRowLastColumn="0" w:lastRowFirstColumn="0" w:lastRowLastColumn="0"/>
              <w:rPr>
                <w:sz w:val="18"/>
                <w:szCs w:val="18"/>
              </w:rPr>
            </w:pPr>
            <w:r>
              <w:rPr>
                <w:sz w:val="18"/>
              </w:rPr>
              <w:t xml:space="preserve">EC50 - </w:t>
            </w:r>
            <w:r w:rsidRPr="00A8714C">
              <w:rPr>
                <w:sz w:val="18"/>
              </w:rPr>
              <w:t xml:space="preserve">146.88 </w:t>
            </w:r>
            <w:r>
              <w:rPr>
                <w:sz w:val="18"/>
              </w:rPr>
              <w:t>ug.l</w:t>
            </w:r>
            <w:r w:rsidRPr="003A7406">
              <w:rPr>
                <w:sz w:val="18"/>
                <w:vertAlign w:val="superscript"/>
              </w:rPr>
              <w:t>-1</w:t>
            </w:r>
            <w:r>
              <w:rPr>
                <w:sz w:val="18"/>
              </w:rPr>
              <w:t>@ 30 minutes</w:t>
            </w:r>
          </w:p>
        </w:tc>
        <w:tc>
          <w:tcPr>
            <w:tcW w:w="1239" w:type="dxa"/>
          </w:tcPr>
          <w:p w14:paraId="38E939AC" w14:textId="773AF718" w:rsidR="00D43AEB" w:rsidRPr="00353F98" w:rsidRDefault="00D43AEB" w:rsidP="00D43AE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2% saline</w:t>
            </w:r>
          </w:p>
        </w:tc>
        <w:tc>
          <w:tcPr>
            <w:tcW w:w="2750" w:type="dxa"/>
          </w:tcPr>
          <w:p w14:paraId="4198B93C" w14:textId="77777777" w:rsidR="00D43AEB" w:rsidRDefault="00D43AEB" w:rsidP="00D43AEB">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Streams in UK’:</w:t>
            </w:r>
          </w:p>
          <w:p w14:paraId="66563F11" w14:textId="1B06F7F5" w:rsidR="00D43AEB" w:rsidRPr="00353F98" w:rsidRDefault="00D43AEB" w:rsidP="00D43AEB">
            <w:pPr>
              <w:cnfStyle w:val="000000100000" w:firstRow="0" w:lastRow="0" w:firstColumn="0" w:lastColumn="0" w:oddVBand="0" w:evenVBand="0" w:oddHBand="1" w:evenHBand="0" w:firstRowFirstColumn="0" w:firstRowLastColumn="0" w:lastRowFirstColumn="0" w:lastRowLastColumn="0"/>
              <w:rPr>
                <w:sz w:val="18"/>
                <w:szCs w:val="18"/>
              </w:rPr>
            </w:pPr>
            <w:r w:rsidRPr="008078C4">
              <w:rPr>
                <w:sz w:val="18"/>
                <w:szCs w:val="18"/>
              </w:rPr>
              <w:t>3.8–57</w:t>
            </w:r>
            <w:r>
              <w:rPr>
                <w:sz w:val="18"/>
                <w:szCs w:val="18"/>
              </w:rPr>
              <w:t xml:space="preserve"> </w:t>
            </w:r>
            <w:r w:rsidRPr="008078C4">
              <w:rPr>
                <w:sz w:val="18"/>
                <w:szCs w:val="18"/>
              </w:rPr>
              <w:t xml:space="preserve"> μg L</w:t>
            </w:r>
            <w:r w:rsidRPr="008078C4">
              <w:rPr>
                <w:sz w:val="18"/>
                <w:szCs w:val="18"/>
                <w:vertAlign w:val="superscript"/>
              </w:rPr>
              <w:t>− 1</w:t>
            </w:r>
          </w:p>
        </w:tc>
      </w:tr>
      <w:tr w:rsidR="0017772D" w14:paraId="77EC08F4" w14:textId="77777777" w:rsidTr="00DA7035">
        <w:trPr>
          <w:trHeight w:val="276"/>
        </w:trPr>
        <w:tc>
          <w:tcPr>
            <w:cnfStyle w:val="001000000000" w:firstRow="0" w:lastRow="0" w:firstColumn="1" w:lastColumn="0" w:oddVBand="0" w:evenVBand="0" w:oddHBand="0" w:evenHBand="0" w:firstRowFirstColumn="0" w:firstRowLastColumn="0" w:lastRowFirstColumn="0" w:lastRowLastColumn="0"/>
            <w:tcW w:w="1987" w:type="dxa"/>
          </w:tcPr>
          <w:p w14:paraId="41DB3584" w14:textId="1C2DDBFB" w:rsidR="0017772D" w:rsidRPr="00A8714C" w:rsidRDefault="0017772D" w:rsidP="00D43AEB">
            <w:r>
              <w:t>Metaldehyde</w:t>
            </w:r>
          </w:p>
        </w:tc>
        <w:tc>
          <w:tcPr>
            <w:tcW w:w="1778" w:type="dxa"/>
          </w:tcPr>
          <w:p w14:paraId="11A0EDCF" w14:textId="57EC711F" w:rsidR="0017772D" w:rsidRPr="00353F98" w:rsidRDefault="0017772D" w:rsidP="00D43AEB">
            <w:pPr>
              <w:cnfStyle w:val="000000000000" w:firstRow="0" w:lastRow="0" w:firstColumn="0" w:lastColumn="0" w:oddVBand="0" w:evenVBand="0" w:oddHBand="0" w:evenHBand="0" w:firstRowFirstColumn="0" w:firstRowLastColumn="0" w:lastRowFirstColumn="0" w:lastRowLastColumn="0"/>
              <w:rPr>
                <w:sz w:val="18"/>
              </w:rPr>
            </w:pPr>
            <w:r>
              <w:rPr>
                <w:sz w:val="18"/>
              </w:rPr>
              <w:t xml:space="preserve">Most common molluscicide, </w:t>
            </w:r>
            <w:r w:rsidR="003C3E64">
              <w:rPr>
                <w:sz w:val="18"/>
              </w:rPr>
              <w:t>main cause of PCVs in UK</w:t>
            </w:r>
          </w:p>
        </w:tc>
        <w:tc>
          <w:tcPr>
            <w:tcW w:w="1549" w:type="dxa"/>
          </w:tcPr>
          <w:p w14:paraId="65CFE468" w14:textId="23EC7967" w:rsidR="0017772D" w:rsidRPr="00353F98" w:rsidRDefault="003C3E64" w:rsidP="00D43AEB">
            <w:pPr>
              <w:cnfStyle w:val="000000000000" w:firstRow="0" w:lastRow="0" w:firstColumn="0" w:lastColumn="0" w:oddVBand="0" w:evenVBand="0" w:oddHBand="0" w:evenHBand="0" w:firstRowFirstColumn="0" w:firstRowLastColumn="0" w:lastRowFirstColumn="0" w:lastRowLastColumn="0"/>
              <w:rPr>
                <w:sz w:val="18"/>
              </w:rPr>
            </w:pPr>
            <w:r>
              <w:rPr>
                <w:sz w:val="18"/>
              </w:rPr>
              <w:t xml:space="preserve">Inhibits </w:t>
            </w:r>
            <w:r w:rsidR="005D2F0E">
              <w:rPr>
                <w:sz w:val="18"/>
              </w:rPr>
              <w:t>metabolism/ damages CNS in molluscs, humans</w:t>
            </w:r>
          </w:p>
        </w:tc>
        <w:tc>
          <w:tcPr>
            <w:tcW w:w="1883" w:type="dxa"/>
          </w:tcPr>
          <w:p w14:paraId="363EF2E9" w14:textId="77777777" w:rsidR="0017772D" w:rsidRDefault="005D2F0E" w:rsidP="00D43AE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fldChar w:fldCharType="begin" w:fldLock="1"/>
            </w:r>
            <w:r>
              <w:rPr>
                <w:sz w:val="18"/>
                <w:szCs w:val="18"/>
              </w:rPr>
              <w:instrText>ADDIN CSL_CITATION { "citationItems" : [ { "id" : "ITEM-1", "itemData" : { "DOI" : "10.1111/1751-7915.12719", "ISSN" : "17517915", "author" : [ { "dropping-particle" : "", "family" : "Thomas", "given" : "John C.", "non-dropping-particle" : "", "parse-names" : false, "suffix" : "" }, { "dropping-particle" : "", "family" : "Helgason", "given" : "Thorunn", "non-dropping-particle" : "", "parse-names" : false, "suffix" : "" }, { "dropping-particle" : "", "family" : "Sinclair", "given" : "Chris J.", "non-dropping-particle" : "", "parse-names" : false, "suffix" : "" }, { "dropping-particle" : "", "family" : "Moir", "given" : "James W. B.", "non-dropping-particle" : "", "parse-names" : false, "suffix" : "" } ], "container-title" : "Microbial Biotechnology", "id" : "ITEM-1", "issue" : "6", "issued" : { "date-parts" : [ [ "2017", "11", "1" ] ] }, "page" : "1824-1829", "publisher" : "Wiley/Blackwell (10.1111)", "title" : "Isolation and characterization of metaldehyde-degrading bacteria from domestic soils", "type" : "article-journal", "volume" : "10" }, "uris" : [ "http://www.mendeley.com/documents/?uuid=8ccaf50e-ab82-31ee-89c0-930d0f13030e" ] } ], "mendeley" : { "formattedCitation" : "(Thomas &lt;i&gt;et al.&lt;/i&gt;, 2017)", "plainTextFormattedCitation" : "(Thomas et al., 2017)", "previouslyFormattedCitation" : "(Thomas &lt;i&gt;et al.&lt;/i&gt;, 2017)" }, "properties" : {  }, "schema" : "https://github.com/citation-style-language/schema/raw/master/csl-citation.json" }</w:instrText>
            </w:r>
            <w:r>
              <w:rPr>
                <w:sz w:val="18"/>
                <w:szCs w:val="18"/>
              </w:rPr>
              <w:fldChar w:fldCharType="separate"/>
            </w:r>
            <w:r w:rsidRPr="005D2F0E">
              <w:rPr>
                <w:noProof/>
                <w:sz w:val="18"/>
                <w:szCs w:val="18"/>
              </w:rPr>
              <w:t xml:space="preserve">(Thomas </w:t>
            </w:r>
            <w:r w:rsidRPr="005D2F0E">
              <w:rPr>
                <w:i/>
                <w:noProof/>
                <w:sz w:val="18"/>
                <w:szCs w:val="18"/>
              </w:rPr>
              <w:t>et al.</w:t>
            </w:r>
            <w:r w:rsidRPr="005D2F0E">
              <w:rPr>
                <w:noProof/>
                <w:sz w:val="18"/>
                <w:szCs w:val="18"/>
              </w:rPr>
              <w:t>, 2017)</w:t>
            </w:r>
            <w:r>
              <w:rPr>
                <w:sz w:val="18"/>
                <w:szCs w:val="18"/>
              </w:rPr>
              <w:fldChar w:fldCharType="end"/>
            </w:r>
          </w:p>
          <w:p w14:paraId="737A4B2F" w14:textId="4A1B09EA" w:rsidR="005D2F0E" w:rsidRDefault="005D2F0E" w:rsidP="00D43AE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The only paper on bacteria and </w:t>
            </w:r>
            <w:proofErr w:type="spellStart"/>
            <w:r>
              <w:rPr>
                <w:sz w:val="18"/>
                <w:szCs w:val="18"/>
              </w:rPr>
              <w:lastRenderedPageBreak/>
              <w:t>metaldehyde</w:t>
            </w:r>
            <w:proofErr w:type="spellEnd"/>
            <w:r>
              <w:rPr>
                <w:sz w:val="18"/>
                <w:szCs w:val="18"/>
              </w:rPr>
              <w:t xml:space="preserve"> out there!</w:t>
            </w:r>
          </w:p>
        </w:tc>
        <w:tc>
          <w:tcPr>
            <w:tcW w:w="2207" w:type="dxa"/>
          </w:tcPr>
          <w:p w14:paraId="6C30B4A0" w14:textId="77777777" w:rsidR="0017772D" w:rsidRDefault="005D2F0E" w:rsidP="00D43AE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Metaldehyde is not normally broken down by water processing or aquatic bacteria</w:t>
            </w:r>
          </w:p>
          <w:p w14:paraId="35A34F5F" w14:textId="690E41DE" w:rsidR="00A46D6B" w:rsidRDefault="00A46D6B" w:rsidP="00D43AE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lastRenderedPageBreak/>
              <w:t>But Acinetobacter E1 (soil) can use it as a food source!</w:t>
            </w:r>
          </w:p>
        </w:tc>
        <w:tc>
          <w:tcPr>
            <w:tcW w:w="1628" w:type="dxa"/>
          </w:tcPr>
          <w:p w14:paraId="70220397" w14:textId="77777777" w:rsidR="0017772D" w:rsidRDefault="00C60637" w:rsidP="00D43AEB">
            <w:pPr>
              <w:cnfStyle w:val="000000000000" w:firstRow="0" w:lastRow="0" w:firstColumn="0" w:lastColumn="0" w:oddVBand="0" w:evenVBand="0" w:oddHBand="0" w:evenHBand="0" w:firstRowFirstColumn="0" w:firstRowLastColumn="0" w:lastRowFirstColumn="0" w:lastRowLastColumn="0"/>
              <w:rPr>
                <w:sz w:val="18"/>
              </w:rPr>
            </w:pPr>
            <w:r>
              <w:rPr>
                <w:sz w:val="18"/>
              </w:rPr>
              <w:lastRenderedPageBreak/>
              <w:t xml:space="preserve">0-1000 </w:t>
            </w:r>
            <w:proofErr w:type="spellStart"/>
            <w:r>
              <w:rPr>
                <w:sz w:val="18"/>
              </w:rPr>
              <w:t>μ</w:t>
            </w:r>
            <w:r w:rsidR="00317194">
              <w:rPr>
                <w:sz w:val="18"/>
              </w:rPr>
              <w:t>M</w:t>
            </w:r>
            <w:proofErr w:type="spellEnd"/>
          </w:p>
          <w:p w14:paraId="5528CEBF" w14:textId="78B95B64" w:rsidR="00317194" w:rsidRDefault="00317194" w:rsidP="00D43AEB">
            <w:pPr>
              <w:cnfStyle w:val="000000000000" w:firstRow="0" w:lastRow="0" w:firstColumn="0" w:lastColumn="0" w:oddVBand="0" w:evenVBand="0" w:oddHBand="0" w:evenHBand="0" w:firstRowFirstColumn="0" w:firstRowLastColumn="0" w:lastRowFirstColumn="0" w:lastRowLastColumn="0"/>
              <w:rPr>
                <w:sz w:val="18"/>
              </w:rPr>
            </w:pPr>
            <w:r>
              <w:rPr>
                <w:sz w:val="18"/>
              </w:rPr>
              <w:t>(not that it’s directly comparable)</w:t>
            </w:r>
          </w:p>
        </w:tc>
        <w:tc>
          <w:tcPr>
            <w:tcW w:w="1239" w:type="dxa"/>
          </w:tcPr>
          <w:p w14:paraId="19904A0F" w14:textId="3C1CFBF8" w:rsidR="0017772D" w:rsidRDefault="00862030" w:rsidP="00D43AE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Mineral medium</w:t>
            </w:r>
          </w:p>
        </w:tc>
        <w:tc>
          <w:tcPr>
            <w:tcW w:w="2750" w:type="dxa"/>
          </w:tcPr>
          <w:p w14:paraId="5B1ECBB0" w14:textId="77777777" w:rsidR="0017772D" w:rsidRDefault="00317194" w:rsidP="00D43AE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0.018 μg.l</w:t>
            </w:r>
            <w:r w:rsidRPr="00317194">
              <w:rPr>
                <w:sz w:val="18"/>
                <w:szCs w:val="18"/>
                <w:vertAlign w:val="superscript"/>
              </w:rPr>
              <w:t>-1</w:t>
            </w:r>
            <w:r>
              <w:rPr>
                <w:sz w:val="18"/>
                <w:szCs w:val="18"/>
              </w:rPr>
              <w:t>(Sunningdale Tap Water)</w:t>
            </w:r>
          </w:p>
          <w:p w14:paraId="4F75DEAA" w14:textId="33B7D97B" w:rsidR="00410B02" w:rsidRPr="00317194" w:rsidRDefault="00410B02" w:rsidP="00D43AEB">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Present at </w:t>
            </w:r>
            <w:r w:rsidR="00FA7E6E">
              <w:rPr>
                <w:sz w:val="18"/>
                <w:szCs w:val="18"/>
              </w:rPr>
              <w:t>3-8% in commercial formulations, adjuvants unknown</w:t>
            </w:r>
          </w:p>
        </w:tc>
      </w:tr>
      <w:tr w:rsidR="004C409E" w14:paraId="37407436" w14:textId="77777777" w:rsidTr="00DA7035">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987" w:type="dxa"/>
          </w:tcPr>
          <w:p w14:paraId="7715B72E" w14:textId="11AD7BA4" w:rsidR="004C409E" w:rsidRDefault="004C409E" w:rsidP="004C409E">
            <w:r>
              <w:t>Benzene</w:t>
            </w:r>
          </w:p>
        </w:tc>
        <w:tc>
          <w:tcPr>
            <w:tcW w:w="1778" w:type="dxa"/>
          </w:tcPr>
          <w:p w14:paraId="17214FE2" w14:textId="320E7F45" w:rsidR="004C409E" w:rsidRDefault="004C409E" w:rsidP="004C409E">
            <w:pPr>
              <w:cnfStyle w:val="000000100000" w:firstRow="0" w:lastRow="0" w:firstColumn="0" w:lastColumn="0" w:oddVBand="0" w:evenVBand="0" w:oddHBand="1" w:evenHBand="0" w:firstRowFirstColumn="0" w:firstRowLastColumn="0" w:lastRowFirstColumn="0" w:lastRowLastColumn="0"/>
              <w:rPr>
                <w:sz w:val="18"/>
              </w:rPr>
            </w:pPr>
            <w:r>
              <w:rPr>
                <w:sz w:val="18"/>
              </w:rPr>
              <w:t>PAH petrol additive, used as stock in many synthesis pipelines</w:t>
            </w:r>
          </w:p>
        </w:tc>
        <w:tc>
          <w:tcPr>
            <w:tcW w:w="1549" w:type="dxa"/>
          </w:tcPr>
          <w:p w14:paraId="7402416D" w14:textId="54E3B50F" w:rsidR="004C409E" w:rsidRDefault="004C409E" w:rsidP="004C409E">
            <w:pPr>
              <w:cnfStyle w:val="000000100000" w:firstRow="0" w:lastRow="0" w:firstColumn="0" w:lastColumn="0" w:oddVBand="0" w:evenVBand="0" w:oddHBand="1" w:evenHBand="0" w:firstRowFirstColumn="0" w:firstRowLastColumn="0" w:lastRowFirstColumn="0" w:lastRowLastColumn="0"/>
              <w:rPr>
                <w:sz w:val="18"/>
              </w:rPr>
            </w:pPr>
            <w:r>
              <w:rPr>
                <w:sz w:val="18"/>
              </w:rPr>
              <w:t>Mutagenesis</w:t>
            </w:r>
          </w:p>
        </w:tc>
        <w:tc>
          <w:tcPr>
            <w:tcW w:w="1883" w:type="dxa"/>
          </w:tcPr>
          <w:p w14:paraId="1594F8DF" w14:textId="09BA1BDD" w:rsidR="007D1857" w:rsidRDefault="004C409E" w:rsidP="007D1857">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fldChar w:fldCharType="begin" w:fldLock="1"/>
            </w:r>
            <w:r w:rsidR="007D1857">
              <w:rPr>
                <w:sz w:val="18"/>
                <w:szCs w:val="18"/>
              </w:rPr>
              <w:instrText>ADDIN CSL_CITATION { "citationItems" : [ { "id" : "ITEM-1", "itemData" : { "DOI" : "10.1016/J.CHEMOSPHERE.2006.06.031", "ISSN" : "0045-6535", "abstract" : "Despite the fact that creosote mainly consists of polycyclic aromatic hydrocarbons (PAHs), more polar compounds like phenolics, benzenes and N-, S-, O-heterocyclics dominate the groundwater downstream from creosote-contaminated sites. In this study, bioassay-directed fractionation, combined with fullscan GC\u2013MS, identified organic toxicants in creosote-contaminated groundwater. An organic extract of creosote-contaminated groundwater was fractionated on a polar silica column using high performance liquid chromatography (HPLC), and the toxicity of the fractions was measured by the Microtox\u00ae-bioassay. PAHs, which comprise up to 85% of pure creosote, accounted for only about 13% of total toxicity in the creosote-contaminated groundwater, while methylated benzenes, phenolics and N-heterocyclics accounted for ca. 80% of the measured toxicity. The fraction containing alkylated quinolines was the most toxic single fraction, accounting for 26% of the total measured toxicity. The results imply that focus on PAHs may underestimate risks associated with creosote-contaminated groundwater, and that environmental risk assessment should focus to a higher degree on substituted PAHs and phenolics because they are more toxic than the unsubstituted ones. Additionally, benzenes and N-heterocyclics (e.g., alkylated quinolines) should be assessed.", "author" : [ { "dropping-particle" : "", "family" : "Hartnik", "given" : "Thomas", "non-dropping-particle" : "", "parse-names" : false, "suffix" : "" }, { "dropping-particle" : "", "family" : "Norli", "given" : "Hans Ragnar", "non-dropping-particle" : "", "parse-names" : false, "suffix" : "" }, { "dropping-particle" : "", "family" : "Eggen", "given" : "Trine", "non-dropping-particle" : "", "parse-names" : false, "suffix" : "" }, { "dropping-particle" : "", "family" : "Breedveld", "given" : "Gijsbert D.", "non-dropping-particle" : "", "parse-names" : false, "suffix" : "" } ], "container-title" : "Chemosphere", "id" : "ITEM-1", "issue" : "3", "issued" : { "date-parts" : [ [ "2007", "1", "1" ] ] }, "page" : "435-443", "publisher" : "Pergamon", "title" : "Bioassay-directed identification of toxic organic compounds in creosote-contaminated groundwater", "type" : "article-journal", "volume" : "66" }, "uris" : [ "http://www.mendeley.com/documents/?uuid=7ebe31e6-d1ae-3112-8b1a-88efc0b6dcba" ] }, { "id" : "ITEM-2", "itemData" : { "DOI" : "10.1016/j.jhazmat.2009.03.137", "abstract" : "a b s t r a c t PAHs are aromatic hydrocarbons with two or more fused benzene rings with natural as well as anthropogenic sources. They are widely distributed environmental contaminants that have detrimen-tal biological effects, toxicity, mutagenecity and carcinogenicity. Due to their ubiquitous occurrence, recalcitrance, bioaccumulation potential and carcinogenic activity, the PAHs have gathered significant environmental concern. Although PAH may undergo adsorption, volatilization, photolysis, and chemical degradation, microbial degradation is the major degradation process. PAH degradation depends on the environmental conditions, number and type of the microorganisms, nature and chemical structure of the chemical compound being degraded. They are biodegraded/biotransformed into less complex metabo-lites, and through mineralization into inorganic minerals, H 2 O, CO 2 (aerobic) or CH 4 (anaerobic) and rate of biodegradation depends on pH, temperature, oxygen, microbial population, degree of acclima-tion, accessibility of nutrients, chemical structure of the compound, cellular transport properties, and chemical partitioning in growth medium. A number of bacterial species are known to degrade PAHs and most of them are isolated from contaminated soil or sediments. Pseudomonas aeruginosa, Pseudomons fluoresens, Mycobacterium spp., Haemophilus spp., Rhodococcus spp., Paenibacillus spp. are some of the commonly studied PAH-degrading bacteria. Lignolytic fungi too have the property of PAH degradation. Phanerochaete chrysosporium, Bjerkandera adusta, and Pleurotus ostreatus are the common PAH-degrading fungi. Enzymes involved in the degradation of PAHs are oxygenase, dehydrogenase and lignolytic enzymes. Fungal lignolytic enzymes are lignin peroxidase, laccase, and manganese peroxidase. They are extracel-lular and catalyze radical formation by oxidation to destabilize bonds in a molecule. The biodegradation of PAHs has been observed under both aerobic and anaerobic conditions and the rate can be enhanced by physical/chemical pretreatment of contaminated soil. Addition of biosurfactant-producing bacteria and light oils can increase the bioavailability of PAHs and metabolic potential of the bacterial community. The supplementation of contaminated soils with compost materials can also enhance biodegradation without long-term accumulation of extractable polar and more available intermediates. Wetlands, too, have found an application in PAH removal from wastewater. \u2026", "author" : [ { "dropping-particle" : "", "family" : "Haritash", "given" : "A K", "non-dropping-particle" : "", "parse-names" : false, "suffix" : "" }, { "dropping-particle" : "", "family" : "Kaushik", "given" : "C P", "non-dropping-particle" : "", "parse-names" : false, "suffix" : "" } ], "container-title" : "Journal of Hazardous Materials", "id" : "ITEM-2", "issued" : { "date-parts" : [ [ "2009" ] ] }, "page" : "1-15", "title" : "Biodegradation aspects of Polycyclic Aromatic Hydrocarbons (PAHs): A review", "type" : "article-journal", "volume" : "169" }, "uris" : [ "http://www.mendeley.com/documents/?uuid=cb453e81-8f83-3a26-b533-014de2217afb" ] } ], "mendeley" : { "formattedCitation" : "(Hartnik &lt;i&gt;et al.&lt;/i&gt;, 2007; Haritash and Kaushik, 2009)", "plainTextFormattedCitation" : "(Hartnik et al., 2007; Haritash and Kaushik, 2009)", "previouslyFormattedCitation" : "(Hartnik &lt;i&gt;et al.&lt;/i&gt;, 2007; Haritash and Kaushik, 2009)" }, "properties" : {  }, "schema" : "https://github.com/citation-style-language/schema/raw/master/csl-citation.json" }</w:instrText>
            </w:r>
            <w:r>
              <w:rPr>
                <w:sz w:val="18"/>
                <w:szCs w:val="18"/>
              </w:rPr>
              <w:fldChar w:fldCharType="separate"/>
            </w:r>
            <w:r w:rsidR="007D1857" w:rsidRPr="007D1857">
              <w:rPr>
                <w:noProof/>
                <w:sz w:val="18"/>
                <w:szCs w:val="18"/>
              </w:rPr>
              <w:t xml:space="preserve">(Hartnik </w:t>
            </w:r>
            <w:r w:rsidR="007D1857" w:rsidRPr="007D1857">
              <w:rPr>
                <w:i/>
                <w:noProof/>
                <w:sz w:val="18"/>
                <w:szCs w:val="18"/>
              </w:rPr>
              <w:t>et al.</w:t>
            </w:r>
            <w:r w:rsidR="007D1857" w:rsidRPr="007D1857">
              <w:rPr>
                <w:noProof/>
                <w:sz w:val="18"/>
                <w:szCs w:val="18"/>
              </w:rPr>
              <w:t>, 2007; Haritash and Kaushik, 2009)</w:t>
            </w:r>
            <w:r>
              <w:rPr>
                <w:sz w:val="18"/>
                <w:szCs w:val="18"/>
              </w:rPr>
              <w:fldChar w:fldCharType="end"/>
            </w:r>
            <w:r w:rsidR="007D1857">
              <w:rPr>
                <w:sz w:val="18"/>
                <w:szCs w:val="18"/>
              </w:rPr>
              <w:t xml:space="preserve"> </w:t>
            </w:r>
          </w:p>
        </w:tc>
        <w:tc>
          <w:tcPr>
            <w:tcW w:w="2207" w:type="dxa"/>
          </w:tcPr>
          <w:p w14:paraId="5F16977B" w14:textId="77777777" w:rsidR="004C409E" w:rsidRDefault="004C409E" w:rsidP="004C409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 xml:space="preserve">Inhibition of luminescence in </w:t>
            </w:r>
            <w:r w:rsidRPr="001076A1">
              <w:rPr>
                <w:i/>
                <w:sz w:val="18"/>
                <w:szCs w:val="18"/>
              </w:rPr>
              <w:t xml:space="preserve">V. </w:t>
            </w:r>
            <w:proofErr w:type="spellStart"/>
            <w:r w:rsidRPr="001076A1">
              <w:rPr>
                <w:i/>
                <w:sz w:val="18"/>
                <w:szCs w:val="18"/>
              </w:rPr>
              <w:t>fischeri</w:t>
            </w:r>
            <w:proofErr w:type="spellEnd"/>
            <w:r>
              <w:rPr>
                <w:sz w:val="18"/>
                <w:szCs w:val="18"/>
              </w:rPr>
              <w:t xml:space="preserve"> in </w:t>
            </w:r>
            <w:r>
              <w:rPr>
                <w:sz w:val="18"/>
                <w:szCs w:val="18"/>
              </w:rPr>
              <w:t>15</w:t>
            </w:r>
            <w:r>
              <w:rPr>
                <w:sz w:val="18"/>
                <w:szCs w:val="18"/>
              </w:rPr>
              <w:t xml:space="preserve"> minutes</w:t>
            </w:r>
          </w:p>
          <w:p w14:paraId="0F1C49AC" w14:textId="47C2449B" w:rsidR="007D1857" w:rsidRDefault="007D1857" w:rsidP="004C409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Many aquatic bacteria are known to degrade benzene</w:t>
            </w:r>
          </w:p>
        </w:tc>
        <w:tc>
          <w:tcPr>
            <w:tcW w:w="1628" w:type="dxa"/>
          </w:tcPr>
          <w:p w14:paraId="4B4309F9" w14:textId="1E5E300A" w:rsidR="004C409E" w:rsidRDefault="00DB6AFF" w:rsidP="004C409E">
            <w:pPr>
              <w:cnfStyle w:val="000000100000" w:firstRow="0" w:lastRow="0" w:firstColumn="0" w:lastColumn="0" w:oddVBand="0" w:evenVBand="0" w:oddHBand="1" w:evenHBand="0" w:firstRowFirstColumn="0" w:firstRowLastColumn="0" w:lastRowFirstColumn="0" w:lastRowLastColumn="0"/>
              <w:rPr>
                <w:sz w:val="18"/>
              </w:rPr>
            </w:pPr>
            <w:r>
              <w:rPr>
                <w:sz w:val="18"/>
              </w:rPr>
              <w:t xml:space="preserve">EC50 </w:t>
            </w:r>
            <w:r w:rsidRPr="00DB6AFF">
              <w:rPr>
                <w:sz w:val="18"/>
              </w:rPr>
              <w:t>102.78</w:t>
            </w:r>
            <w:r>
              <w:rPr>
                <w:sz w:val="18"/>
              </w:rPr>
              <w:t xml:space="preserve"> mg.l</w:t>
            </w:r>
            <w:r w:rsidRPr="00DB6AFF">
              <w:rPr>
                <w:sz w:val="18"/>
                <w:vertAlign w:val="superscript"/>
              </w:rPr>
              <w:t>-1</w:t>
            </w:r>
          </w:p>
        </w:tc>
        <w:tc>
          <w:tcPr>
            <w:tcW w:w="1239" w:type="dxa"/>
          </w:tcPr>
          <w:p w14:paraId="65E28207" w14:textId="04304D42" w:rsidR="004C409E" w:rsidRDefault="004C409E" w:rsidP="004C409E">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DMSO</w:t>
            </w:r>
          </w:p>
        </w:tc>
        <w:tc>
          <w:tcPr>
            <w:tcW w:w="2750" w:type="dxa"/>
          </w:tcPr>
          <w:p w14:paraId="07FCCB46" w14:textId="6C206B90" w:rsidR="007642D9" w:rsidRDefault="007642D9" w:rsidP="007642D9">
            <w:pPr>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0.0</w:t>
            </w:r>
            <w:r>
              <w:rPr>
                <w:sz w:val="18"/>
                <w:szCs w:val="18"/>
              </w:rPr>
              <w:t>2</w:t>
            </w:r>
            <w:r>
              <w:rPr>
                <w:sz w:val="18"/>
                <w:szCs w:val="18"/>
              </w:rPr>
              <w:t xml:space="preserve"> μg.l</w:t>
            </w:r>
            <w:r w:rsidRPr="00317194">
              <w:rPr>
                <w:sz w:val="18"/>
                <w:szCs w:val="18"/>
                <w:vertAlign w:val="superscript"/>
              </w:rPr>
              <w:t>-1</w:t>
            </w:r>
            <w:r w:rsidR="007D1857">
              <w:rPr>
                <w:sz w:val="18"/>
                <w:szCs w:val="18"/>
              </w:rPr>
              <w:t xml:space="preserve"> </w:t>
            </w:r>
            <w:bookmarkStart w:id="0" w:name="_GoBack"/>
            <w:bookmarkEnd w:id="0"/>
            <w:r>
              <w:rPr>
                <w:sz w:val="18"/>
                <w:szCs w:val="18"/>
              </w:rPr>
              <w:t>(Sunningdale Tap Water)</w:t>
            </w:r>
          </w:p>
          <w:p w14:paraId="3DA327F3" w14:textId="77777777" w:rsidR="004C409E" w:rsidRDefault="004C409E" w:rsidP="004C409E">
            <w:pPr>
              <w:cnfStyle w:val="000000100000" w:firstRow="0" w:lastRow="0" w:firstColumn="0" w:lastColumn="0" w:oddVBand="0" w:evenVBand="0" w:oddHBand="1" w:evenHBand="0" w:firstRowFirstColumn="0" w:firstRowLastColumn="0" w:lastRowFirstColumn="0" w:lastRowLastColumn="0"/>
              <w:rPr>
                <w:sz w:val="18"/>
                <w:szCs w:val="18"/>
              </w:rPr>
            </w:pPr>
          </w:p>
        </w:tc>
      </w:tr>
    </w:tbl>
    <w:p w14:paraId="63834BCA" w14:textId="77777777" w:rsidR="001916E1" w:rsidRDefault="001916E1"/>
    <w:sectPr w:rsidR="001916E1" w:rsidSect="00C63326">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913"/>
    <w:rsid w:val="0000308B"/>
    <w:rsid w:val="00011BB1"/>
    <w:rsid w:val="0001644A"/>
    <w:rsid w:val="00032577"/>
    <w:rsid w:val="000402F9"/>
    <w:rsid w:val="0004463E"/>
    <w:rsid w:val="000552E5"/>
    <w:rsid w:val="00081477"/>
    <w:rsid w:val="000820B9"/>
    <w:rsid w:val="00083B7B"/>
    <w:rsid w:val="000A6982"/>
    <w:rsid w:val="000A7B72"/>
    <w:rsid w:val="000B03BA"/>
    <w:rsid w:val="000B7518"/>
    <w:rsid w:val="000B75C7"/>
    <w:rsid w:val="000C4873"/>
    <w:rsid w:val="000D0172"/>
    <w:rsid w:val="000D03BC"/>
    <w:rsid w:val="000D5565"/>
    <w:rsid w:val="000E5CF0"/>
    <w:rsid w:val="000F44F0"/>
    <w:rsid w:val="0010465C"/>
    <w:rsid w:val="00104F33"/>
    <w:rsid w:val="001076A1"/>
    <w:rsid w:val="00114CA8"/>
    <w:rsid w:val="0012215C"/>
    <w:rsid w:val="00122B45"/>
    <w:rsid w:val="0012501D"/>
    <w:rsid w:val="00127648"/>
    <w:rsid w:val="001360BB"/>
    <w:rsid w:val="001408F6"/>
    <w:rsid w:val="001409C2"/>
    <w:rsid w:val="0015272F"/>
    <w:rsid w:val="0017381B"/>
    <w:rsid w:val="0017772D"/>
    <w:rsid w:val="001801D9"/>
    <w:rsid w:val="001916E1"/>
    <w:rsid w:val="001B0675"/>
    <w:rsid w:val="001B4A5D"/>
    <w:rsid w:val="001C7035"/>
    <w:rsid w:val="001E7E68"/>
    <w:rsid w:val="00204DD5"/>
    <w:rsid w:val="00234990"/>
    <w:rsid w:val="00251337"/>
    <w:rsid w:val="0025734E"/>
    <w:rsid w:val="00262A75"/>
    <w:rsid w:val="00265641"/>
    <w:rsid w:val="002777FC"/>
    <w:rsid w:val="00281713"/>
    <w:rsid w:val="002C6AB5"/>
    <w:rsid w:val="002D3B7E"/>
    <w:rsid w:val="00317194"/>
    <w:rsid w:val="003179D7"/>
    <w:rsid w:val="0032265D"/>
    <w:rsid w:val="003249C8"/>
    <w:rsid w:val="00331AE2"/>
    <w:rsid w:val="003507EF"/>
    <w:rsid w:val="00353F98"/>
    <w:rsid w:val="003662EC"/>
    <w:rsid w:val="0037585A"/>
    <w:rsid w:val="003A7406"/>
    <w:rsid w:val="003A7E82"/>
    <w:rsid w:val="003B07A1"/>
    <w:rsid w:val="003B3C0F"/>
    <w:rsid w:val="003C3E64"/>
    <w:rsid w:val="003C7FC1"/>
    <w:rsid w:val="003E6C62"/>
    <w:rsid w:val="00410B02"/>
    <w:rsid w:val="00412353"/>
    <w:rsid w:val="00436334"/>
    <w:rsid w:val="00447101"/>
    <w:rsid w:val="004634E3"/>
    <w:rsid w:val="00483606"/>
    <w:rsid w:val="00484255"/>
    <w:rsid w:val="004A0EDF"/>
    <w:rsid w:val="004A30FC"/>
    <w:rsid w:val="004A62AF"/>
    <w:rsid w:val="004B5980"/>
    <w:rsid w:val="004C409E"/>
    <w:rsid w:val="004D632C"/>
    <w:rsid w:val="004E1786"/>
    <w:rsid w:val="004E3735"/>
    <w:rsid w:val="004E74DB"/>
    <w:rsid w:val="00546B24"/>
    <w:rsid w:val="00551CA0"/>
    <w:rsid w:val="00556A7F"/>
    <w:rsid w:val="0057181B"/>
    <w:rsid w:val="005A4B07"/>
    <w:rsid w:val="005D2F0E"/>
    <w:rsid w:val="005F1E11"/>
    <w:rsid w:val="00607063"/>
    <w:rsid w:val="0061081C"/>
    <w:rsid w:val="00612F99"/>
    <w:rsid w:val="006365A4"/>
    <w:rsid w:val="00656171"/>
    <w:rsid w:val="006567C0"/>
    <w:rsid w:val="00656955"/>
    <w:rsid w:val="0066270A"/>
    <w:rsid w:val="006640BF"/>
    <w:rsid w:val="0066692B"/>
    <w:rsid w:val="00682913"/>
    <w:rsid w:val="006869E1"/>
    <w:rsid w:val="00697725"/>
    <w:rsid w:val="006B2C3A"/>
    <w:rsid w:val="006F3175"/>
    <w:rsid w:val="0070143E"/>
    <w:rsid w:val="007365FF"/>
    <w:rsid w:val="00740454"/>
    <w:rsid w:val="00744FC4"/>
    <w:rsid w:val="007524ED"/>
    <w:rsid w:val="007642D9"/>
    <w:rsid w:val="007759B2"/>
    <w:rsid w:val="007859C7"/>
    <w:rsid w:val="007861EA"/>
    <w:rsid w:val="00792ED3"/>
    <w:rsid w:val="00796C61"/>
    <w:rsid w:val="007A41C0"/>
    <w:rsid w:val="007D1857"/>
    <w:rsid w:val="007D2F58"/>
    <w:rsid w:val="007E0D87"/>
    <w:rsid w:val="007E27E5"/>
    <w:rsid w:val="00803936"/>
    <w:rsid w:val="008078C4"/>
    <w:rsid w:val="00820A61"/>
    <w:rsid w:val="00826348"/>
    <w:rsid w:val="00830426"/>
    <w:rsid w:val="008308C9"/>
    <w:rsid w:val="008368AF"/>
    <w:rsid w:val="0085378E"/>
    <w:rsid w:val="00862030"/>
    <w:rsid w:val="008639EE"/>
    <w:rsid w:val="00863A0C"/>
    <w:rsid w:val="008739D8"/>
    <w:rsid w:val="0088404E"/>
    <w:rsid w:val="00884159"/>
    <w:rsid w:val="0089737B"/>
    <w:rsid w:val="008B7B37"/>
    <w:rsid w:val="008C32F2"/>
    <w:rsid w:val="008C692C"/>
    <w:rsid w:val="008C6F96"/>
    <w:rsid w:val="008D0EAA"/>
    <w:rsid w:val="008E657E"/>
    <w:rsid w:val="008F4E3F"/>
    <w:rsid w:val="00902572"/>
    <w:rsid w:val="00912A59"/>
    <w:rsid w:val="00913873"/>
    <w:rsid w:val="00923281"/>
    <w:rsid w:val="0093508C"/>
    <w:rsid w:val="00960623"/>
    <w:rsid w:val="0098153F"/>
    <w:rsid w:val="0098566A"/>
    <w:rsid w:val="00990F70"/>
    <w:rsid w:val="00993B87"/>
    <w:rsid w:val="009F574E"/>
    <w:rsid w:val="00A02A26"/>
    <w:rsid w:val="00A16FB1"/>
    <w:rsid w:val="00A3251D"/>
    <w:rsid w:val="00A403DD"/>
    <w:rsid w:val="00A46D6B"/>
    <w:rsid w:val="00A617D9"/>
    <w:rsid w:val="00A8371B"/>
    <w:rsid w:val="00A8714C"/>
    <w:rsid w:val="00A90D48"/>
    <w:rsid w:val="00A91B7C"/>
    <w:rsid w:val="00A97DC4"/>
    <w:rsid w:val="00AA2D51"/>
    <w:rsid w:val="00AB6146"/>
    <w:rsid w:val="00AE00BF"/>
    <w:rsid w:val="00AE268D"/>
    <w:rsid w:val="00AF2DCE"/>
    <w:rsid w:val="00AF5864"/>
    <w:rsid w:val="00AF7915"/>
    <w:rsid w:val="00B14AAC"/>
    <w:rsid w:val="00B36B4D"/>
    <w:rsid w:val="00B56868"/>
    <w:rsid w:val="00BA6E83"/>
    <w:rsid w:val="00BB5579"/>
    <w:rsid w:val="00BC1A0E"/>
    <w:rsid w:val="00BC3020"/>
    <w:rsid w:val="00BC639A"/>
    <w:rsid w:val="00C03BA1"/>
    <w:rsid w:val="00C50484"/>
    <w:rsid w:val="00C60637"/>
    <w:rsid w:val="00C63326"/>
    <w:rsid w:val="00C64BB1"/>
    <w:rsid w:val="00C72D33"/>
    <w:rsid w:val="00C76767"/>
    <w:rsid w:val="00C84067"/>
    <w:rsid w:val="00C878E1"/>
    <w:rsid w:val="00C903F0"/>
    <w:rsid w:val="00C95CA7"/>
    <w:rsid w:val="00C97AD1"/>
    <w:rsid w:val="00CA151E"/>
    <w:rsid w:val="00CA3310"/>
    <w:rsid w:val="00CC0DF5"/>
    <w:rsid w:val="00CE1771"/>
    <w:rsid w:val="00CE5537"/>
    <w:rsid w:val="00CE6208"/>
    <w:rsid w:val="00CF33FF"/>
    <w:rsid w:val="00CF69BC"/>
    <w:rsid w:val="00D001D4"/>
    <w:rsid w:val="00D02544"/>
    <w:rsid w:val="00D26269"/>
    <w:rsid w:val="00D33180"/>
    <w:rsid w:val="00D343E1"/>
    <w:rsid w:val="00D43AEB"/>
    <w:rsid w:val="00D6127C"/>
    <w:rsid w:val="00D70C50"/>
    <w:rsid w:val="00D745B7"/>
    <w:rsid w:val="00DA6762"/>
    <w:rsid w:val="00DA7035"/>
    <w:rsid w:val="00DB1B6C"/>
    <w:rsid w:val="00DB31DA"/>
    <w:rsid w:val="00DB481A"/>
    <w:rsid w:val="00DB6AFF"/>
    <w:rsid w:val="00DD542C"/>
    <w:rsid w:val="00E14415"/>
    <w:rsid w:val="00E149BD"/>
    <w:rsid w:val="00E15ECF"/>
    <w:rsid w:val="00E46194"/>
    <w:rsid w:val="00E53B17"/>
    <w:rsid w:val="00E64588"/>
    <w:rsid w:val="00E901B5"/>
    <w:rsid w:val="00E97F60"/>
    <w:rsid w:val="00EA2D3E"/>
    <w:rsid w:val="00EA728E"/>
    <w:rsid w:val="00EF0F60"/>
    <w:rsid w:val="00EF4548"/>
    <w:rsid w:val="00F073C9"/>
    <w:rsid w:val="00F27800"/>
    <w:rsid w:val="00F3066B"/>
    <w:rsid w:val="00F3068C"/>
    <w:rsid w:val="00F37475"/>
    <w:rsid w:val="00F41098"/>
    <w:rsid w:val="00F45DCD"/>
    <w:rsid w:val="00F675C4"/>
    <w:rsid w:val="00F85620"/>
    <w:rsid w:val="00FA09F7"/>
    <w:rsid w:val="00FA7E6E"/>
    <w:rsid w:val="00FC51C2"/>
    <w:rsid w:val="00FD1ECE"/>
    <w:rsid w:val="00FE0425"/>
    <w:rsid w:val="00FF64D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8ECDE"/>
  <w15:chartTrackingRefBased/>
  <w15:docId w15:val="{074D592A-7454-4E21-B8B6-362638E76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29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6829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F45D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7918272">
      <w:bodyDiv w:val="1"/>
      <w:marLeft w:val="0"/>
      <w:marRight w:val="0"/>
      <w:marTop w:val="0"/>
      <w:marBottom w:val="0"/>
      <w:divBdr>
        <w:top w:val="none" w:sz="0" w:space="0" w:color="auto"/>
        <w:left w:val="none" w:sz="0" w:space="0" w:color="auto"/>
        <w:bottom w:val="none" w:sz="0" w:space="0" w:color="auto"/>
        <w:right w:val="none" w:sz="0" w:space="0" w:color="auto"/>
      </w:divBdr>
    </w:div>
    <w:div w:id="1570268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4B321-DA31-4C96-A614-26954EE97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2020</TotalTime>
  <Pages>2</Pages>
  <Words>8714</Words>
  <Characters>49670</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Welch</dc:creator>
  <cp:keywords/>
  <dc:description/>
  <cp:lastModifiedBy>Sam Welch</cp:lastModifiedBy>
  <cp:revision>36</cp:revision>
  <dcterms:created xsi:type="dcterms:W3CDTF">2018-04-21T08:04:00Z</dcterms:created>
  <dcterms:modified xsi:type="dcterms:W3CDTF">2018-04-28T11:22:00Z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98e312dc-5aa8-3b38-82af-9866120b6f2b</vt:lpwstr>
  </property>
  <property fmtid="{D5CDD505-2E9C-101B-9397-08002B2CF9AE}" pid="24" name="Mendeley Citation Style_1">
    <vt:lpwstr>http://www.zotero.org/styles/harvard-cite-them-right</vt:lpwstr>
  </property>
</Properties>
</file>