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Dokumentation – Einspeicherung mit Worst-Case-Gemisch</w:t>
      </w:r>
    </w:p>
    <w:p>
      <w:pPr>
        <w:pStyle w:val="Subtitle"/>
      </w:pPr>
      <w:r>
        <w:t>Gemisch-Szenario im Überblick: Zusammensetzung, Phasengrenze, Gassäule und Kopfdruck, dichte Anlieferung S1, Einordnung von S2</w:t>
      </w:r>
    </w:p>
    <w:p>
      <w:pPr>
        <w:pStyle w:val="Date"/>
      </w:pPr>
      <w:r>
        <w:t>Stand: 02.10.2026 · CoolProp 8.0.0 · Skripte 03_S1_pumpe_gemisch.py und 03_S2_verdichtung_kuehlung_pumpe_gemisch.py (Ordner Prozesskette) · Excel: CO2_Einspeicherpfad_Rechenuebersicht_Gemisch.xlsx</w:t>
      </w:r>
    </w:p>
    <w:p>
      <w:pPr>
        <w:pStyle w:val="FirstParagraph"/>
      </w:pPr>
      <w:r>
        <w:rPr>
          <w:b w:val="0"/>
        </w:rPr>
        <w:t>Diese Dokumentation fasst das Gemisch-Szenario der Einspeicherung zusammen. Zwei Themen haben eigene Dokumentationen: die Stoffmodelle und ihre Validierung (Dokumentation_Stoffmodelle_Validierung.docx) und die Wahl des Wegs bei gasförmiger Anlieferung (Dokumentation_S2_Gemisch.docx). Hier steht alles Übrige: was das Gemisch gegenüber reinem CO₂ ändert, die Gassäule und der Druck am Bohrlochkopf, die dichte Anlieferung S1 und die Ergebnisse von S2 im Vergleich.</w:t>
      </w:r>
    </w:p>
    <w:p>
      <w:pPr>
        <w:pStyle w:val="Heading1"/>
      </w:pPr>
      <w:r>
        <w:t>1 Ergebnis in Kürze</w:t>
      </w:r>
    </w:p>
    <w:p>
      <w:pPr>
        <w:pStyle w:val="TableCaption"/>
      </w:pPr>
      <w:r>
        <w:rPr>
          <w:b w:val="0"/>
        </w:rPr>
        <w:t>Tabelle 1: Die wichtigsten Ergebnisse des Gemisch-Szenarios</w:t>
      </w:r>
    </w:p>
    <w:tbl>
      <w:tblPr>
        <w:tblW w:type="auto" w:w="0"/>
        <w:tblLayout w:type="fixed"/>
        <w:tblLook w:firstColumn="1" w:firstRow="1" w:lastColumn="0" w:lastRow="0" w:noHBand="0" w:noVBand="1" w:val="04A0"/>
      </w:tblPr>
      <w:tblGrid>
        <w:gridCol w:w="2835"/>
        <w:gridCol w:w="6236"/>
      </w:tblGrid>
      <w:tr>
        <w:trPr>
          <w:tblHeader w:val="on"/>
        </w:trPr>
        <w:tc>
          <w:tcPr>
            <w:tcW w:type="dxa" w:w="2835"/>
          </w:tcPr>
          <w:p>
            <w:pPr>
              <w:pStyle w:val="Compact"/>
            </w:pPr>
            <w:r>
              <w:rPr>
                <w:b/>
              </w:rPr>
              <w:t>Frage</w:t>
            </w:r>
          </w:p>
        </w:tc>
        <w:tc>
          <w:tcPr>
            <w:tcW w:type="dxa" w:w="6236"/>
          </w:tcPr>
          <w:p>
            <w:pPr>
              <w:pStyle w:val="Compact"/>
            </w:pPr>
            <w:r>
              <w:rPr>
                <w:b/>
              </w:rPr>
              <w:t>Ergebnis</w:t>
            </w:r>
          </w:p>
        </w:tc>
      </w:tr>
      <w:tr>
        <w:tc>
          <w:tcPr>
            <w:tcW w:type="dxa" w:w="2835"/>
          </w:tcPr>
          <w:p>
            <w:pPr>
              <w:pStyle w:val="Compact"/>
            </w:pPr>
            <w:r>
              <w:rPr>
                <w:b w:val="0"/>
              </w:rPr>
              <w:t>Welches Gemisch?</w:t>
            </w:r>
          </w:p>
        </w:tc>
        <w:tc>
          <w:tcPr>
            <w:tcW w:type="dxa" w:w="6236"/>
          </w:tcPr>
          <w:p>
            <w:pPr>
              <w:pStyle w:val="Compact"/>
            </w:pPr>
            <w:r>
              <w:rPr>
                <w:b w:val="0"/>
              </w:rPr>
              <w:t>95 % CO₂ + 5 % Begleitstoffe (2,4 % N₂, 1 % Ar, 1 % CH₄, 0,5 % H₂, 0,1 % CO; mol-%) – Grenze der DIN EN 18397</w:t>
            </w:r>
          </w:p>
        </w:tc>
      </w:tr>
      <w:tr>
        <w:tc>
          <w:tcPr>
            <w:tcW w:type="dxa" w:w="2835"/>
          </w:tcPr>
          <w:p>
            <w:pPr>
              <w:pStyle w:val="Compact"/>
            </w:pPr>
            <w:r>
              <w:rPr>
                <w:b w:val="0"/>
              </w:rPr>
              <w:t>Was ändert sich am Phasendiagramm?</w:t>
            </w:r>
          </w:p>
        </w:tc>
        <w:tc>
          <w:tcPr>
            <w:tcW w:type="dxa" w:w="6236"/>
          </w:tcPr>
          <w:p>
            <w:pPr>
              <w:pStyle w:val="Compact"/>
            </w:pPr>
            <w:r>
              <w:rPr>
                <w:b w:val="0"/>
              </w:rPr>
              <w:t xml:space="preserve">Statt einer Dampfdrucklinie ein </w:t>
            </w:r>
            <w:r>
              <w:rPr>
                <w:b/>
              </w:rPr>
              <w:t>Zweiphasengebiet</w:t>
            </w:r>
            <w:r>
              <w:rPr>
                <w:b w:val="0"/>
              </w:rPr>
              <w:t xml:space="preserve"> zwischen Tau- und Blasenlinie. Höchster Druck des Zweiphasengebiets (Cricondenbar) 82,2 bar statt p_krit 73,8 bar; Unsicherheit ± 3 bar</w:t>
            </w:r>
          </w:p>
        </w:tc>
      </w:tr>
      <w:tr>
        <w:tc>
          <w:tcPr>
            <w:tcW w:type="dxa" w:w="2835"/>
          </w:tcPr>
          <w:p>
            <w:pPr>
              <w:pStyle w:val="Compact"/>
            </w:pPr>
            <w:r>
              <w:rPr>
                <w:b w:val="0"/>
              </w:rPr>
              <w:t>Welcher Druck am Bohrlochkopf?</w:t>
            </w:r>
          </w:p>
        </w:tc>
        <w:tc>
          <w:tcPr>
            <w:tcW w:type="dxa" w:w="6236"/>
          </w:tcPr>
          <w:p>
            <w:pPr>
              <w:pStyle w:val="Compact"/>
            </w:pPr>
            <w:r>
              <w:rPr>
                <w:b/>
              </w:rPr>
              <w:t>114,9 bar</w:t>
            </w:r>
            <w:r>
              <w:rPr>
                <w:b w:val="0"/>
              </w:rPr>
              <w:t xml:space="preserve"> bei voller Kaverne (reines CO₂: 107,6 bar). Das Gemisch ist leichter, die Säule liefert 7,3 bar weniger</w:t>
            </w:r>
          </w:p>
        </w:tc>
      </w:tr>
      <w:tr>
        <w:tc>
          <w:tcPr>
            <w:tcW w:type="dxa" w:w="2835"/>
          </w:tcPr>
          <w:p>
            <w:pPr>
              <w:pStyle w:val="Compact"/>
            </w:pPr>
            <w:r>
              <w:rPr>
                <w:b w:val="0"/>
              </w:rPr>
              <w:t>Leere Kaverne (70 bar unten)?</w:t>
            </w:r>
          </w:p>
        </w:tc>
        <w:tc>
          <w:tcPr>
            <w:tcW w:type="dxa" w:w="6236"/>
          </w:tcPr>
          <w:p>
            <w:pPr>
              <w:pStyle w:val="Compact"/>
            </w:pPr>
            <w:r>
              <w:rPr>
                <w:b w:val="0"/>
              </w:rPr>
              <w:t>Kopf 50,7 bar, oberes Bohrloch 0–82 m zweiphasig (reines CO₂: 45,0 bar, 0–236 m)</w:t>
            </w:r>
          </w:p>
        </w:tc>
      </w:tr>
      <w:tr>
        <w:tc>
          <w:tcPr>
            <w:tcW w:type="dxa" w:w="2835"/>
          </w:tcPr>
          <w:p>
            <w:pPr>
              <w:pStyle w:val="Compact"/>
            </w:pPr>
            <w:r>
              <w:rPr>
                <w:b w:val="0"/>
              </w:rPr>
              <w:t>S1 (dicht, 91 bar / 15 °C)</w:t>
            </w:r>
          </w:p>
        </w:tc>
        <w:tc>
          <w:tcPr>
            <w:tcW w:type="dxa" w:w="6236"/>
          </w:tcPr>
          <w:p>
            <w:pPr>
              <w:pStyle w:val="Compact"/>
            </w:pPr>
            <w:r>
              <w:rPr>
                <w:b w:val="0"/>
              </w:rPr>
              <w:t>sicher einphasig: 8,8 bar über der Cricondenbar. Pumpe 3,72 kJ/kg (reines CO₂: 2,35 kJ/kg), 100–200 kW</w:t>
            </w:r>
          </w:p>
        </w:tc>
      </w:tr>
      <w:tr>
        <w:tc>
          <w:tcPr>
            <w:tcW w:type="dxa" w:w="2835"/>
          </w:tcPr>
          <w:p>
            <w:pPr>
              <w:pStyle w:val="Compact"/>
            </w:pPr>
            <w:r>
              <w:rPr>
                <w:b w:val="0"/>
              </w:rPr>
              <w:t>S2 (gasförmig, 30 bar / 15 °C)</w:t>
            </w:r>
          </w:p>
        </w:tc>
        <w:tc>
          <w:tcPr>
            <w:tcW w:type="dxa" w:w="6236"/>
          </w:tcPr>
          <w:p>
            <w:pPr>
              <w:pStyle w:val="Compact"/>
            </w:pPr>
            <w:r>
              <w:rPr>
                <w:b w:val="0"/>
              </w:rPr>
              <w:t>zwei Verdichterstufen auf 91 bar, Kühler auf 26 °C, Pumpe; 66,2 kJ/kg (gleiche Kette mit reinem CO₂: 61,0 kJ/kg). Begründung: Dokumentation S2 Gemisch</w:t>
            </w:r>
          </w:p>
        </w:tc>
      </w:tr>
      <w:tr>
        <w:tc>
          <w:tcPr>
            <w:tcW w:type="dxa" w:w="2835"/>
          </w:tcPr>
          <w:p>
            <w:pPr>
              <w:pStyle w:val="Compact"/>
            </w:pPr>
            <w:r>
              <w:rPr>
                <w:b w:val="0"/>
              </w:rPr>
              <w:t>Rechnen Skript und Excel gleich?</w:t>
            </w:r>
          </w:p>
        </w:tc>
        <w:tc>
          <w:tcPr>
            <w:tcW w:type="dxa" w:w="6236"/>
          </w:tcPr>
          <w:p>
            <w:pPr>
              <w:pStyle w:val="Compact"/>
            </w:pPr>
            <w:r>
              <w:rPr>
                <w:b w:val="0"/>
              </w:rPr>
              <w:t>ja – beide 03-Skripte vergleichen mit der Mappe, größte Abweichung 0,000</w:t>
            </w:r>
          </w:p>
        </w:tc>
      </w:tr>
    </w:tbl>
    <w:p>
      <w:pPr>
        <w:pStyle w:val="BodyText"/>
      </w:pPr>
    </w:p>
    <w:p>
      <w:pPr>
        <w:pStyle w:val="Heading1"/>
      </w:pPr>
      <w:r>
        <w:t>2 Das Gemisch-Szenario</w:t>
      </w:r>
    </w:p>
    <w:p>
      <w:pPr>
        <w:pStyle w:val="Heading2"/>
      </w:pPr>
      <w:r>
        <w:t>2.1 Zusammensetzung</w:t>
      </w:r>
    </w:p>
    <w:p>
      <w:pPr>
        <w:pStyle w:val="BodyText"/>
      </w:pPr>
      <w:r>
        <w:rPr>
          <w:b w:val="0"/>
        </w:rPr>
        <w:t>Das Worst-Case-Gemisch schöpft die Grenze von 5 mol-% Begleitstoffen der DIN EN 18397 aus. Es ist so zusammengesetzt, dass vor allem leichtflüchtige Stoffe (N₂, H₂, Ar, CH₄) enthalten sind – sie verschieben die Phasengrenze am stärksten. Die Zusammensetzung steht nur an einer Stelle: Grundlagen/gemisch_worstcase.py.</w:t>
      </w:r>
    </w:p>
    <w:p>
      <w:pPr>
        <w:pStyle w:val="TableCaption"/>
      </w:pPr>
      <w:r>
        <w:rPr>
          <w:b w:val="0"/>
        </w:rPr>
        <w:t>Tabelle 2: Zusammensetzung des Worst-Case-Gemischs</w:t>
      </w:r>
    </w:p>
    <w:tbl>
      <w:tblPr>
        <w:tblW w:type="auto" w:w="0"/>
        <w:tblLayout w:type="fixed"/>
        <w:tblLook w:firstColumn="1" w:firstRow="1" w:lastColumn="0" w:lastRow="0" w:noHBand="0" w:noVBand="1" w:val="04A0"/>
      </w:tblPr>
      <w:tblGrid>
        <w:gridCol w:w="2268"/>
        <w:gridCol w:w="1417"/>
        <w:gridCol w:w="5386"/>
      </w:tblGrid>
      <w:tr>
        <w:trPr>
          <w:tblHeader w:val="on"/>
        </w:trPr>
        <w:tc>
          <w:tcPr>
            <w:tcW w:type="dxa" w:w="2268"/>
          </w:tcPr>
          <w:p>
            <w:pPr>
              <w:pStyle w:val="Compact"/>
            </w:pPr>
            <w:r>
              <w:rPr>
                <w:b/>
              </w:rPr>
              <w:t>Komponente</w:t>
            </w:r>
          </w:p>
        </w:tc>
        <w:tc>
          <w:tcPr>
            <w:tcW w:type="dxa" w:w="1417"/>
          </w:tcPr>
          <w:p>
            <w:pPr>
              <w:pStyle w:val="Compact"/>
            </w:pPr>
            <w:r>
              <w:rPr>
                <w:b/>
              </w:rPr>
              <w:t>mol-%</w:t>
            </w:r>
          </w:p>
        </w:tc>
        <w:tc>
          <w:tcPr>
            <w:tcW w:type="dxa" w:w="5386"/>
          </w:tcPr>
          <w:p>
            <w:pPr>
              <w:pStyle w:val="Compact"/>
            </w:pPr>
            <w:r>
              <w:rPr>
                <w:b/>
              </w:rPr>
              <w:t>Beleg</w:t>
            </w:r>
          </w:p>
        </w:tc>
      </w:tr>
      <w:tr>
        <w:tc>
          <w:tcPr>
            <w:tcW w:type="dxa" w:w="2268"/>
          </w:tcPr>
          <w:p>
            <w:pPr>
              <w:pStyle w:val="Compact"/>
            </w:pPr>
            <w:r>
              <w:rPr>
                <w:b w:val="0"/>
              </w:rPr>
              <w:t>CO₂</w:t>
            </w:r>
          </w:p>
        </w:tc>
        <w:tc>
          <w:tcPr>
            <w:tcW w:type="dxa" w:w="1417"/>
          </w:tcPr>
          <w:p>
            <w:pPr>
              <w:pStyle w:val="Compact"/>
            </w:pPr>
            <w:r>
              <w:rPr>
                <w:b w:val="0"/>
              </w:rPr>
              <w:t>95,0</w:t>
            </w:r>
          </w:p>
        </w:tc>
        <w:tc>
          <w:tcPr>
            <w:tcW w:type="dxa" w:w="5386"/>
          </w:tcPr>
          <w:p>
            <w:pPr>
              <w:pStyle w:val="Compact"/>
            </w:pPr>
            <w:r>
              <w:rPr>
                <w:b w:val="0"/>
              </w:rPr>
              <w:t>DIN EN 18397 / ISO 27913</w:t>
            </w:r>
          </w:p>
        </w:tc>
      </w:tr>
      <w:tr>
        <w:tc>
          <w:tcPr>
            <w:tcW w:type="dxa" w:w="2268"/>
          </w:tcPr>
          <w:p>
            <w:pPr>
              <w:pStyle w:val="Compact"/>
            </w:pPr>
            <w:r>
              <w:rPr>
                <w:b w:val="0"/>
              </w:rPr>
              <w:t>N₂</w:t>
            </w:r>
          </w:p>
        </w:tc>
        <w:tc>
          <w:tcPr>
            <w:tcW w:type="dxa" w:w="1417"/>
          </w:tcPr>
          <w:p>
            <w:pPr>
              <w:pStyle w:val="Compact"/>
            </w:pPr>
            <w:r>
              <w:rPr>
                <w:b w:val="0"/>
              </w:rPr>
              <w:t>2,4</w:t>
            </w:r>
          </w:p>
        </w:tc>
        <w:tc>
          <w:tcPr>
            <w:tcW w:type="dxa" w:w="5386"/>
          </w:tcPr>
          <w:p>
            <w:pPr>
              <w:pStyle w:val="Compact"/>
            </w:pPr>
            <w:r>
              <w:rPr>
                <w:b w:val="0"/>
              </w:rPr>
              <w:t>Porthos-Grenzwert</w:t>
            </w:r>
          </w:p>
        </w:tc>
      </w:tr>
      <w:tr>
        <w:tc>
          <w:tcPr>
            <w:tcW w:type="dxa" w:w="2268"/>
          </w:tcPr>
          <w:p>
            <w:pPr>
              <w:pStyle w:val="Compact"/>
            </w:pPr>
            <w:r>
              <w:rPr>
                <w:b w:val="0"/>
              </w:rPr>
              <w:t>Ar</w:t>
            </w:r>
          </w:p>
        </w:tc>
        <w:tc>
          <w:tcPr>
            <w:tcW w:type="dxa" w:w="1417"/>
          </w:tcPr>
          <w:p>
            <w:pPr>
              <w:pStyle w:val="Compact"/>
            </w:pPr>
            <w:r>
              <w:rPr>
                <w:b w:val="0"/>
              </w:rPr>
              <w:t>1,0</w:t>
            </w:r>
          </w:p>
        </w:tc>
        <w:tc>
          <w:tcPr>
            <w:tcW w:type="dxa" w:w="5386"/>
          </w:tcPr>
          <w:p>
            <w:pPr>
              <w:pStyle w:val="Compact"/>
            </w:pPr>
            <w:r>
              <w:rPr>
                <w:b w:val="0"/>
              </w:rPr>
              <w:t>ca. Oxyfuel-Zusammensetzung</w:t>
            </w:r>
          </w:p>
        </w:tc>
      </w:tr>
      <w:tr>
        <w:tc>
          <w:tcPr>
            <w:tcW w:type="dxa" w:w="2268"/>
          </w:tcPr>
          <w:p>
            <w:pPr>
              <w:pStyle w:val="Compact"/>
            </w:pPr>
            <w:r>
              <w:rPr>
                <w:b w:val="0"/>
              </w:rPr>
              <w:t>CH₄</w:t>
            </w:r>
          </w:p>
        </w:tc>
        <w:tc>
          <w:tcPr>
            <w:tcW w:type="dxa" w:w="1417"/>
          </w:tcPr>
          <w:p>
            <w:pPr>
              <w:pStyle w:val="Compact"/>
            </w:pPr>
            <w:r>
              <w:rPr>
                <w:b w:val="0"/>
              </w:rPr>
              <w:t>1,0</w:t>
            </w:r>
          </w:p>
        </w:tc>
        <w:tc>
          <w:tcPr>
            <w:tcW w:type="dxa" w:w="5386"/>
          </w:tcPr>
          <w:p>
            <w:pPr>
              <w:pStyle w:val="Compact"/>
            </w:pPr>
            <w:r>
              <w:rPr>
                <w:b w:val="0"/>
              </w:rPr>
              <w:t>Porthos-Grenzwert</w:t>
            </w:r>
          </w:p>
        </w:tc>
      </w:tr>
      <w:tr>
        <w:tc>
          <w:tcPr>
            <w:tcW w:type="dxa" w:w="2268"/>
          </w:tcPr>
          <w:p>
            <w:pPr>
              <w:pStyle w:val="Compact"/>
            </w:pPr>
            <w:r>
              <w:rPr>
                <w:b w:val="0"/>
              </w:rPr>
              <w:t>H₂</w:t>
            </w:r>
          </w:p>
        </w:tc>
        <w:tc>
          <w:tcPr>
            <w:tcW w:type="dxa" w:w="1417"/>
          </w:tcPr>
          <w:p>
            <w:pPr>
              <w:pStyle w:val="Compact"/>
            </w:pPr>
            <w:r>
              <w:rPr>
                <w:b w:val="0"/>
              </w:rPr>
              <w:t>0,5</w:t>
            </w:r>
          </w:p>
        </w:tc>
        <w:tc>
          <w:tcPr>
            <w:tcW w:type="dxa" w:w="5386"/>
          </w:tcPr>
          <w:p>
            <w:pPr>
              <w:pStyle w:val="Compact"/>
            </w:pPr>
            <w:r>
              <w:rPr>
                <w:b w:val="0"/>
              </w:rPr>
              <w:t>DIN EN 18397 / DVGW C 260</w:t>
            </w:r>
          </w:p>
        </w:tc>
      </w:tr>
      <w:tr>
        <w:tc>
          <w:tcPr>
            <w:tcW w:type="dxa" w:w="2268"/>
          </w:tcPr>
          <w:p>
            <w:pPr>
              <w:pStyle w:val="Compact"/>
            </w:pPr>
            <w:r>
              <w:rPr>
                <w:b w:val="0"/>
              </w:rPr>
              <w:t>CO</w:t>
            </w:r>
          </w:p>
        </w:tc>
        <w:tc>
          <w:tcPr>
            <w:tcW w:type="dxa" w:w="1417"/>
          </w:tcPr>
          <w:p>
            <w:pPr>
              <w:pStyle w:val="Compact"/>
            </w:pPr>
            <w:r>
              <w:rPr>
                <w:b w:val="0"/>
              </w:rPr>
              <w:t>0,1</w:t>
            </w:r>
          </w:p>
        </w:tc>
        <w:tc>
          <w:tcPr>
            <w:tcW w:type="dxa" w:w="5386"/>
          </w:tcPr>
          <w:p>
            <w:pPr>
              <w:pStyle w:val="Compact"/>
            </w:pPr>
            <w:r>
              <w:rPr>
                <w:b w:val="0"/>
              </w:rPr>
              <w:t>DIN EN 18397 (1000 ppm)</w:t>
            </w:r>
          </w:p>
        </w:tc>
      </w:tr>
      <w:tr>
        <w:tc>
          <w:tcPr>
            <w:tcW w:type="dxa" w:w="2268"/>
          </w:tcPr>
          <w:p>
            <w:pPr>
              <w:pStyle w:val="Compact"/>
            </w:pPr>
            <w:r>
              <w:rPr>
                <w:b/>
              </w:rPr>
              <w:t>Σ Begleitstoffe</w:t>
            </w:r>
          </w:p>
        </w:tc>
        <w:tc>
          <w:tcPr>
            <w:tcW w:type="dxa" w:w="1417"/>
          </w:tcPr>
          <w:p>
            <w:pPr>
              <w:pStyle w:val="Compact"/>
            </w:pPr>
            <w:r>
              <w:rPr>
                <w:b/>
              </w:rPr>
              <w:t>5,0</w:t>
            </w:r>
          </w:p>
        </w:tc>
        <w:tc>
          <w:tcPr>
            <w:tcW w:type="dxa" w:w="5386"/>
          </w:tcPr>
          <w:p>
            <w:pPr>
              <w:pStyle w:val="Compact"/>
            </w:pPr>
            <w:r>
              <w:rPr>
                <w:b w:val="0"/>
              </w:rPr>
              <w:t>= Grenze DIN EN 18397</w:t>
            </w:r>
          </w:p>
        </w:tc>
      </w:tr>
    </w:tbl>
    <w:p>
      <w:pPr>
        <w:pStyle w:val="BodyText"/>
      </w:pPr>
    </w:p>
    <w:p>
      <w:pPr>
        <w:pStyle w:val="BodyText"/>
      </w:pPr>
      <w:r>
        <w:rPr>
          <w:b w:val="0"/>
        </w:rPr>
        <w:t>Weil die Begleitstoffe leichter sind als CO₂, sinkt die molare Masse von 44,01 auf 43,08 g/mol. Massenbezogen enthält das Gemisch 97,1 % CO₂. Bei gleichem Normvolumenstrom ist der Massenstrom etwas kleiner: 26,9–53,7 kg/s statt 27,5–54,9 kg/s (Normdichte 1,934 statt 1,977 kg/m³).</w:t>
      </w:r>
    </w:p>
    <w:p>
      <w:pPr>
        <w:pStyle w:val="Heading2"/>
      </w:pPr>
      <w:r>
        <w:t>2.2 Was sich am Phasendiagramm ändert</w:t>
      </w:r>
    </w:p>
    <w:p>
      <w:pPr>
        <w:pStyle w:val="BodyText"/>
      </w:pPr>
      <w:r>
        <w:rPr>
          <w:b w:val="0"/>
        </w:rPr>
        <w:t xml:space="preserve">Reines CO₂ siedet bei jeder Temperatur bei genau einem Druck. Beim Gemisch wird daraus ein Gebiet: An der </w:t>
      </w:r>
      <w:r>
        <w:rPr>
          <w:b/>
        </w:rPr>
        <w:t>Taulinie</w:t>
      </w:r>
      <w:r>
        <w:rPr>
          <w:b w:val="0"/>
        </w:rPr>
        <w:t xml:space="preserve"> bildet sich der erste Tropfen, an der </w:t>
      </w:r>
      <w:r>
        <w:rPr>
          <w:b/>
        </w:rPr>
        <w:t>Blasenlinie</w:t>
      </w:r>
      <w:r>
        <w:rPr>
          <w:b w:val="0"/>
        </w:rPr>
        <w:t xml:space="preserve"> verschwindet die letzte Gasblase. Dazwischen liegen Gas und Flüssigkeit nebeneinander vor. Für die Anlage zählt vor allem die </w:t>
      </w:r>
      <w:r>
        <w:rPr>
          <w:b/>
        </w:rPr>
        <w:t>Cricondenbar</w:t>
      </w:r>
      <w:r>
        <w:rPr>
          <w:b w:val="0"/>
        </w:rPr>
        <w:t>: Oberhalb dieses Drucks ist das Gemisch bei jeder Temperatur einphasig. Gleichungen, Modell und Validierung: Dokumentation Stoffmodelle.</w:t>
      </w:r>
    </w:p>
    <w:p>
      <w:pPr>
        <w:pStyle w:val="TableCaption"/>
      </w:pPr>
      <w:r>
        <w:rPr>
          <w:b w:val="0"/>
        </w:rPr>
        <w:t>Tabelle 3: Kennpunkte der Phasengrenze: reines CO₂ und Gemisch</w:t>
      </w:r>
    </w:p>
    <w:tbl>
      <w:tblPr>
        <w:tblW w:type="auto" w:w="0"/>
        <w:tblLayout w:type="fixed"/>
        <w:tblLook w:firstColumn="1" w:firstRow="1" w:lastColumn="0" w:lastRow="0" w:noHBand="0" w:noVBand="1" w:val="04A0"/>
      </w:tblPr>
      <w:tblGrid>
        <w:gridCol w:w="2154"/>
        <w:gridCol w:w="1928"/>
        <w:gridCol w:w="2608"/>
        <w:gridCol w:w="2381"/>
      </w:tblGrid>
      <w:tr>
        <w:trPr>
          <w:tblHeader w:val="on"/>
        </w:trPr>
        <w:tc>
          <w:tcPr>
            <w:tcW w:type="dxa" w:w="2154"/>
          </w:tcPr>
          <w:p>
            <w:pPr>
              <w:pStyle w:val="Compact"/>
            </w:pPr>
            <w:r>
              <w:rPr>
                <w:b/>
              </w:rPr>
              <w:t>Kennpunkt</w:t>
            </w:r>
          </w:p>
        </w:tc>
        <w:tc>
          <w:tcPr>
            <w:tcW w:type="dxa" w:w="1928"/>
          </w:tcPr>
          <w:p>
            <w:pPr>
              <w:pStyle w:val="Compact"/>
            </w:pPr>
            <w:r>
              <w:rPr>
                <w:b/>
              </w:rPr>
              <w:t>reines CO₂</w:t>
            </w:r>
          </w:p>
        </w:tc>
        <w:tc>
          <w:tcPr>
            <w:tcW w:type="dxa" w:w="2608"/>
          </w:tcPr>
          <w:p>
            <w:pPr>
              <w:pStyle w:val="Compact"/>
            </w:pPr>
            <w:r>
              <w:rPr>
                <w:b/>
              </w:rPr>
              <w:t>Gemisch</w:t>
            </w:r>
          </w:p>
        </w:tc>
        <w:tc>
          <w:tcPr>
            <w:tcW w:type="dxa" w:w="2381"/>
          </w:tcPr>
          <w:p>
            <w:pPr>
              <w:pStyle w:val="Compact"/>
            </w:pPr>
            <w:r>
              <w:rPr>
                <w:b/>
              </w:rPr>
              <w:t>Bedeutung</w:t>
            </w:r>
          </w:p>
        </w:tc>
      </w:tr>
      <w:tr>
        <w:tc>
          <w:tcPr>
            <w:tcW w:type="dxa" w:w="2154"/>
          </w:tcPr>
          <w:p>
            <w:pPr>
              <w:pStyle w:val="Compact"/>
            </w:pPr>
            <w:r>
              <w:rPr>
                <w:b w:val="0"/>
              </w:rPr>
              <w:t>Kritischer Punkt</w:t>
            </w:r>
          </w:p>
        </w:tc>
        <w:tc>
          <w:tcPr>
            <w:tcW w:type="dxa" w:w="1928"/>
          </w:tcPr>
          <w:p>
            <w:pPr>
              <w:pStyle w:val="Compact"/>
            </w:pPr>
            <w:r>
              <w:rPr>
                <w:b w:val="0"/>
              </w:rPr>
              <w:t>31,0 °C / 73,8 bar</w:t>
            </w:r>
          </w:p>
        </w:tc>
        <w:tc>
          <w:tcPr>
            <w:tcW w:type="dxa" w:w="2608"/>
          </w:tcPr>
          <w:p>
            <w:pPr>
              <w:pStyle w:val="Compact"/>
            </w:pPr>
            <w:r>
              <w:rPr>
                <w:b w:val="0"/>
              </w:rPr>
              <w:t>28,0 °C / 81,5 bar</w:t>
            </w:r>
          </w:p>
        </w:tc>
        <w:tc>
          <w:tcPr>
            <w:tcW w:type="dxa" w:w="2381"/>
          </w:tcPr>
          <w:p>
            <w:pPr>
              <w:pStyle w:val="Compact"/>
            </w:pPr>
            <w:r>
              <w:rPr>
                <w:b w:val="0"/>
              </w:rPr>
              <w:t>Tau- und Blasenlinie treffen sich</w:t>
            </w:r>
          </w:p>
        </w:tc>
      </w:tr>
      <w:tr>
        <w:tc>
          <w:tcPr>
            <w:tcW w:type="dxa" w:w="2154"/>
          </w:tcPr>
          <w:p>
            <w:pPr>
              <w:pStyle w:val="Compact"/>
            </w:pPr>
            <w:r>
              <w:rPr>
                <w:b w:val="0"/>
              </w:rPr>
              <w:t>Cricondenbar</w:t>
            </w:r>
          </w:p>
        </w:tc>
        <w:tc>
          <w:tcPr>
            <w:tcW w:type="dxa" w:w="1928"/>
          </w:tcPr>
          <w:p>
            <w:pPr>
              <w:pStyle w:val="Compact"/>
            </w:pPr>
            <w:r>
              <w:rPr>
                <w:b w:val="0"/>
              </w:rPr>
              <w:t>= krit. Punkt</w:t>
            </w:r>
          </w:p>
        </w:tc>
        <w:tc>
          <w:tcPr>
            <w:tcW w:type="dxa" w:w="2608"/>
          </w:tcPr>
          <w:p>
            <w:pPr>
              <w:pStyle w:val="Compact"/>
            </w:pPr>
            <w:r>
              <w:rPr>
                <w:b w:val="0"/>
              </w:rPr>
              <w:t xml:space="preserve">27,2 °C / </w:t>
            </w:r>
            <w:r>
              <w:rPr>
                <w:b/>
              </w:rPr>
              <w:t>82,2 bar</w:t>
            </w:r>
          </w:p>
        </w:tc>
        <w:tc>
          <w:tcPr>
            <w:tcW w:type="dxa" w:w="2381"/>
          </w:tcPr>
          <w:p>
            <w:pPr>
              <w:pStyle w:val="Compact"/>
            </w:pPr>
            <w:r>
              <w:rPr>
                <w:b w:val="0"/>
              </w:rPr>
              <w:t>darüber bei jeder Temperatur einphasig</w:t>
            </w:r>
          </w:p>
        </w:tc>
      </w:tr>
      <w:tr>
        <w:tc>
          <w:tcPr>
            <w:tcW w:type="dxa" w:w="2154"/>
          </w:tcPr>
          <w:p>
            <w:pPr>
              <w:pStyle w:val="Compact"/>
            </w:pPr>
            <w:r>
              <w:rPr>
                <w:b w:val="0"/>
              </w:rPr>
              <w:t>Cricondentherm</w:t>
            </w:r>
          </w:p>
        </w:tc>
        <w:tc>
          <w:tcPr>
            <w:tcW w:type="dxa" w:w="1928"/>
          </w:tcPr>
          <w:p>
            <w:pPr>
              <w:pStyle w:val="Compact"/>
            </w:pPr>
            <w:r>
              <w:rPr>
                <w:b w:val="0"/>
              </w:rPr>
              <w:t>= krit. Punkt</w:t>
            </w:r>
          </w:p>
        </w:tc>
        <w:tc>
          <w:tcPr>
            <w:tcW w:type="dxa" w:w="2608"/>
          </w:tcPr>
          <w:p>
            <w:pPr>
              <w:pStyle w:val="Compact"/>
            </w:pPr>
            <w:r>
              <w:rPr>
                <w:b w:val="0"/>
              </w:rPr>
              <w:t>28,1 °C / 80,9 bar</w:t>
            </w:r>
          </w:p>
        </w:tc>
        <w:tc>
          <w:tcPr>
            <w:tcW w:type="dxa" w:w="2381"/>
          </w:tcPr>
          <w:p>
            <w:pPr>
              <w:pStyle w:val="Compact"/>
            </w:pPr>
            <w:r>
              <w:rPr>
                <w:b w:val="0"/>
              </w:rPr>
              <w:t>darüber bei jedem Druck einphasig</w:t>
            </w:r>
          </w:p>
        </w:tc>
      </w:tr>
      <w:tr>
        <w:tc>
          <w:tcPr>
            <w:tcW w:type="dxa" w:w="2154"/>
          </w:tcPr>
          <w:p>
            <w:pPr>
              <w:pStyle w:val="Compact"/>
            </w:pPr>
            <w:r>
              <w:rPr>
                <w:b w:val="0"/>
              </w:rPr>
              <w:t>Phasengrenze bei 15 °C</w:t>
            </w:r>
          </w:p>
        </w:tc>
        <w:tc>
          <w:tcPr>
            <w:tcW w:type="dxa" w:w="1928"/>
          </w:tcPr>
          <w:p>
            <w:pPr>
              <w:pStyle w:val="Compact"/>
            </w:pPr>
            <w:r>
              <w:rPr>
                <w:b w:val="0"/>
              </w:rPr>
              <w:t>50,9 bar</w:t>
            </w:r>
          </w:p>
        </w:tc>
        <w:tc>
          <w:tcPr>
            <w:tcW w:type="dxa" w:w="2608"/>
          </w:tcPr>
          <w:p>
            <w:pPr>
              <w:pStyle w:val="Compact"/>
            </w:pPr>
            <w:r>
              <w:rPr>
                <w:b w:val="0"/>
              </w:rPr>
              <w:t>55,7 bar (Tau) – 71,9 bar (Blase)</w:t>
            </w:r>
          </w:p>
        </w:tc>
        <w:tc>
          <w:tcPr>
            <w:tcW w:type="dxa" w:w="2381"/>
          </w:tcPr>
          <w:p>
            <w:pPr>
              <w:pStyle w:val="Compact"/>
            </w:pPr>
            <w:r>
              <w:rPr>
                <w:b w:val="0"/>
              </w:rPr>
              <w:t>Übergabetemperatur S1 und S2</w:t>
            </w:r>
          </w:p>
        </w:tc>
      </w:tr>
      <w:tr>
        <w:tc>
          <w:tcPr>
            <w:tcW w:type="dxa" w:w="2154"/>
          </w:tcPr>
          <w:p>
            <w:pPr>
              <w:pStyle w:val="Compact"/>
            </w:pPr>
            <w:r>
              <w:rPr>
                <w:b w:val="0"/>
              </w:rPr>
              <w:t>Phasengrenze bei 26 °C</w:t>
            </w:r>
          </w:p>
        </w:tc>
        <w:tc>
          <w:tcPr>
            <w:tcW w:type="dxa" w:w="1928"/>
          </w:tcPr>
          <w:p>
            <w:pPr>
              <w:pStyle w:val="Compact"/>
            </w:pPr>
            <w:r>
              <w:rPr>
                <w:b w:val="0"/>
              </w:rPr>
              <w:t>65,8 bar</w:t>
            </w:r>
          </w:p>
        </w:tc>
        <w:tc>
          <w:tcPr>
            <w:tcW w:type="dxa" w:w="2608"/>
          </w:tcPr>
          <w:p>
            <w:pPr>
              <w:pStyle w:val="Compact"/>
            </w:pPr>
            <w:r>
              <w:rPr>
                <w:b w:val="0"/>
              </w:rPr>
              <w:t>74,4 bar (Tau) – 81,7 bar (Blase)</w:t>
            </w:r>
          </w:p>
        </w:tc>
        <w:tc>
          <w:tcPr>
            <w:tcW w:type="dxa" w:w="2381"/>
          </w:tcPr>
          <w:p>
            <w:pPr>
              <w:pStyle w:val="Compact"/>
            </w:pPr>
            <w:r>
              <w:rPr>
                <w:b w:val="0"/>
              </w:rPr>
              <w:t>Temperatur nach den Kühlern (S2)</w:t>
            </w:r>
          </w:p>
        </w:tc>
      </w:tr>
      <w:tr>
        <w:tc>
          <w:tcPr>
            <w:tcW w:type="dxa" w:w="2154"/>
          </w:tcPr>
          <w:p>
            <w:pPr>
              <w:pStyle w:val="Compact"/>
            </w:pPr>
            <w:r>
              <w:rPr>
                <w:b w:val="0"/>
              </w:rPr>
              <w:t>Unsicherheit der Phasengrenze</w:t>
            </w:r>
          </w:p>
        </w:tc>
        <w:tc>
          <w:tcPr>
            <w:tcW w:type="dxa" w:w="1928"/>
          </w:tcPr>
          <w:p>
            <w:pPr>
              <w:pStyle w:val="Compact"/>
            </w:pPr>
            <w:r>
              <w:rPr>
                <w:b w:val="0"/>
              </w:rPr>
              <w:t>≤ 0,02 %</w:t>
            </w:r>
          </w:p>
        </w:tc>
        <w:tc>
          <w:tcPr>
            <w:tcW w:type="dxa" w:w="2608"/>
          </w:tcPr>
          <w:p>
            <w:pPr>
              <w:pStyle w:val="Compact"/>
            </w:pPr>
            <w:r>
              <w:rPr>
                <w:b w:val="0"/>
              </w:rPr>
              <w:t>± 3 bar</w:t>
            </w:r>
          </w:p>
        </w:tc>
        <w:tc>
          <w:tcPr>
            <w:tcW w:type="dxa" w:w="2381"/>
          </w:tcPr>
          <w:p>
            <w:pPr>
              <w:pStyle w:val="Compact"/>
            </w:pPr>
            <w:r>
              <w:rPr>
                <w:b w:val="0"/>
              </w:rPr>
              <w:t>Dokumentation Stoffmodelle, Kap. 9</w:t>
            </w:r>
          </w:p>
        </w:tc>
      </w:tr>
    </w:tbl>
    <w:p>
      <w:pPr>
        <w:pStyle w:val="BodyText"/>
      </w:pPr>
    </w:p>
    <w:p>
      <w:pPr>
        <w:pStyle w:val="CaptionedFigure"/>
        <w:jc w:val="center"/>
      </w:pPr>
      <w:r>
        <w:drawing>
          <wp:inline>
            <wp:extent cx="5760000" cy="2611200"/>
            <wp:docPr id="1" name="Picture 1"/>
            <wp:cNvGraphicFramePr>
              <a:graphicFrameLocks noChangeAspect="1"/>
            </wp:cNvGraphicFramePr>
            <a:graphic>
              <a:graphicData uri="http://schemas.openxmlformats.org/drawingml/2006/picture">
                <pic:pic>
                  <pic:nvPicPr>
                    <pic:cNvPr id="0" name="abb_phasendiagramm_rein_vs_gemisch.png"/>
                    <pic:cNvPicPr/>
                  </pic:nvPicPr>
                  <pic:blipFill>
                    <a:blip r:embed="rId12"/>
                    <a:stretch>
                      <a:fillRect/>
                    </a:stretch>
                  </pic:blipFill>
                  <pic:spPr>
                    <a:xfrm>
                      <a:off x="0" y="0"/>
                      <a:ext cx="5760000" cy="2611200"/>
                    </a:xfrm>
                    <a:prstGeom prst="rect"/>
                  </pic:spPr>
                </pic:pic>
              </a:graphicData>
            </a:graphic>
          </wp:inline>
        </w:drawing>
      </w:r>
    </w:p>
    <w:p>
      <w:pPr>
        <w:pStyle w:val="ImageCaption"/>
      </w:pPr>
      <w:r>
        <w:rPr>
          <w:b w:val="0"/>
        </w:rPr>
        <w:t>Abbildung 1: p-T-Diagramm reines CO₂ vs. Worst-Case-Gemisch mit den Betriebspunkten der Einspeicherung (Skript 01_phasendiagramm_rein_vs_gemisch.py)</w:t>
      </w:r>
    </w:p>
    <w:p>
      <w:pPr>
        <w:pStyle w:val="BodyText"/>
      </w:pPr>
      <w:r>
        <w:rPr>
          <w:b/>
        </w:rPr>
        <w:t>Regel für die Auslegung:</w:t>
      </w:r>
      <w:r>
        <w:rPr>
          <w:b w:val="0"/>
        </w:rPr>
        <w:t xml:space="preserve"> Ein Betriebspunkt gilt nur dann als sicher einphasig, wenn er mehr als 3 bar von der berechneten Phasengrenze entfernt ist. Für dichtes Gemisch heißt das: mindestens Cricondenbar + 3 bar = 85,2 bar – unabhängig von der Temperatur.</w:t>
      </w:r>
    </w:p>
    <w:p>
      <w:pPr>
        <w:pStyle w:val="Heading2"/>
      </w:pPr>
      <w:r>
        <w:t>2.3 Annahmen</w:t>
      </w:r>
    </w:p>
    <w:p>
      <w:pPr>
        <w:pStyle w:val="BodyText"/>
      </w:pPr>
      <w:r>
        <w:rPr>
          <w:b w:val="0"/>
        </w:rPr>
        <w:t>Die Annahmen stehen im Skript an einer Stelle (Grundlagen/einspeicherung_bausteine.py) und in der Excel-Mappe auf dem Blatt „Übersicht“. Die Annahmen nur für S2 (Kühlung, Zwischendruck, Grenzen der Verdichter) stehen in der Dokumentation S2 Gemisch, Tabelle 1.</w:t>
      </w:r>
    </w:p>
    <w:p>
      <w:pPr>
        <w:pStyle w:val="TableCaption"/>
      </w:pPr>
      <w:r>
        <w:rPr>
          <w:b w:val="0"/>
        </w:rPr>
        <w:t>Tabelle 4: Annahmen für Gassäule und S1 (Excel, Blatt „Übersicht“)</w:t>
      </w:r>
    </w:p>
    <w:tbl>
      <w:tblPr>
        <w:tblW w:type="auto" w:w="0"/>
        <w:tblLayout w:type="fixed"/>
        <w:tblLook w:firstColumn="1" w:firstRow="1" w:lastColumn="0" w:lastRow="0" w:noHBand="0" w:noVBand="1" w:val="04A0"/>
      </w:tblPr>
      <w:tblGrid>
        <w:gridCol w:w="2835"/>
        <w:gridCol w:w="2154"/>
        <w:gridCol w:w="4082"/>
      </w:tblGrid>
      <w:tr>
        <w:trPr>
          <w:tblHeader w:val="on"/>
        </w:trPr>
        <w:tc>
          <w:tcPr>
            <w:tcW w:type="dxa" w:w="2835"/>
          </w:tcPr>
          <w:p>
            <w:pPr>
              <w:pStyle w:val="Compact"/>
            </w:pPr>
            <w:r>
              <w:rPr>
                <w:b/>
              </w:rPr>
              <w:t>Größe</w:t>
            </w:r>
          </w:p>
        </w:tc>
        <w:tc>
          <w:tcPr>
            <w:tcW w:type="dxa" w:w="2154"/>
          </w:tcPr>
          <w:p>
            <w:pPr>
              <w:pStyle w:val="Compact"/>
            </w:pPr>
            <w:r>
              <w:rPr>
                <w:b/>
              </w:rPr>
              <w:t>Wert</w:t>
            </w:r>
          </w:p>
        </w:tc>
        <w:tc>
          <w:tcPr>
            <w:tcW w:type="dxa" w:w="4082"/>
          </w:tcPr>
          <w:p>
            <w:pPr>
              <w:pStyle w:val="Compact"/>
            </w:pPr>
            <w:r>
              <w:rPr>
                <w:b/>
              </w:rPr>
              <w:t>Herkunft</w:t>
            </w:r>
          </w:p>
        </w:tc>
      </w:tr>
      <w:tr>
        <w:tc>
          <w:tcPr>
            <w:tcW w:type="dxa" w:w="2835"/>
          </w:tcPr>
          <w:p>
            <w:pPr>
              <w:pStyle w:val="Compact"/>
            </w:pPr>
            <w:r>
              <w:rPr>
                <w:b w:val="0"/>
              </w:rPr>
              <w:t>Kaverne V1: Teufe (LCCS)</w:t>
            </w:r>
          </w:p>
        </w:tc>
        <w:tc>
          <w:tcPr>
            <w:tcW w:type="dxa" w:w="2154"/>
          </w:tcPr>
          <w:p>
            <w:pPr>
              <w:pStyle w:val="Compact"/>
            </w:pPr>
            <w:r>
              <w:rPr>
                <w:b w:val="0"/>
              </w:rPr>
              <w:t>1200 m</w:t>
            </w:r>
          </w:p>
        </w:tc>
        <w:tc>
          <w:tcPr>
            <w:tcW w:type="dxa" w:w="4082"/>
          </w:tcPr>
          <w:p>
            <w:pPr>
              <w:pStyle w:val="Compact"/>
            </w:pPr>
            <w:r>
              <w:rPr>
                <w:b w:val="0"/>
              </w:rPr>
              <w:t>Q-030 Option 2; abgestimmt mit M. Wall (Uniper)</w:t>
            </w:r>
          </w:p>
        </w:tc>
      </w:tr>
      <w:tr>
        <w:tc>
          <w:tcPr>
            <w:tcW w:type="dxa" w:w="2835"/>
          </w:tcPr>
          <w:p>
            <w:pPr>
              <w:pStyle w:val="Compact"/>
            </w:pPr>
            <w:r>
              <w:rPr>
                <w:b w:val="0"/>
              </w:rPr>
              <w:t>Maximaldruck an der LCCS</w:t>
            </w:r>
          </w:p>
        </w:tc>
        <w:tc>
          <w:tcPr>
            <w:tcW w:type="dxa" w:w="2154"/>
          </w:tcPr>
          <w:p>
            <w:pPr>
              <w:pStyle w:val="Compact"/>
            </w:pPr>
            <w:r>
              <w:rPr>
                <w:b w:val="0"/>
              </w:rPr>
              <w:t>210 bar</w:t>
            </w:r>
          </w:p>
        </w:tc>
        <w:tc>
          <w:tcPr>
            <w:tcW w:type="dxa" w:w="4082"/>
          </w:tcPr>
          <w:p>
            <w:pPr>
              <w:pStyle w:val="Compact"/>
            </w:pPr>
            <w:r>
              <w:rPr>
                <w:b w:val="0"/>
              </w:rPr>
              <w:t>Zwischenwert aus Q-028 (200 bar) und Q-030 Opt. 2 (240 bar)</w:t>
            </w:r>
          </w:p>
        </w:tc>
      </w:tr>
      <w:tr>
        <w:tc>
          <w:tcPr>
            <w:tcW w:type="dxa" w:w="2835"/>
          </w:tcPr>
          <w:p>
            <w:pPr>
              <w:pStyle w:val="Compact"/>
            </w:pPr>
            <w:r>
              <w:rPr>
                <w:b w:val="0"/>
              </w:rPr>
              <w:t>Minimaldruck an der LCCS</w:t>
            </w:r>
          </w:p>
        </w:tc>
        <w:tc>
          <w:tcPr>
            <w:tcW w:type="dxa" w:w="2154"/>
          </w:tcPr>
          <w:p>
            <w:pPr>
              <w:pStyle w:val="Compact"/>
            </w:pPr>
            <w:r>
              <w:rPr>
                <w:b w:val="0"/>
              </w:rPr>
              <w:t>70 bar</w:t>
            </w:r>
          </w:p>
        </w:tc>
        <w:tc>
          <w:tcPr>
            <w:tcW w:type="dxa" w:w="4082"/>
          </w:tcPr>
          <w:p>
            <w:pPr>
              <w:pStyle w:val="Compact"/>
            </w:pPr>
            <w:r>
              <w:rPr>
                <w:b w:val="0"/>
              </w:rPr>
              <w:t>Q-028: geomechanisches Minimum</w:t>
            </w:r>
          </w:p>
        </w:tc>
      </w:tr>
      <w:tr>
        <w:tc>
          <w:tcPr>
            <w:tcW w:type="dxa" w:w="2835"/>
          </w:tcPr>
          <w:p>
            <w:pPr>
              <w:pStyle w:val="Compact"/>
            </w:pPr>
            <w:r>
              <w:rPr>
                <w:b w:val="0"/>
              </w:rPr>
              <w:t>Gebirgstemperatur</w:t>
            </w:r>
          </w:p>
        </w:tc>
        <w:tc>
          <w:tcPr>
            <w:tcW w:type="dxa" w:w="2154"/>
          </w:tcPr>
          <w:p>
            <w:pPr>
              <w:pStyle w:val="Compact"/>
            </w:pPr>
            <w:r>
              <w:rPr>
                <w:b w:val="0"/>
              </w:rPr>
              <w:t>10 °C + 0,03 K/m</w:t>
            </w:r>
          </w:p>
        </w:tc>
        <w:tc>
          <w:tcPr>
            <w:tcW w:type="dxa" w:w="4082"/>
          </w:tcPr>
          <w:p>
            <w:pPr>
              <w:pStyle w:val="Compact"/>
            </w:pPr>
            <w:r>
              <w:rPr>
                <w:b w:val="0"/>
              </w:rPr>
              <w:t>Q-028 (Buzogany &amp; Kruck 2022)</w:t>
            </w:r>
          </w:p>
        </w:tc>
      </w:tr>
      <w:tr>
        <w:tc>
          <w:tcPr>
            <w:tcW w:type="dxa" w:w="2835"/>
          </w:tcPr>
          <w:p>
            <w:pPr>
              <w:pStyle w:val="Compact"/>
            </w:pPr>
            <w:r>
              <w:rPr>
                <w:b w:val="0"/>
              </w:rPr>
              <w:t>S1: Übergabe dicht</w:t>
            </w:r>
          </w:p>
        </w:tc>
        <w:tc>
          <w:tcPr>
            <w:tcW w:type="dxa" w:w="2154"/>
          </w:tcPr>
          <w:p>
            <w:pPr>
              <w:pStyle w:val="Compact"/>
            </w:pPr>
            <w:r>
              <w:rPr>
                <w:b w:val="0"/>
              </w:rPr>
              <w:t>91 bar / 15 °C</w:t>
            </w:r>
          </w:p>
        </w:tc>
        <w:tc>
          <w:tcPr>
            <w:tcW w:type="dxa" w:w="4082"/>
          </w:tcPr>
          <w:p>
            <w:pPr>
              <w:pStyle w:val="Compact"/>
            </w:pPr>
            <w:r>
              <w:rPr>
                <w:b w:val="0"/>
              </w:rPr>
              <w:t>OGE, Gesprächsnotiz 16.09.2026: mind. 91 bar, Worst Case mit Begleitstoffen</w:t>
            </w:r>
          </w:p>
        </w:tc>
      </w:tr>
      <w:tr>
        <w:tc>
          <w:tcPr>
            <w:tcW w:type="dxa" w:w="2835"/>
          </w:tcPr>
          <w:p>
            <w:pPr>
              <w:pStyle w:val="Compact"/>
            </w:pPr>
            <w:r>
              <w:rPr>
                <w:b w:val="0"/>
              </w:rPr>
              <w:t>S2: Übergabe gasförmig</w:t>
            </w:r>
          </w:p>
        </w:tc>
        <w:tc>
          <w:tcPr>
            <w:tcW w:type="dxa" w:w="2154"/>
          </w:tcPr>
          <w:p>
            <w:pPr>
              <w:pStyle w:val="Compact"/>
            </w:pPr>
            <w:r>
              <w:rPr>
                <w:b w:val="0"/>
              </w:rPr>
              <w:t>30 bar / 15 °C</w:t>
            </w:r>
          </w:p>
        </w:tc>
        <w:tc>
          <w:tcPr>
            <w:tcW w:type="dxa" w:w="4082"/>
          </w:tcPr>
          <w:p>
            <w:pPr>
              <w:pStyle w:val="Compact"/>
            </w:pPr>
            <w:r>
              <w:rPr>
                <w:b w:val="0"/>
              </w:rPr>
              <w:t>Vorarbeit; Quelle zu prüfen (Q-040)</w:t>
            </w:r>
          </w:p>
        </w:tc>
      </w:tr>
      <w:tr>
        <w:tc>
          <w:tcPr>
            <w:tcW w:type="dxa" w:w="2835"/>
          </w:tcPr>
          <w:p>
            <w:pPr>
              <w:pStyle w:val="Compact"/>
            </w:pPr>
            <w:r>
              <w:rPr>
                <w:b w:val="0"/>
              </w:rPr>
              <w:t>Normvolumenstrom</w:t>
            </w:r>
          </w:p>
        </w:tc>
        <w:tc>
          <w:tcPr>
            <w:tcW w:type="dxa" w:w="2154"/>
          </w:tcPr>
          <w:p>
            <w:pPr>
              <w:pStyle w:val="Compact"/>
            </w:pPr>
            <w:r>
              <w:rPr>
                <w:b w:val="0"/>
              </w:rPr>
              <w:t>50.000–100.000 Nm³/h</w:t>
            </w:r>
          </w:p>
        </w:tc>
        <w:tc>
          <w:tcPr>
            <w:tcW w:type="dxa" w:w="4082"/>
          </w:tcPr>
          <w:p>
            <w:pPr>
              <w:pStyle w:val="Compact"/>
            </w:pPr>
            <w:r>
              <w:rPr>
                <w:b w:val="0"/>
              </w:rPr>
              <w:t>abgestimmt mit M. Wall (Uniper)</w:t>
            </w:r>
          </w:p>
        </w:tc>
      </w:tr>
      <w:tr>
        <w:tc>
          <w:tcPr>
            <w:tcW w:type="dxa" w:w="2835"/>
          </w:tcPr>
          <w:p>
            <w:pPr>
              <w:pStyle w:val="Compact"/>
            </w:pPr>
            <w:r>
              <w:rPr>
                <w:b w:val="0"/>
              </w:rPr>
              <w:t>Wirkungsgrad Pumpe</w:t>
            </w:r>
          </w:p>
        </w:tc>
        <w:tc>
          <w:tcPr>
            <w:tcW w:type="dxa" w:w="2154"/>
          </w:tcPr>
          <w:p>
            <w:pPr>
              <w:pStyle w:val="Compact"/>
            </w:pPr>
            <w:r>
              <w:rPr>
                <w:b w:val="0"/>
              </w:rPr>
              <w:t>0,80</w:t>
            </w:r>
          </w:p>
        </w:tc>
        <w:tc>
          <w:tcPr>
            <w:tcW w:type="dxa" w:w="4082"/>
          </w:tcPr>
          <w:p>
            <w:pPr>
              <w:pStyle w:val="Compact"/>
            </w:pPr>
            <w:r>
              <w:rPr>
                <w:b w:val="0"/>
              </w:rPr>
              <w:t>eigene Annahme, herstellerseitig zu bestätigen</w:t>
            </w:r>
          </w:p>
        </w:tc>
      </w:tr>
      <w:tr>
        <w:tc>
          <w:tcPr>
            <w:tcW w:type="dxa" w:w="2835"/>
          </w:tcPr>
          <w:p>
            <w:pPr>
              <w:pStyle w:val="Compact"/>
            </w:pPr>
            <w:r>
              <w:rPr>
                <w:b w:val="0"/>
              </w:rPr>
              <w:t>Dichte am Pumpeneintritt</w:t>
            </w:r>
          </w:p>
        </w:tc>
        <w:tc>
          <w:tcPr>
            <w:tcW w:type="dxa" w:w="2154"/>
          </w:tcPr>
          <w:p>
            <w:pPr>
              <w:pStyle w:val="Compact"/>
            </w:pPr>
            <w:r>
              <w:rPr>
                <w:b w:val="0"/>
              </w:rPr>
              <w:t>≥ 500 kg/m³</w:t>
            </w:r>
          </w:p>
        </w:tc>
        <w:tc>
          <w:tcPr>
            <w:tcW w:type="dxa" w:w="4082"/>
          </w:tcPr>
          <w:p>
            <w:pPr>
              <w:pStyle w:val="Compact"/>
            </w:pPr>
            <w:r>
              <w:rPr>
                <w:b w:val="0"/>
              </w:rPr>
              <w:t>Q-121 (S. 2); Q-001 (Kap. 5.2)</w:t>
            </w:r>
          </w:p>
        </w:tc>
      </w:tr>
      <w:tr>
        <w:tc>
          <w:tcPr>
            <w:tcW w:type="dxa" w:w="2835"/>
          </w:tcPr>
          <w:p>
            <w:pPr>
              <w:pStyle w:val="Compact"/>
            </w:pPr>
            <w:r>
              <w:rPr>
                <w:b w:val="0"/>
              </w:rPr>
              <w:t>Unsicherheit Phasengrenze</w:t>
            </w:r>
          </w:p>
        </w:tc>
        <w:tc>
          <w:tcPr>
            <w:tcW w:type="dxa" w:w="2154"/>
          </w:tcPr>
          <w:p>
            <w:pPr>
              <w:pStyle w:val="Compact"/>
            </w:pPr>
            <w:r>
              <w:rPr>
                <w:b w:val="0"/>
              </w:rPr>
              <w:t>± 3 bar</w:t>
            </w:r>
          </w:p>
        </w:tc>
        <w:tc>
          <w:tcPr>
            <w:tcW w:type="dxa" w:w="4082"/>
          </w:tcPr>
          <w:p>
            <w:pPr>
              <w:pStyle w:val="Compact"/>
            </w:pPr>
            <w:r>
              <w:rPr>
                <w:b w:val="0"/>
              </w:rPr>
              <w:t>Dokumentation Stoffmodelle, Kap. 9</w:t>
            </w:r>
          </w:p>
        </w:tc>
      </w:tr>
    </w:tbl>
    <w:p>
      <w:pPr>
        <w:pStyle w:val="BodyText"/>
      </w:pPr>
    </w:p>
    <w:p>
      <w:pPr>
        <w:pStyle w:val="Heading1"/>
      </w:pPr>
      <w:r>
        <w:t>3 Gassäule und Druck am Bohrlochkopf</w:t>
      </w:r>
    </w:p>
    <w:p>
      <w:pPr>
        <w:pStyle w:val="Heading2"/>
      </w:pPr>
      <w:r>
        <w:t>3.1 Rechenweg</w:t>
      </w:r>
    </w:p>
    <w:p>
      <w:pPr>
        <w:pStyle w:val="BodyText"/>
      </w:pPr>
      <w:r>
        <w:rPr>
          <w:b w:val="0"/>
        </w:rPr>
        <w:t xml:space="preserve">Die Kaverne legt fest, welcher Druck unten an der LCCS höchstens anliegen darf (210 bar). Zwischen Kopf und Kaverne steht eine 1200 m hohe Säule aus dem Gemisch; ihr Gewicht erhöht den Druck nach unten: dp/dz = ρ(p, T) · g. Weil die Dichte selbst von Druck und Temperatur abhängt, wird die Säule in 600 Schritten à 2 m gerechnet, in jedem Schritt mit neuer Dichte aus CoolProp. Gerechnet wird von unten (bekannter Kavernendruck) nach oben; die Temperatur ist die Gebirgstemperatur T(z) = 10 °C + 0,03 K/m · z. Die Gassäulen gelten damit nur für den </w:t>
      </w:r>
      <w:r>
        <w:rPr>
          <w:b/>
        </w:rPr>
        <w:t>Stillstand</w:t>
      </w:r>
      <w:r>
        <w:rPr>
          <w:b w:val="0"/>
        </w:rPr>
        <w:t xml:space="preserve"> – im Betrieb kommen Reibung und Wärmeaustausch hinzu.</w:t>
      </w:r>
    </w:p>
    <w:p>
      <w:pPr>
        <w:pStyle w:val="Heading2"/>
      </w:pPr>
      <w:r>
        <w:t>3.2 Ergebnisse</w:t>
      </w:r>
    </w:p>
    <w:p>
      <w:pPr>
        <w:pStyle w:val="TableCaption"/>
      </w:pPr>
      <w:r>
        <w:rPr>
          <w:b w:val="0"/>
        </w:rPr>
        <w:t>Tabelle 5: Druck am Bohrlochkopf bei drei Füllständen der Kaverne V1 (Stillstand)</w:t>
      </w:r>
    </w:p>
    <w:tbl>
      <w:tblPr>
        <w:tblW w:type="auto" w:w="0"/>
        <w:tblLayout w:type="fixed"/>
        <w:tblLook w:firstColumn="1" w:firstRow="1" w:lastColumn="0" w:lastRow="0" w:noHBand="0" w:noVBand="1" w:val="04A0"/>
      </w:tblPr>
      <w:tblGrid>
        <w:gridCol w:w="1531"/>
        <w:gridCol w:w="2098"/>
        <w:gridCol w:w="1701"/>
        <w:gridCol w:w="1757"/>
        <w:gridCol w:w="1984"/>
      </w:tblGrid>
      <w:tr>
        <w:trPr>
          <w:tblHeader w:val="on"/>
        </w:trPr>
        <w:tc>
          <w:tcPr>
            <w:tcW w:type="dxa" w:w="1531"/>
          </w:tcPr>
          <w:p>
            <w:pPr>
              <w:pStyle w:val="Compact"/>
            </w:pPr>
            <w:r>
              <w:rPr>
                <w:b/>
              </w:rPr>
              <w:t>Füllstand</w:t>
            </w:r>
          </w:p>
        </w:tc>
        <w:tc>
          <w:tcPr>
            <w:tcW w:type="dxa" w:w="2098"/>
          </w:tcPr>
          <w:p>
            <w:pPr>
              <w:pStyle w:val="Compact"/>
            </w:pPr>
            <w:r>
              <w:rPr>
                <w:b/>
              </w:rPr>
              <w:t>Druck unten</w:t>
            </w:r>
          </w:p>
        </w:tc>
        <w:tc>
          <w:tcPr>
            <w:tcW w:type="dxa" w:w="1701"/>
          </w:tcPr>
          <w:p>
            <w:pPr>
              <w:pStyle w:val="Compact"/>
            </w:pPr>
            <w:r>
              <w:rPr>
                <w:b/>
              </w:rPr>
              <w:t>Kopf reines CO₂</w:t>
            </w:r>
          </w:p>
        </w:tc>
        <w:tc>
          <w:tcPr>
            <w:tcW w:type="dxa" w:w="1757"/>
          </w:tcPr>
          <w:p>
            <w:pPr>
              <w:pStyle w:val="Compact"/>
            </w:pPr>
            <w:r>
              <w:rPr>
                <w:b/>
              </w:rPr>
              <w:t>Kopf Gemisch</w:t>
            </w:r>
          </w:p>
        </w:tc>
        <w:tc>
          <w:tcPr>
            <w:tcW w:type="dxa" w:w="1984"/>
          </w:tcPr>
          <w:p>
            <w:pPr>
              <w:pStyle w:val="Compact"/>
            </w:pPr>
            <w:r>
              <w:rPr>
                <w:b/>
              </w:rPr>
              <w:t>Bemerkung Gemisch</w:t>
            </w:r>
          </w:p>
        </w:tc>
      </w:tr>
      <w:tr>
        <w:tc>
          <w:tcPr>
            <w:tcW w:type="dxa" w:w="1531"/>
          </w:tcPr>
          <w:p>
            <w:pPr>
              <w:pStyle w:val="Compact"/>
            </w:pPr>
            <w:r>
              <w:rPr>
                <w:b w:val="0"/>
              </w:rPr>
              <w:t>voll</w:t>
            </w:r>
          </w:p>
        </w:tc>
        <w:tc>
          <w:tcPr>
            <w:tcW w:type="dxa" w:w="2098"/>
          </w:tcPr>
          <w:p>
            <w:pPr>
              <w:pStyle w:val="Compact"/>
            </w:pPr>
            <w:r>
              <w:rPr>
                <w:b w:val="0"/>
              </w:rPr>
              <w:t>210 bar</w:t>
            </w:r>
          </w:p>
        </w:tc>
        <w:tc>
          <w:tcPr>
            <w:tcW w:type="dxa" w:w="1701"/>
          </w:tcPr>
          <w:p>
            <w:pPr>
              <w:pStyle w:val="Compact"/>
            </w:pPr>
            <w:r>
              <w:rPr>
                <w:b w:val="0"/>
              </w:rPr>
              <w:t>107,6 bar</w:t>
            </w:r>
          </w:p>
        </w:tc>
        <w:tc>
          <w:tcPr>
            <w:tcW w:type="dxa" w:w="1757"/>
          </w:tcPr>
          <w:p>
            <w:pPr>
              <w:pStyle w:val="Compact"/>
            </w:pPr>
            <w:r>
              <w:rPr>
                <w:b/>
              </w:rPr>
              <w:t>114,9 bar</w:t>
            </w:r>
          </w:p>
        </w:tc>
        <w:tc>
          <w:tcPr>
            <w:tcW w:type="dxa" w:w="1984"/>
          </w:tcPr>
          <w:p>
            <w:pPr>
              <w:pStyle w:val="Compact"/>
            </w:pPr>
            <w:r>
              <w:rPr>
                <w:b w:val="0"/>
              </w:rPr>
              <w:t>Zieldruck für S1 und S2</w:t>
            </w:r>
          </w:p>
        </w:tc>
      </w:tr>
      <w:tr>
        <w:tc>
          <w:tcPr>
            <w:tcW w:type="dxa" w:w="1531"/>
          </w:tcPr>
          <w:p>
            <w:pPr>
              <w:pStyle w:val="Compact"/>
            </w:pPr>
            <w:r>
              <w:rPr>
                <w:b w:val="0"/>
              </w:rPr>
              <w:t>Grenzfall</w:t>
            </w:r>
          </w:p>
        </w:tc>
        <w:tc>
          <w:tcPr>
            <w:tcW w:type="dxa" w:w="2098"/>
          </w:tcPr>
          <w:p>
            <w:pPr>
              <w:pStyle w:val="Compact"/>
            </w:pPr>
            <w:r>
              <w:rPr>
                <w:b w:val="0"/>
              </w:rPr>
              <w:t>rein 171,7 / Gemisch 171,2 bar</w:t>
            </w:r>
          </w:p>
        </w:tc>
        <w:tc>
          <w:tcPr>
            <w:tcW w:type="dxa" w:w="1701"/>
          </w:tcPr>
          <w:p>
            <w:pPr>
              <w:pStyle w:val="Compact"/>
            </w:pPr>
            <w:r>
              <w:rPr>
                <w:b w:val="0"/>
              </w:rPr>
              <w:t>73,8 bar (= p_krit)</w:t>
            </w:r>
          </w:p>
        </w:tc>
        <w:tc>
          <w:tcPr>
            <w:tcW w:type="dxa" w:w="1757"/>
          </w:tcPr>
          <w:p>
            <w:pPr>
              <w:pStyle w:val="Compact"/>
            </w:pPr>
            <w:r>
              <w:rPr>
                <w:b w:val="0"/>
              </w:rPr>
              <w:t>82,2 bar (= Cricondenbar)</w:t>
            </w:r>
          </w:p>
        </w:tc>
        <w:tc>
          <w:tcPr>
            <w:tcW w:type="dxa" w:w="1984"/>
          </w:tcPr>
          <w:p>
            <w:pPr>
              <w:pStyle w:val="Compact"/>
            </w:pPr>
            <w:r>
              <w:rPr>
                <w:b w:val="0"/>
              </w:rPr>
              <w:t>darüber ganzes Bohrloch einphasig</w:t>
            </w:r>
          </w:p>
        </w:tc>
      </w:tr>
      <w:tr>
        <w:tc>
          <w:tcPr>
            <w:tcW w:type="dxa" w:w="1531"/>
          </w:tcPr>
          <w:p>
            <w:pPr>
              <w:pStyle w:val="Compact"/>
            </w:pPr>
            <w:r>
              <w:rPr>
                <w:b w:val="0"/>
              </w:rPr>
              <w:t>leer</w:t>
            </w:r>
          </w:p>
        </w:tc>
        <w:tc>
          <w:tcPr>
            <w:tcW w:type="dxa" w:w="2098"/>
          </w:tcPr>
          <w:p>
            <w:pPr>
              <w:pStyle w:val="Compact"/>
            </w:pPr>
            <w:r>
              <w:rPr>
                <w:b w:val="0"/>
              </w:rPr>
              <w:t>70 bar</w:t>
            </w:r>
          </w:p>
        </w:tc>
        <w:tc>
          <w:tcPr>
            <w:tcW w:type="dxa" w:w="1701"/>
          </w:tcPr>
          <w:p>
            <w:pPr>
              <w:pStyle w:val="Compact"/>
            </w:pPr>
            <w:r>
              <w:rPr>
                <w:b w:val="0"/>
              </w:rPr>
              <w:t>45,0 bar</w:t>
            </w:r>
          </w:p>
        </w:tc>
        <w:tc>
          <w:tcPr>
            <w:tcW w:type="dxa" w:w="1757"/>
          </w:tcPr>
          <w:p>
            <w:pPr>
              <w:pStyle w:val="Compact"/>
            </w:pPr>
            <w:r>
              <w:rPr>
                <w:b w:val="0"/>
              </w:rPr>
              <w:t>50,7 bar</w:t>
            </w:r>
          </w:p>
        </w:tc>
        <w:tc>
          <w:tcPr>
            <w:tcW w:type="dxa" w:w="1984"/>
          </w:tcPr>
          <w:p>
            <w:pPr>
              <w:pStyle w:val="Compact"/>
            </w:pPr>
            <w:r>
              <w:rPr>
                <w:b w:val="0"/>
              </w:rPr>
              <w:t>0–82 m zweiphasig</w:t>
            </w:r>
          </w:p>
        </w:tc>
      </w:tr>
    </w:tbl>
    <w:p>
      <w:pPr>
        <w:pStyle w:val="BodyText"/>
      </w:pPr>
    </w:p>
    <w:p>
      <w:pPr>
        <w:pStyle w:val="CaptionedFigure"/>
        <w:jc w:val="center"/>
      </w:pPr>
      <w:r>
        <w:drawing>
          <wp:inline>
            <wp:extent cx="5760000" cy="3168000"/>
            <wp:docPr id="2" name="Picture 2"/>
            <wp:cNvGraphicFramePr>
              <a:graphicFrameLocks noChangeAspect="1"/>
            </wp:cNvGraphicFramePr>
            <a:graphic>
              <a:graphicData uri="http://schemas.openxmlformats.org/drawingml/2006/picture">
                <pic:pic>
                  <pic:nvPicPr>
                    <pic:cNvPr id="0" name="abb_gassaeule_rein_vs_gemisch.png"/>
                    <pic:cNvPicPr/>
                  </pic:nvPicPr>
                  <pic:blipFill>
                    <a:blip r:embed="rId13"/>
                    <a:stretch>
                      <a:fillRect/>
                    </a:stretch>
                  </pic:blipFill>
                  <pic:spPr>
                    <a:xfrm>
                      <a:off x="0" y="0"/>
                      <a:ext cx="5760000" cy="3168000"/>
                    </a:xfrm>
                    <a:prstGeom prst="rect"/>
                  </pic:spPr>
                </pic:pic>
              </a:graphicData>
            </a:graphic>
          </wp:inline>
        </w:drawing>
      </w:r>
    </w:p>
    <w:p>
      <w:pPr>
        <w:pStyle w:val="ImageCaption"/>
      </w:pPr>
      <w:r>
        <w:rPr>
          <w:b w:val="0"/>
        </w:rPr>
        <w:t>Abbildung 2: Dichte und Druck in der Gassäule, voll und leer, reines CO₂ vs. Gemisch (Skript 03_S1_pumpe_gemisch.py)</w:t>
      </w:r>
    </w:p>
    <w:p>
      <w:pPr>
        <w:pStyle w:val="BodyText"/>
      </w:pPr>
      <w:r>
        <w:rPr>
          <w:b/>
        </w:rPr>
        <w:t>Warum mehr Kopfdruck?</w:t>
      </w:r>
      <w:r>
        <w:rPr>
          <w:b w:val="0"/>
        </w:rPr>
        <w:t xml:space="preserve"> Das Gemisch ist leichter: am Kavernenboden 756 statt 818 kg/m³ (-7,5 %). Die Säule liefert deshalb nur 95,1 statt 102,4 bar, und die Anlage muss am Kopf 7,3 bar mehr aufbringen. Für die Kaverne heißt das auch: Je m³ Kavernenvolumen passen 7,5 % weniger Masse hinein, an CO₂ allein 10,3 % weniger.</w:t>
      </w:r>
    </w:p>
    <w:p>
      <w:pPr>
        <w:pStyle w:val="BodyText"/>
      </w:pPr>
      <w:r>
        <w:rPr>
          <w:b/>
        </w:rPr>
        <w:t>Leere Kaverne:</w:t>
      </w:r>
      <w:r>
        <w:rPr>
          <w:b w:val="0"/>
        </w:rPr>
        <w:t xml:space="preserve"> 70 bar unten ergeben oben 50,7 bar. Das obere Bohrloch (0–82 m) liegt dann zwischen Tau- und Blasenlinie. Anders als bei reinem CO₂ ist der Druck dort nicht auf eine Linie festgelegt – das Gemisch verdampft über ein Druckband, und im Stillstand würden sich Gas und Flüssigkeit trennen. Die Werte in diesem Bereich sind Gleichgewichtswerte bei homogener Verteilung und damit Richtwerte. Erst ab 171,2 bar Kavernendruck (Kopf = Cricondenbar) ist das ganze Bohrloch einphasig.</w:t>
      </w:r>
    </w:p>
    <w:p>
      <w:pPr>
        <w:pStyle w:val="Heading1"/>
      </w:pPr>
      <w:r>
        <w:t>4 S1 – dichte Anlieferung: Pumpe</w:t>
      </w:r>
    </w:p>
    <w:p>
      <w:pPr>
        <w:pStyle w:val="Heading2"/>
      </w:pPr>
      <w:r>
        <w:t>4.1 Zustand an der Übergabe</w:t>
      </w:r>
    </w:p>
    <w:p>
      <w:pPr>
        <w:pStyle w:val="BodyText"/>
      </w:pPr>
      <w:r>
        <w:rPr>
          <w:b w:val="0"/>
        </w:rPr>
        <w:t xml:space="preserve">Das Gemisch kommt mit 91 bar und 15 °C aus der Fernleitung. Es ist flüssig mit 797 kg/m³ (reines CO₂: 881 kg/m³) und liegt 19,1 bar über der Blasenlinie bei 15 °C und 8,8 bar über der Cricondenbar – also außerhalb der Unsicherheit von ± 3 bar. Der </w:t>
      </w:r>
      <w:r>
        <w:rPr>
          <w:b/>
        </w:rPr>
        <w:t>Mindestübergabedruck</w:t>
      </w:r>
      <w:r>
        <w:rPr>
          <w:b w:val="0"/>
        </w:rPr>
        <w:t xml:space="preserve"> für sicher dichtes Gemisch ist Cricondenbar + 3 bar = 85,2 bar.</w:t>
      </w:r>
    </w:p>
    <w:p>
      <w:pPr>
        <w:pStyle w:val="BodyText"/>
      </w:pPr>
      <w:r>
        <w:rPr>
          <w:b/>
        </w:rPr>
        <w:t>Warum eine Pumpe und kein Verdichter?</w:t>
      </w:r>
      <w:r>
        <w:rPr>
          <w:b w:val="0"/>
        </w:rPr>
        <w:t xml:space="preserve"> Das Gemisch ist bereits dicht und kaum kompressibel. Der Realgasfaktor am Eintritt ist Z = 0,21; Siemens Energy legt Verdichter nur ab Z &gt; 0,65 aus (E-Mail-Auskunft 08/2026). Eine Pumpe ist hier die einzige sinnvolle Maschine.</w:t>
      </w:r>
    </w:p>
    <w:p>
      <w:pPr>
        <w:pStyle w:val="Heading2"/>
      </w:pPr>
      <w:r>
        <w:t>4.2 Pumpe</w:t>
      </w:r>
    </w:p>
    <w:p>
      <w:pPr>
        <w:pStyle w:val="BodyText"/>
      </w:pPr>
      <w:r>
        <w:rPr>
          <w:b w:val="0"/>
        </w:rPr>
        <w:t>Rechenweg wie bei reinem CO₂: Zustand am Eintritt → Enthalpie h₁ und Entropie s₁; isentrope Druckerhöhung → h₂s; real mit Wirkungsgrad h₂ = h₁ + (h₂s − h₁) / η; aus p₂ und h₂ → Austrittstemperatur; spezifische Arbeit w = h₂ − h₁, Leistung P = ṁ · w. Die Enthalpien von Gemisch und reinem CO₂ haben verschiedene Nullpunkte – vergleichbar sind nur Differenzen.</w:t>
      </w:r>
    </w:p>
    <w:p>
      <w:pPr>
        <w:pStyle w:val="TableCaption"/>
      </w:pPr>
      <w:r>
        <w:rPr>
          <w:b w:val="0"/>
        </w:rPr>
        <w:t>Tabelle 6: S1: Pumpe von der Übergabe zum Bohrlochkopf</w:t>
      </w:r>
    </w:p>
    <w:tbl>
      <w:tblPr>
        <w:tblW w:type="auto" w:w="0"/>
        <w:tblLayout w:type="fixed"/>
        <w:tblLook w:firstColumn="1" w:firstRow="1" w:lastColumn="0" w:lastRow="0" w:noHBand="0" w:noVBand="1" w:val="04A0"/>
      </w:tblPr>
      <w:tblGrid>
        <w:gridCol w:w="3402"/>
        <w:gridCol w:w="2835"/>
        <w:gridCol w:w="2835"/>
      </w:tblGrid>
      <w:tr>
        <w:trPr>
          <w:tblHeader w:val="on"/>
        </w:trPr>
        <w:tc>
          <w:tcPr>
            <w:tcW w:type="dxa" w:w="3402"/>
          </w:tcPr>
          <w:p>
            <w:pPr>
              <w:pStyle w:val="Compact"/>
            </w:pPr>
            <w:r>
              <w:rPr>
                <w:b/>
              </w:rPr>
              <w:t>Größe</w:t>
            </w:r>
          </w:p>
        </w:tc>
        <w:tc>
          <w:tcPr>
            <w:tcW w:type="dxa" w:w="2835"/>
          </w:tcPr>
          <w:p>
            <w:pPr>
              <w:pStyle w:val="Compact"/>
            </w:pPr>
            <w:r>
              <w:rPr>
                <w:b/>
              </w:rPr>
              <w:t>reines CO₂</w:t>
            </w:r>
          </w:p>
        </w:tc>
        <w:tc>
          <w:tcPr>
            <w:tcW w:type="dxa" w:w="2835"/>
          </w:tcPr>
          <w:p>
            <w:pPr>
              <w:pStyle w:val="Compact"/>
            </w:pPr>
            <w:r>
              <w:rPr>
                <w:b/>
              </w:rPr>
              <w:t>Gemisch</w:t>
            </w:r>
          </w:p>
        </w:tc>
      </w:tr>
      <w:tr>
        <w:tc>
          <w:tcPr>
            <w:tcW w:type="dxa" w:w="3402"/>
          </w:tcPr>
          <w:p>
            <w:pPr>
              <w:pStyle w:val="Compact"/>
            </w:pPr>
            <w:r>
              <w:rPr>
                <w:b w:val="0"/>
              </w:rPr>
              <w:t>Druck Eintritt → Austritt</w:t>
            </w:r>
          </w:p>
        </w:tc>
        <w:tc>
          <w:tcPr>
            <w:tcW w:type="dxa" w:w="2835"/>
          </w:tcPr>
          <w:p>
            <w:pPr>
              <w:pStyle w:val="Compact"/>
            </w:pPr>
            <w:r>
              <w:rPr>
                <w:b w:val="0"/>
              </w:rPr>
              <w:t>91 → 107,6 bar</w:t>
            </w:r>
          </w:p>
        </w:tc>
        <w:tc>
          <w:tcPr>
            <w:tcW w:type="dxa" w:w="2835"/>
          </w:tcPr>
          <w:p>
            <w:pPr>
              <w:pStyle w:val="Compact"/>
            </w:pPr>
            <w:r>
              <w:rPr>
                <w:b w:val="0"/>
              </w:rPr>
              <w:t>91 → 114,9 bar</w:t>
            </w:r>
          </w:p>
        </w:tc>
      </w:tr>
      <w:tr>
        <w:tc>
          <w:tcPr>
            <w:tcW w:type="dxa" w:w="3402"/>
          </w:tcPr>
          <w:p>
            <w:pPr>
              <w:pStyle w:val="Compact"/>
            </w:pPr>
            <w:r>
              <w:rPr>
                <w:b w:val="0"/>
              </w:rPr>
              <w:t>Dichte am Eintritt</w:t>
            </w:r>
          </w:p>
        </w:tc>
        <w:tc>
          <w:tcPr>
            <w:tcW w:type="dxa" w:w="2835"/>
          </w:tcPr>
          <w:p>
            <w:pPr>
              <w:pStyle w:val="Compact"/>
            </w:pPr>
            <w:r>
              <w:rPr>
                <w:b w:val="0"/>
              </w:rPr>
              <w:t>881 kg/m³</w:t>
            </w:r>
          </w:p>
        </w:tc>
        <w:tc>
          <w:tcPr>
            <w:tcW w:type="dxa" w:w="2835"/>
          </w:tcPr>
          <w:p>
            <w:pPr>
              <w:pStyle w:val="Compact"/>
            </w:pPr>
            <w:r>
              <w:rPr>
                <w:b w:val="0"/>
              </w:rPr>
              <w:t>797 kg/m³</w:t>
            </w:r>
          </w:p>
        </w:tc>
      </w:tr>
      <w:tr>
        <w:tc>
          <w:tcPr>
            <w:tcW w:type="dxa" w:w="3402"/>
          </w:tcPr>
          <w:p>
            <w:pPr>
              <w:pStyle w:val="Compact"/>
            </w:pPr>
            <w:r>
              <w:rPr>
                <w:b w:val="0"/>
              </w:rPr>
              <w:t>Enthalpie Eintritt h₁</w:t>
            </w:r>
          </w:p>
        </w:tc>
        <w:tc>
          <w:tcPr>
            <w:tcW w:type="dxa" w:w="2835"/>
          </w:tcPr>
          <w:p>
            <w:pPr>
              <w:pStyle w:val="Compact"/>
            </w:pPr>
            <w:r>
              <w:rPr>
                <w:b w:val="0"/>
              </w:rPr>
              <w:t>231,19 kJ/kg</w:t>
            </w:r>
          </w:p>
        </w:tc>
        <w:tc>
          <w:tcPr>
            <w:tcW w:type="dxa" w:w="2835"/>
          </w:tcPr>
          <w:p>
            <w:pPr>
              <w:pStyle w:val="Compact"/>
            </w:pPr>
            <w:r>
              <w:rPr>
                <w:b w:val="0"/>
              </w:rPr>
              <w:t>246,63 kJ/kg</w:t>
            </w:r>
          </w:p>
        </w:tc>
      </w:tr>
      <w:tr>
        <w:tc>
          <w:tcPr>
            <w:tcW w:type="dxa" w:w="3402"/>
          </w:tcPr>
          <w:p>
            <w:pPr>
              <w:pStyle w:val="Compact"/>
            </w:pPr>
            <w:r>
              <w:rPr>
                <w:b w:val="0"/>
              </w:rPr>
              <w:t>Enthalpie isentrop h₂s</w:t>
            </w:r>
          </w:p>
        </w:tc>
        <w:tc>
          <w:tcPr>
            <w:tcW w:type="dxa" w:w="2835"/>
          </w:tcPr>
          <w:p>
            <w:pPr>
              <w:pStyle w:val="Compact"/>
            </w:pPr>
            <w:r>
              <w:rPr>
                <w:b w:val="0"/>
              </w:rPr>
              <w:t>233,07 kJ/kg</w:t>
            </w:r>
          </w:p>
        </w:tc>
        <w:tc>
          <w:tcPr>
            <w:tcW w:type="dxa" w:w="2835"/>
          </w:tcPr>
          <w:p>
            <w:pPr>
              <w:pStyle w:val="Compact"/>
            </w:pPr>
            <w:r>
              <w:rPr>
                <w:b w:val="0"/>
              </w:rPr>
              <w:t>249,61 kJ/kg</w:t>
            </w:r>
          </w:p>
        </w:tc>
      </w:tr>
      <w:tr>
        <w:tc>
          <w:tcPr>
            <w:tcW w:type="dxa" w:w="3402"/>
          </w:tcPr>
          <w:p>
            <w:pPr>
              <w:pStyle w:val="Compact"/>
            </w:pPr>
            <w:r>
              <w:rPr>
                <w:b w:val="0"/>
              </w:rPr>
              <w:t>Enthalpie real h₂ (η = 0,80)</w:t>
            </w:r>
          </w:p>
        </w:tc>
        <w:tc>
          <w:tcPr>
            <w:tcW w:type="dxa" w:w="2835"/>
          </w:tcPr>
          <w:p>
            <w:pPr>
              <w:pStyle w:val="Compact"/>
            </w:pPr>
            <w:r>
              <w:rPr>
                <w:b w:val="0"/>
              </w:rPr>
              <w:t>233,54 kJ/kg</w:t>
            </w:r>
          </w:p>
        </w:tc>
        <w:tc>
          <w:tcPr>
            <w:tcW w:type="dxa" w:w="2835"/>
          </w:tcPr>
          <w:p>
            <w:pPr>
              <w:pStyle w:val="Compact"/>
            </w:pPr>
            <w:r>
              <w:rPr>
                <w:b w:val="0"/>
              </w:rPr>
              <w:t>250,35 kJ/kg</w:t>
            </w:r>
          </w:p>
        </w:tc>
      </w:tr>
      <w:tr>
        <w:tc>
          <w:tcPr>
            <w:tcW w:type="dxa" w:w="3402"/>
          </w:tcPr>
          <w:p>
            <w:pPr>
              <w:pStyle w:val="Compact"/>
            </w:pPr>
            <w:r>
              <w:rPr>
                <w:b w:val="0"/>
              </w:rPr>
              <w:t>Austrittstemperatur</w:t>
            </w:r>
          </w:p>
        </w:tc>
        <w:tc>
          <w:tcPr>
            <w:tcW w:type="dxa" w:w="2835"/>
          </w:tcPr>
          <w:p>
            <w:pPr>
              <w:pStyle w:val="Compact"/>
            </w:pPr>
            <w:r>
              <w:rPr>
                <w:b w:val="0"/>
              </w:rPr>
              <w:t>16,80 °C</w:t>
            </w:r>
          </w:p>
        </w:tc>
        <w:tc>
          <w:tcPr>
            <w:tcW w:type="dxa" w:w="2835"/>
          </w:tcPr>
          <w:p>
            <w:pPr>
              <w:pStyle w:val="Compact"/>
            </w:pPr>
            <w:r>
              <w:rPr>
                <w:b w:val="0"/>
              </w:rPr>
              <w:t>18,40 °C</w:t>
            </w:r>
          </w:p>
        </w:tc>
      </w:tr>
      <w:tr>
        <w:tc>
          <w:tcPr>
            <w:tcW w:type="dxa" w:w="3402"/>
          </w:tcPr>
          <w:p>
            <w:pPr>
              <w:pStyle w:val="Compact"/>
            </w:pPr>
            <w:r>
              <w:rPr>
                <w:b w:val="0"/>
              </w:rPr>
              <w:t>Spezifische Arbeit w</w:t>
            </w:r>
          </w:p>
        </w:tc>
        <w:tc>
          <w:tcPr>
            <w:tcW w:type="dxa" w:w="2835"/>
          </w:tcPr>
          <w:p>
            <w:pPr>
              <w:pStyle w:val="Compact"/>
            </w:pPr>
            <w:r>
              <w:rPr>
                <w:b w:val="0"/>
              </w:rPr>
              <w:t>2,35 kJ/kg</w:t>
            </w:r>
          </w:p>
        </w:tc>
        <w:tc>
          <w:tcPr>
            <w:tcW w:type="dxa" w:w="2835"/>
          </w:tcPr>
          <w:p>
            <w:pPr>
              <w:pStyle w:val="Compact"/>
            </w:pPr>
            <w:r>
              <w:rPr>
                <w:b/>
              </w:rPr>
              <w:t>3,72 kJ/kg</w:t>
            </w:r>
          </w:p>
        </w:tc>
      </w:tr>
      <w:tr>
        <w:tc>
          <w:tcPr>
            <w:tcW w:type="dxa" w:w="3402"/>
          </w:tcPr>
          <w:p>
            <w:pPr>
              <w:pStyle w:val="Compact"/>
            </w:pPr>
            <w:r>
              <w:rPr>
                <w:b w:val="0"/>
              </w:rPr>
              <w:t>Leistung bei 50.000 / 100.000 Nm³/h</w:t>
            </w:r>
          </w:p>
        </w:tc>
        <w:tc>
          <w:tcPr>
            <w:tcW w:type="dxa" w:w="2835"/>
          </w:tcPr>
          <w:p>
            <w:pPr>
              <w:pStyle w:val="Compact"/>
            </w:pPr>
            <w:r>
              <w:rPr>
                <w:b w:val="0"/>
              </w:rPr>
              <w:t>64 / 129 kW</w:t>
            </w:r>
          </w:p>
        </w:tc>
        <w:tc>
          <w:tcPr>
            <w:tcW w:type="dxa" w:w="2835"/>
          </w:tcPr>
          <w:p>
            <w:pPr>
              <w:pStyle w:val="Compact"/>
            </w:pPr>
            <w:r>
              <w:rPr>
                <w:b w:val="0"/>
              </w:rPr>
              <w:t>100 / 200 kW</w:t>
            </w:r>
          </w:p>
        </w:tc>
      </w:tr>
    </w:tbl>
    <w:p>
      <w:pPr>
        <w:pStyle w:val="BodyText"/>
      </w:pPr>
    </w:p>
    <w:p>
      <w:pPr>
        <w:pStyle w:val="BodyText"/>
      </w:pPr>
      <w:r>
        <w:rPr>
          <w:b w:val="0"/>
        </w:rPr>
        <w:t>Die Pumpe braucht beim Gemisch 59 % mehr Arbeit. Zwei Gründe wirken zusammen: Sie muss 23,9 statt 16,6 bar überwinden, und das Gemisch ist weniger dicht. Die Faustformel w ≈ Δp / (ρ · η) zeigt das direkt: 23,9 bar / (797 kg/m³ · 0,80) ≈ 3,75 kJ/kg. In absoluten Zahlen bleibt S1 klein: rund 200 kW im oberen Fall.</w:t>
      </w:r>
    </w:p>
    <w:p>
      <w:pPr>
        <w:pStyle w:val="Heading1"/>
      </w:pPr>
      <w:r>
        <w:t>5 S2 – gasförmige Anlieferung (Kurzfassung)</w:t>
      </w:r>
    </w:p>
    <w:p>
      <w:pPr>
        <w:pStyle w:val="BodyText"/>
      </w:pPr>
      <w:r>
        <w:rPr>
          <w:b w:val="0"/>
        </w:rPr>
        <w:t>Wie das gasförmig angelieferte Gemisch auf den Kopfdruck kommt und warum dieser Weg gewählt ist, steht ausführlich in der Dokumentation S2 Gemisch. Kurz: Die Mappe für reines CO₂ verflüssigt bei 60 bar. Beim Gemisch geht das nicht – bei 60 bar und Kühltemperatur bleibt es gasförmig, die Pumpe könnte nicht fördern. Deshalb wird in zwei Stufen über die Cricondenbar auf 91 bar verdichtet und dort auf 26 °C gekühlt: Das Gemisch wird stetig dicht, ohne die Phasengrenze zu berühren, und die Pumpe bringt es auf den Kopfdruck.</w:t>
      </w:r>
    </w:p>
    <w:p>
      <w:pPr>
        <w:pStyle w:val="TableCaption"/>
      </w:pPr>
      <w:r>
        <w:rPr>
          <w:b w:val="0"/>
        </w:rPr>
        <w:t>Tabelle 7: S2: gewählte Kette, reines CO₂ und Gemisch</w:t>
      </w:r>
    </w:p>
    <w:tbl>
      <w:tblPr>
        <w:tblW w:type="auto" w:w="0"/>
        <w:tblLayout w:type="fixed"/>
        <w:tblLook w:firstColumn="1" w:firstRow="1" w:lastColumn="0" w:lastRow="0" w:noHBand="0" w:noVBand="1" w:val="04A0"/>
      </w:tblPr>
      <w:tblGrid>
        <w:gridCol w:w="3742"/>
        <w:gridCol w:w="2665"/>
        <w:gridCol w:w="2665"/>
      </w:tblGrid>
      <w:tr>
        <w:trPr>
          <w:tblHeader w:val="on"/>
        </w:trPr>
        <w:tc>
          <w:tcPr>
            <w:tcW w:type="dxa" w:w="3742"/>
          </w:tcPr>
          <w:p>
            <w:pPr>
              <w:pStyle w:val="Compact"/>
            </w:pPr>
            <w:r>
              <w:rPr>
                <w:b/>
              </w:rPr>
              <w:t>Abschnitt</w:t>
            </w:r>
          </w:p>
        </w:tc>
        <w:tc>
          <w:tcPr>
            <w:tcW w:type="dxa" w:w="2665"/>
          </w:tcPr>
          <w:p>
            <w:pPr>
              <w:pStyle w:val="Compact"/>
            </w:pPr>
            <w:r>
              <w:rPr>
                <w:b/>
              </w:rPr>
              <w:t>reines CO₂ (gleiche Kette)</w:t>
            </w:r>
          </w:p>
        </w:tc>
        <w:tc>
          <w:tcPr>
            <w:tcW w:type="dxa" w:w="2665"/>
          </w:tcPr>
          <w:p>
            <w:pPr>
              <w:pStyle w:val="Compact"/>
            </w:pPr>
            <w:r>
              <w:rPr>
                <w:b/>
              </w:rPr>
              <w:t>Gemisch</w:t>
            </w:r>
          </w:p>
        </w:tc>
      </w:tr>
      <w:tr>
        <w:tc>
          <w:tcPr>
            <w:tcW w:type="dxa" w:w="3742"/>
          </w:tcPr>
          <w:p>
            <w:pPr>
              <w:pStyle w:val="Compact"/>
            </w:pPr>
            <w:r>
              <w:rPr>
                <w:b w:val="0"/>
              </w:rPr>
              <w:t>Verdichter 1: 30 → 50 bar, Austritt</w:t>
            </w:r>
          </w:p>
        </w:tc>
        <w:tc>
          <w:tcPr>
            <w:tcW w:type="dxa" w:w="2665"/>
          </w:tcPr>
          <w:p>
            <w:pPr>
              <w:pStyle w:val="Compact"/>
            </w:pPr>
            <w:r>
              <w:rPr>
                <w:b w:val="0"/>
              </w:rPr>
              <w:t>57,1 °C</w:t>
            </w:r>
          </w:p>
        </w:tc>
        <w:tc>
          <w:tcPr>
            <w:tcW w:type="dxa" w:w="2665"/>
          </w:tcPr>
          <w:p>
            <w:pPr>
              <w:pStyle w:val="Compact"/>
            </w:pPr>
            <w:r>
              <w:rPr>
                <w:b w:val="0"/>
              </w:rPr>
              <w:t>57,5 °C</w:t>
            </w:r>
          </w:p>
        </w:tc>
      </w:tr>
      <w:tr>
        <w:tc>
          <w:tcPr>
            <w:tcW w:type="dxa" w:w="3742"/>
          </w:tcPr>
          <w:p>
            <w:pPr>
              <w:pStyle w:val="Compact"/>
            </w:pPr>
            <w:r>
              <w:rPr>
                <w:b w:val="0"/>
              </w:rPr>
              <w:t>Verdichter 2: 50 → 91 bar, Austritt</w:t>
            </w:r>
          </w:p>
        </w:tc>
        <w:tc>
          <w:tcPr>
            <w:tcW w:type="dxa" w:w="2665"/>
          </w:tcPr>
          <w:p>
            <w:pPr>
              <w:pStyle w:val="Compact"/>
            </w:pPr>
            <w:r>
              <w:rPr>
                <w:b w:val="0"/>
              </w:rPr>
              <w:t>76,5 °C</w:t>
            </w:r>
          </w:p>
        </w:tc>
        <w:tc>
          <w:tcPr>
            <w:tcW w:type="dxa" w:w="2665"/>
          </w:tcPr>
          <w:p>
            <w:pPr>
              <w:pStyle w:val="Compact"/>
            </w:pPr>
            <w:r>
              <w:rPr>
                <w:b w:val="0"/>
              </w:rPr>
              <w:t>77,4 °C</w:t>
            </w:r>
          </w:p>
        </w:tc>
      </w:tr>
      <w:tr>
        <w:tc>
          <w:tcPr>
            <w:tcW w:type="dxa" w:w="3742"/>
          </w:tcPr>
          <w:p>
            <w:pPr>
              <w:pStyle w:val="Compact"/>
            </w:pPr>
            <w:r>
              <w:rPr>
                <w:b w:val="0"/>
              </w:rPr>
              <w:t>Realgasfaktor vor Stufe 2 (Grenze &gt; 0,65)</w:t>
            </w:r>
          </w:p>
        </w:tc>
        <w:tc>
          <w:tcPr>
            <w:tcW w:type="dxa" w:w="2665"/>
          </w:tcPr>
          <w:p>
            <w:pPr>
              <w:pStyle w:val="Compact"/>
            </w:pPr>
            <w:r>
              <w:rPr>
                <w:b w:val="0"/>
              </w:rPr>
              <w:t>0,682</w:t>
            </w:r>
          </w:p>
        </w:tc>
        <w:tc>
          <w:tcPr>
            <w:tcW w:type="dxa" w:w="2665"/>
          </w:tcPr>
          <w:p>
            <w:pPr>
              <w:pStyle w:val="Compact"/>
            </w:pPr>
            <w:r>
              <w:rPr>
                <w:b w:val="0"/>
              </w:rPr>
              <w:t>0,714</w:t>
            </w:r>
          </w:p>
        </w:tc>
      </w:tr>
      <w:tr>
        <w:tc>
          <w:tcPr>
            <w:tcW w:type="dxa" w:w="3742"/>
          </w:tcPr>
          <w:p>
            <w:pPr>
              <w:pStyle w:val="Compact"/>
            </w:pPr>
            <w:r>
              <w:rPr>
                <w:b w:val="0"/>
              </w:rPr>
              <w:t>Dichte am Pumpeneintritt (91 bar / 26 °C)</w:t>
            </w:r>
          </w:p>
        </w:tc>
        <w:tc>
          <w:tcPr>
            <w:tcW w:type="dxa" w:w="2665"/>
          </w:tcPr>
          <w:p>
            <w:pPr>
              <w:pStyle w:val="Compact"/>
            </w:pPr>
            <w:r>
              <w:rPr>
                <w:b w:val="0"/>
              </w:rPr>
              <w:t>792 kg/m³</w:t>
            </w:r>
          </w:p>
        </w:tc>
        <w:tc>
          <w:tcPr>
            <w:tcW w:type="dxa" w:w="2665"/>
          </w:tcPr>
          <w:p>
            <w:pPr>
              <w:pStyle w:val="Compact"/>
            </w:pPr>
            <w:r>
              <w:rPr>
                <w:b w:val="0"/>
              </w:rPr>
              <w:t>660 kg/m³</w:t>
            </w:r>
          </w:p>
        </w:tc>
      </w:tr>
      <w:tr>
        <w:tc>
          <w:tcPr>
            <w:tcW w:type="dxa" w:w="3742"/>
          </w:tcPr>
          <w:p>
            <w:pPr>
              <w:pStyle w:val="Compact"/>
            </w:pPr>
            <w:r>
              <w:rPr>
                <w:b w:val="0"/>
              </w:rPr>
              <w:t>Pumpe: Austritt</w:t>
            </w:r>
          </w:p>
        </w:tc>
        <w:tc>
          <w:tcPr>
            <w:tcW w:type="dxa" w:w="2665"/>
          </w:tcPr>
          <w:p>
            <w:pPr>
              <w:pStyle w:val="Compact"/>
            </w:pPr>
            <w:r>
              <w:rPr>
                <w:b w:val="0"/>
              </w:rPr>
              <w:t>28,6 °C</w:t>
            </w:r>
          </w:p>
        </w:tc>
        <w:tc>
          <w:tcPr>
            <w:tcW w:type="dxa" w:w="2665"/>
          </w:tcPr>
          <w:p>
            <w:pPr>
              <w:pStyle w:val="Compact"/>
            </w:pPr>
            <w:r>
              <w:rPr>
                <w:b w:val="0"/>
              </w:rPr>
              <w:t>31,7 °C</w:t>
            </w:r>
          </w:p>
        </w:tc>
      </w:tr>
      <w:tr>
        <w:tc>
          <w:tcPr>
            <w:tcW w:type="dxa" w:w="3742"/>
          </w:tcPr>
          <w:p>
            <w:pPr>
              <w:pStyle w:val="Compact"/>
            </w:pPr>
            <w:r>
              <w:rPr>
                <w:b w:val="0"/>
              </w:rPr>
              <w:t>Spezifische Arbeit gesamt</w:t>
            </w:r>
          </w:p>
        </w:tc>
        <w:tc>
          <w:tcPr>
            <w:tcW w:type="dxa" w:w="2665"/>
          </w:tcPr>
          <w:p>
            <w:pPr>
              <w:pStyle w:val="Compact"/>
            </w:pPr>
            <w:r>
              <w:rPr>
                <w:b w:val="0"/>
              </w:rPr>
              <w:t>60,97 kJ/kg</w:t>
            </w:r>
          </w:p>
        </w:tc>
        <w:tc>
          <w:tcPr>
            <w:tcW w:type="dxa" w:w="2665"/>
          </w:tcPr>
          <w:p>
            <w:pPr>
              <w:pStyle w:val="Compact"/>
            </w:pPr>
            <w:r>
              <w:rPr>
                <w:b/>
              </w:rPr>
              <w:t>66,17 kJ/kg</w:t>
            </w:r>
          </w:p>
        </w:tc>
      </w:tr>
    </w:tbl>
    <w:p>
      <w:pPr>
        <w:pStyle w:val="BodyText"/>
      </w:pPr>
    </w:p>
    <w:p>
      <w:pPr>
        <w:pStyle w:val="CaptionedFigure"/>
        <w:jc w:val="center"/>
      </w:pPr>
      <w:r>
        <w:drawing>
          <wp:inline>
            <wp:extent cx="5760000" cy="366545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665455"/>
                    </a:xfrm>
                    <a:prstGeom prst="rect"/>
                  </pic:spPr>
                </pic:pic>
              </a:graphicData>
            </a:graphic>
          </wp:inline>
        </w:drawing>
      </w:r>
    </w:p>
    <w:p>
      <w:pPr>
        <w:pStyle w:val="ImageCaption"/>
      </w:pPr>
      <w:r>
        <w:rPr>
          <w:b w:val="0"/>
        </w:rPr>
        <w:t>Abbildung 3: Einspeicherpfade S1 und S2 im p-T-Diagramm des Gemischs (Skript 03_S2_verdichtung_kuehlung_pumpe_gemisch.py)</w:t>
      </w:r>
    </w:p>
    <w:p>
      <w:pPr>
        <w:pStyle w:val="BodyText"/>
      </w:pPr>
      <w:r>
        <w:rPr>
          <w:b w:val="0"/>
        </w:rPr>
        <w:t>In derselben Kette braucht das Gemisch nur 9 % mehr Arbeit als reines CO₂. Gegenüber der Mappe für reines CO₂ (verflüssigen bei 60 bar, 46,4 kJ/kg) ist der Mehraufwand größer – er kommt aber vor allem aus der anderen Kette (höherer Druck vor dem Kühler), nicht aus dem Gemisch selbst.</w:t>
      </w:r>
    </w:p>
    <w:p>
      <w:pPr>
        <w:pStyle w:val="Heading1"/>
      </w:pPr>
      <w:r>
        <w:t>6 Was das Gemisch gegenüber reinem CO₂ ändert</w:t>
      </w:r>
    </w:p>
    <w:p>
      <w:pPr>
        <w:pStyle w:val="TableCaption"/>
      </w:pPr>
      <w:r>
        <w:rPr>
          <w:b w:val="0"/>
        </w:rPr>
        <w:t>Tabelle 8: Gegenüberstellung reines CO₂ – Worst-Case-Gemisch</w:t>
      </w:r>
    </w:p>
    <w:tbl>
      <w:tblPr>
        <w:tblW w:type="auto" w:w="0"/>
        <w:tblLayout w:type="fixed"/>
        <w:tblLook w:firstColumn="1" w:firstRow="1" w:lastColumn="0" w:lastRow="0" w:noHBand="0" w:noVBand="1" w:val="04A0"/>
      </w:tblPr>
      <w:tblGrid>
        <w:gridCol w:w="3175"/>
        <w:gridCol w:w="2041"/>
        <w:gridCol w:w="2154"/>
        <w:gridCol w:w="1701"/>
      </w:tblGrid>
      <w:tr>
        <w:trPr>
          <w:tblHeader w:val="on"/>
        </w:trPr>
        <w:tc>
          <w:tcPr>
            <w:tcW w:type="dxa" w:w="3175"/>
          </w:tcPr>
          <w:p>
            <w:pPr>
              <w:pStyle w:val="Compact"/>
            </w:pPr>
            <w:r>
              <w:rPr>
                <w:b/>
              </w:rPr>
              <w:t>Größe</w:t>
            </w:r>
          </w:p>
        </w:tc>
        <w:tc>
          <w:tcPr>
            <w:tcW w:type="dxa" w:w="2041"/>
          </w:tcPr>
          <w:p>
            <w:pPr>
              <w:pStyle w:val="Compact"/>
            </w:pPr>
            <w:r>
              <w:rPr>
                <w:b/>
              </w:rPr>
              <w:t>reines CO₂</w:t>
            </w:r>
          </w:p>
        </w:tc>
        <w:tc>
          <w:tcPr>
            <w:tcW w:type="dxa" w:w="2154"/>
          </w:tcPr>
          <w:p>
            <w:pPr>
              <w:pStyle w:val="Compact"/>
            </w:pPr>
            <w:r>
              <w:rPr>
                <w:b/>
              </w:rPr>
              <w:t>Gemisch</w:t>
            </w:r>
          </w:p>
        </w:tc>
        <w:tc>
          <w:tcPr>
            <w:tcW w:type="dxa" w:w="1701"/>
          </w:tcPr>
          <w:p>
            <w:pPr>
              <w:pStyle w:val="Compact"/>
            </w:pPr>
            <w:r>
              <w:rPr>
                <w:b/>
              </w:rPr>
              <w:t>Änderung</w:t>
            </w:r>
          </w:p>
        </w:tc>
      </w:tr>
      <w:tr>
        <w:tc>
          <w:tcPr>
            <w:tcW w:type="dxa" w:w="3175"/>
          </w:tcPr>
          <w:p>
            <w:pPr>
              <w:pStyle w:val="Compact"/>
            </w:pPr>
            <w:r>
              <w:rPr>
                <w:b w:val="0"/>
              </w:rPr>
              <w:t>Normdichte</w:t>
            </w:r>
          </w:p>
        </w:tc>
        <w:tc>
          <w:tcPr>
            <w:tcW w:type="dxa" w:w="2041"/>
          </w:tcPr>
          <w:p>
            <w:pPr>
              <w:pStyle w:val="Compact"/>
            </w:pPr>
            <w:r>
              <w:rPr>
                <w:b w:val="0"/>
              </w:rPr>
              <w:t>1,977 kg/m³</w:t>
            </w:r>
          </w:p>
        </w:tc>
        <w:tc>
          <w:tcPr>
            <w:tcW w:type="dxa" w:w="2154"/>
          </w:tcPr>
          <w:p>
            <w:pPr>
              <w:pStyle w:val="Compact"/>
            </w:pPr>
            <w:r>
              <w:rPr>
                <w:b w:val="0"/>
              </w:rPr>
              <w:t>1,934 kg/m³</w:t>
            </w:r>
          </w:p>
        </w:tc>
        <w:tc>
          <w:tcPr>
            <w:tcW w:type="dxa" w:w="1701"/>
          </w:tcPr>
          <w:p>
            <w:pPr>
              <w:pStyle w:val="Compact"/>
            </w:pPr>
            <w:r>
              <w:rPr>
                <w:b w:val="0"/>
              </w:rPr>
              <w:t>-2,2 %</w:t>
            </w:r>
          </w:p>
        </w:tc>
      </w:tr>
      <w:tr>
        <w:tc>
          <w:tcPr>
            <w:tcW w:type="dxa" w:w="3175"/>
          </w:tcPr>
          <w:p>
            <w:pPr>
              <w:pStyle w:val="Compact"/>
            </w:pPr>
            <w:r>
              <w:rPr>
                <w:b w:val="0"/>
              </w:rPr>
              <w:t>Massenstrom bei 100.000 Nm³/h</w:t>
            </w:r>
          </w:p>
        </w:tc>
        <w:tc>
          <w:tcPr>
            <w:tcW w:type="dxa" w:w="2041"/>
          </w:tcPr>
          <w:p>
            <w:pPr>
              <w:pStyle w:val="Compact"/>
            </w:pPr>
            <w:r>
              <w:rPr>
                <w:b w:val="0"/>
              </w:rPr>
              <w:t>54,9 kg/s</w:t>
            </w:r>
          </w:p>
        </w:tc>
        <w:tc>
          <w:tcPr>
            <w:tcW w:type="dxa" w:w="2154"/>
          </w:tcPr>
          <w:p>
            <w:pPr>
              <w:pStyle w:val="Compact"/>
            </w:pPr>
            <w:r>
              <w:rPr>
                <w:b w:val="0"/>
              </w:rPr>
              <w:t>53,7 kg/s</w:t>
            </w:r>
          </w:p>
        </w:tc>
        <w:tc>
          <w:tcPr>
            <w:tcW w:type="dxa" w:w="1701"/>
          </w:tcPr>
          <w:p>
            <w:pPr>
              <w:pStyle w:val="Compact"/>
            </w:pPr>
            <w:r>
              <w:rPr>
                <w:b w:val="0"/>
              </w:rPr>
              <w:t>-2,2 %</w:t>
            </w:r>
          </w:p>
        </w:tc>
      </w:tr>
      <w:tr>
        <w:tc>
          <w:tcPr>
            <w:tcW w:type="dxa" w:w="3175"/>
          </w:tcPr>
          <w:p>
            <w:pPr>
              <w:pStyle w:val="Compact"/>
            </w:pPr>
            <w:r>
              <w:rPr>
                <w:b w:val="0"/>
              </w:rPr>
              <w:t>Dichte Kavernenboden (210 bar, 46 °C)</w:t>
            </w:r>
          </w:p>
        </w:tc>
        <w:tc>
          <w:tcPr>
            <w:tcW w:type="dxa" w:w="2041"/>
          </w:tcPr>
          <w:p>
            <w:pPr>
              <w:pStyle w:val="Compact"/>
            </w:pPr>
            <w:r>
              <w:rPr>
                <w:b w:val="0"/>
              </w:rPr>
              <w:t>818 kg/m³</w:t>
            </w:r>
          </w:p>
        </w:tc>
        <w:tc>
          <w:tcPr>
            <w:tcW w:type="dxa" w:w="2154"/>
          </w:tcPr>
          <w:p>
            <w:pPr>
              <w:pStyle w:val="Compact"/>
            </w:pPr>
            <w:r>
              <w:rPr>
                <w:b w:val="0"/>
              </w:rPr>
              <w:t>756 kg/m³</w:t>
            </w:r>
          </w:p>
        </w:tc>
        <w:tc>
          <w:tcPr>
            <w:tcW w:type="dxa" w:w="1701"/>
          </w:tcPr>
          <w:p>
            <w:pPr>
              <w:pStyle w:val="Compact"/>
            </w:pPr>
            <w:r>
              <w:rPr>
                <w:b w:val="0"/>
              </w:rPr>
              <w:t>-7,5 %</w:t>
            </w:r>
          </w:p>
        </w:tc>
      </w:tr>
      <w:tr>
        <w:tc>
          <w:tcPr>
            <w:tcW w:type="dxa" w:w="3175"/>
          </w:tcPr>
          <w:p>
            <w:pPr>
              <w:pStyle w:val="Compact"/>
            </w:pPr>
            <w:r>
              <w:rPr>
                <w:b w:val="0"/>
              </w:rPr>
              <w:t>Kopfdruck voll</w:t>
            </w:r>
          </w:p>
        </w:tc>
        <w:tc>
          <w:tcPr>
            <w:tcW w:type="dxa" w:w="2041"/>
          </w:tcPr>
          <w:p>
            <w:pPr>
              <w:pStyle w:val="Compact"/>
            </w:pPr>
            <w:r>
              <w:rPr>
                <w:b w:val="0"/>
              </w:rPr>
              <w:t>107,6 bar</w:t>
            </w:r>
          </w:p>
        </w:tc>
        <w:tc>
          <w:tcPr>
            <w:tcW w:type="dxa" w:w="2154"/>
          </w:tcPr>
          <w:p>
            <w:pPr>
              <w:pStyle w:val="Compact"/>
            </w:pPr>
            <w:r>
              <w:rPr>
                <w:b w:val="0"/>
              </w:rPr>
              <w:t>114,9 bar</w:t>
            </w:r>
          </w:p>
        </w:tc>
        <w:tc>
          <w:tcPr>
            <w:tcW w:type="dxa" w:w="1701"/>
          </w:tcPr>
          <w:p>
            <w:pPr>
              <w:pStyle w:val="Compact"/>
            </w:pPr>
            <w:r>
              <w:rPr>
                <w:b w:val="0"/>
              </w:rPr>
              <w:t>+7,3 bar</w:t>
            </w:r>
          </w:p>
        </w:tc>
      </w:tr>
      <w:tr>
        <w:tc>
          <w:tcPr>
            <w:tcW w:type="dxa" w:w="3175"/>
          </w:tcPr>
          <w:p>
            <w:pPr>
              <w:pStyle w:val="Compact"/>
            </w:pPr>
            <w:r>
              <w:rPr>
                <w:b w:val="0"/>
              </w:rPr>
              <w:t>Kopfdruck leer</w:t>
            </w:r>
          </w:p>
        </w:tc>
        <w:tc>
          <w:tcPr>
            <w:tcW w:type="dxa" w:w="2041"/>
          </w:tcPr>
          <w:p>
            <w:pPr>
              <w:pStyle w:val="Compact"/>
            </w:pPr>
            <w:r>
              <w:rPr>
                <w:b w:val="0"/>
              </w:rPr>
              <w:t>45,0 bar</w:t>
            </w:r>
          </w:p>
        </w:tc>
        <w:tc>
          <w:tcPr>
            <w:tcW w:type="dxa" w:w="2154"/>
          </w:tcPr>
          <w:p>
            <w:pPr>
              <w:pStyle w:val="Compact"/>
            </w:pPr>
            <w:r>
              <w:rPr>
                <w:b w:val="0"/>
              </w:rPr>
              <w:t>50,7 bar</w:t>
            </w:r>
          </w:p>
        </w:tc>
        <w:tc>
          <w:tcPr>
            <w:tcW w:type="dxa" w:w="1701"/>
          </w:tcPr>
          <w:p>
            <w:pPr>
              <w:pStyle w:val="Compact"/>
            </w:pPr>
            <w:r>
              <w:rPr>
                <w:b w:val="0"/>
              </w:rPr>
              <w:t>+5,7 bar</w:t>
            </w:r>
          </w:p>
        </w:tc>
      </w:tr>
      <w:tr>
        <w:tc>
          <w:tcPr>
            <w:tcW w:type="dxa" w:w="3175"/>
          </w:tcPr>
          <w:p>
            <w:pPr>
              <w:pStyle w:val="Compact"/>
            </w:pPr>
            <w:r>
              <w:rPr>
                <w:b w:val="0"/>
              </w:rPr>
              <w:t>Bohrloch ganz einphasig ab</w:t>
            </w:r>
          </w:p>
        </w:tc>
        <w:tc>
          <w:tcPr>
            <w:tcW w:type="dxa" w:w="2041"/>
          </w:tcPr>
          <w:p>
            <w:pPr>
              <w:pStyle w:val="Compact"/>
            </w:pPr>
            <w:r>
              <w:rPr>
                <w:b w:val="0"/>
              </w:rPr>
              <w:t>171,7 bar unten</w:t>
            </w:r>
          </w:p>
        </w:tc>
        <w:tc>
          <w:tcPr>
            <w:tcW w:type="dxa" w:w="2154"/>
          </w:tcPr>
          <w:p>
            <w:pPr>
              <w:pStyle w:val="Compact"/>
            </w:pPr>
            <w:r>
              <w:rPr>
                <w:b w:val="0"/>
              </w:rPr>
              <w:t>171,2 bar unten</w:t>
            </w:r>
          </w:p>
        </w:tc>
        <w:tc>
          <w:tcPr>
            <w:tcW w:type="dxa" w:w="1701"/>
          </w:tcPr>
          <w:p>
            <w:pPr>
              <w:pStyle w:val="Compact"/>
            </w:pPr>
            <w:r>
              <w:rPr>
                <w:b w:val="0"/>
              </w:rPr>
              <w:t>kaum Änderung</w:t>
            </w:r>
          </w:p>
        </w:tc>
      </w:tr>
      <w:tr>
        <w:tc>
          <w:tcPr>
            <w:tcW w:type="dxa" w:w="3175"/>
          </w:tcPr>
          <w:p>
            <w:pPr>
              <w:pStyle w:val="Compact"/>
            </w:pPr>
            <w:r>
              <w:rPr>
                <w:b w:val="0"/>
              </w:rPr>
              <w:t>Mindestdruck dichte Anlieferung bei 15 °C</w:t>
            </w:r>
          </w:p>
        </w:tc>
        <w:tc>
          <w:tcPr>
            <w:tcW w:type="dxa" w:w="2041"/>
          </w:tcPr>
          <w:p>
            <w:pPr>
              <w:pStyle w:val="Compact"/>
            </w:pPr>
            <w:r>
              <w:rPr>
                <w:b w:val="0"/>
              </w:rPr>
              <w:t>50,9 bar (Dampfdruck)</w:t>
            </w:r>
          </w:p>
        </w:tc>
        <w:tc>
          <w:tcPr>
            <w:tcW w:type="dxa" w:w="2154"/>
          </w:tcPr>
          <w:p>
            <w:pPr>
              <w:pStyle w:val="Compact"/>
            </w:pPr>
            <w:r>
              <w:rPr>
                <w:b w:val="0"/>
              </w:rPr>
              <w:t>74,9 bar (Blasendruck + 3)</w:t>
            </w:r>
          </w:p>
        </w:tc>
        <w:tc>
          <w:tcPr>
            <w:tcW w:type="dxa" w:w="1701"/>
          </w:tcPr>
          <w:p>
            <w:pPr>
              <w:pStyle w:val="Compact"/>
            </w:pPr>
            <w:r>
              <w:rPr>
                <w:b w:val="0"/>
              </w:rPr>
              <w:t>+24,1 bar</w:t>
            </w:r>
          </w:p>
        </w:tc>
      </w:tr>
      <w:tr>
        <w:tc>
          <w:tcPr>
            <w:tcW w:type="dxa" w:w="3175"/>
          </w:tcPr>
          <w:p>
            <w:pPr>
              <w:pStyle w:val="Compact"/>
            </w:pPr>
            <w:r>
              <w:rPr>
                <w:b w:val="0"/>
              </w:rPr>
              <w:t>… unabhängig von der Temperatur</w:t>
            </w:r>
          </w:p>
        </w:tc>
        <w:tc>
          <w:tcPr>
            <w:tcW w:type="dxa" w:w="2041"/>
          </w:tcPr>
          <w:p>
            <w:pPr>
              <w:pStyle w:val="Compact"/>
            </w:pPr>
            <w:r>
              <w:rPr>
                <w:b w:val="0"/>
              </w:rPr>
              <w:t>73,8 bar (p_krit)</w:t>
            </w:r>
          </w:p>
        </w:tc>
        <w:tc>
          <w:tcPr>
            <w:tcW w:type="dxa" w:w="2154"/>
          </w:tcPr>
          <w:p>
            <w:pPr>
              <w:pStyle w:val="Compact"/>
            </w:pPr>
            <w:r>
              <w:rPr>
                <w:b w:val="0"/>
              </w:rPr>
              <w:t>85,2 bar (Cricondenbar + 3)</w:t>
            </w:r>
          </w:p>
        </w:tc>
        <w:tc>
          <w:tcPr>
            <w:tcW w:type="dxa" w:w="1701"/>
          </w:tcPr>
          <w:p>
            <w:pPr>
              <w:pStyle w:val="Compact"/>
            </w:pPr>
            <w:r>
              <w:rPr>
                <w:b w:val="0"/>
              </w:rPr>
              <w:t>+11,4 bar</w:t>
            </w:r>
          </w:p>
        </w:tc>
      </w:tr>
      <w:tr>
        <w:tc>
          <w:tcPr>
            <w:tcW w:type="dxa" w:w="3175"/>
          </w:tcPr>
          <w:p>
            <w:pPr>
              <w:pStyle w:val="Compact"/>
            </w:pPr>
            <w:r>
              <w:rPr>
                <w:b w:val="0"/>
              </w:rPr>
              <w:t>S1 Pumpe</w:t>
            </w:r>
          </w:p>
        </w:tc>
        <w:tc>
          <w:tcPr>
            <w:tcW w:type="dxa" w:w="2041"/>
          </w:tcPr>
          <w:p>
            <w:pPr>
              <w:pStyle w:val="Compact"/>
            </w:pPr>
            <w:r>
              <w:rPr>
                <w:b w:val="0"/>
              </w:rPr>
              <w:t>2,35 kJ/kg</w:t>
            </w:r>
          </w:p>
        </w:tc>
        <w:tc>
          <w:tcPr>
            <w:tcW w:type="dxa" w:w="2154"/>
          </w:tcPr>
          <w:p>
            <w:pPr>
              <w:pStyle w:val="Compact"/>
            </w:pPr>
            <w:r>
              <w:rPr>
                <w:b w:val="0"/>
              </w:rPr>
              <w:t>3,72 kJ/kg</w:t>
            </w:r>
          </w:p>
        </w:tc>
        <w:tc>
          <w:tcPr>
            <w:tcW w:type="dxa" w:w="1701"/>
          </w:tcPr>
          <w:p>
            <w:pPr>
              <w:pStyle w:val="Compact"/>
            </w:pPr>
            <w:r>
              <w:rPr>
                <w:b w:val="0"/>
              </w:rPr>
              <w:t>+59 %</w:t>
            </w:r>
          </w:p>
        </w:tc>
      </w:tr>
      <w:tr>
        <w:tc>
          <w:tcPr>
            <w:tcW w:type="dxa" w:w="3175"/>
          </w:tcPr>
          <w:p>
            <w:pPr>
              <w:pStyle w:val="Compact"/>
            </w:pPr>
            <w:r>
              <w:rPr>
                <w:b w:val="0"/>
              </w:rPr>
              <w:t>S2 gleiche Kette</w:t>
            </w:r>
          </w:p>
        </w:tc>
        <w:tc>
          <w:tcPr>
            <w:tcW w:type="dxa" w:w="2041"/>
          </w:tcPr>
          <w:p>
            <w:pPr>
              <w:pStyle w:val="Compact"/>
            </w:pPr>
            <w:r>
              <w:rPr>
                <w:b w:val="0"/>
              </w:rPr>
              <w:t>60,97 kJ/kg</w:t>
            </w:r>
          </w:p>
        </w:tc>
        <w:tc>
          <w:tcPr>
            <w:tcW w:type="dxa" w:w="2154"/>
          </w:tcPr>
          <w:p>
            <w:pPr>
              <w:pStyle w:val="Compact"/>
            </w:pPr>
            <w:r>
              <w:rPr>
                <w:b w:val="0"/>
              </w:rPr>
              <w:t>66,17 kJ/kg</w:t>
            </w:r>
          </w:p>
        </w:tc>
        <w:tc>
          <w:tcPr>
            <w:tcW w:type="dxa" w:w="1701"/>
          </w:tcPr>
          <w:p>
            <w:pPr>
              <w:pStyle w:val="Compact"/>
            </w:pPr>
            <w:r>
              <w:rPr>
                <w:b w:val="0"/>
              </w:rPr>
              <w:t>+9 %</w:t>
            </w:r>
          </w:p>
        </w:tc>
      </w:tr>
      <w:tr>
        <w:tc>
          <w:tcPr>
            <w:tcW w:type="dxa" w:w="3175"/>
          </w:tcPr>
          <w:p>
            <w:pPr>
              <w:pStyle w:val="Compact"/>
            </w:pPr>
            <w:r>
              <w:rPr>
                <w:b w:val="0"/>
              </w:rPr>
              <w:t>S2 Leistung bei 100.000 Nm³/h</w:t>
            </w:r>
          </w:p>
        </w:tc>
        <w:tc>
          <w:tcPr>
            <w:tcW w:type="dxa" w:w="2041"/>
          </w:tcPr>
          <w:p>
            <w:pPr>
              <w:pStyle w:val="Compact"/>
            </w:pPr>
            <w:r>
              <w:rPr>
                <w:b w:val="0"/>
              </w:rPr>
              <w:t>3348 kW</w:t>
            </w:r>
          </w:p>
        </w:tc>
        <w:tc>
          <w:tcPr>
            <w:tcW w:type="dxa" w:w="2154"/>
          </w:tcPr>
          <w:p>
            <w:pPr>
              <w:pStyle w:val="Compact"/>
            </w:pPr>
            <w:r>
              <w:rPr>
                <w:b w:val="0"/>
              </w:rPr>
              <w:t>3555 kW</w:t>
            </w:r>
          </w:p>
        </w:tc>
        <w:tc>
          <w:tcPr>
            <w:tcW w:type="dxa" w:w="1701"/>
          </w:tcPr>
          <w:p>
            <w:pPr>
              <w:pStyle w:val="Compact"/>
            </w:pPr>
            <w:r>
              <w:rPr>
                <w:b w:val="0"/>
              </w:rPr>
              <w:t>+6 %</w:t>
            </w:r>
          </w:p>
        </w:tc>
      </w:tr>
    </w:tbl>
    <w:p>
      <w:pPr>
        <w:pStyle w:val="BodyText"/>
      </w:pPr>
    </w:p>
    <w:p>
      <w:pPr>
        <w:pStyle w:val="CaptionedFigure"/>
        <w:jc w:val="center"/>
      </w:pPr>
      <w:r>
        <w:drawing>
          <wp:inline>
            <wp:extent cx="5040000" cy="2128000"/>
            <wp:docPr id="4" name="Picture 4"/>
            <wp:cNvGraphicFramePr>
              <a:graphicFrameLocks noChangeAspect="1"/>
            </wp:cNvGraphicFramePr>
            <a:graphic>
              <a:graphicData uri="http://schemas.openxmlformats.org/drawingml/2006/picture">
                <pic:pic>
                  <pic:nvPicPr>
                    <pic:cNvPr id="0" name="abb_arbeit_rein_vs_gemisch.png"/>
                    <pic:cNvPicPr/>
                  </pic:nvPicPr>
                  <pic:blipFill>
                    <a:blip r:embed="rId14"/>
                    <a:stretch>
                      <a:fillRect/>
                    </a:stretch>
                  </pic:blipFill>
                  <pic:spPr>
                    <a:xfrm>
                      <a:off x="0" y="0"/>
                      <a:ext cx="5040000" cy="2128000"/>
                    </a:xfrm>
                    <a:prstGeom prst="rect"/>
                  </pic:spPr>
                </pic:pic>
              </a:graphicData>
            </a:graphic>
          </wp:inline>
        </w:drawing>
      </w:r>
    </w:p>
    <w:p>
      <w:pPr>
        <w:pStyle w:val="ImageCaption"/>
      </w:pPr>
      <w:r>
        <w:rPr>
          <w:b w:val="0"/>
        </w:rPr>
        <w:t>Abbildung 4: Spezifische Arbeit bis zum Bohrlochkopf, reines CO₂ vs. Gemisch (Skript 03_S2_verdichtung_kuehlung_pumpe_gemisch.py)</w:t>
      </w:r>
    </w:p>
    <w:p>
      <w:pPr>
        <w:pStyle w:val="Heading1"/>
      </w:pPr>
      <w:r>
        <w:t>7 Offene Punkte</w:t>
      </w:r>
    </w:p>
    <w:p>
      <w:pPr>
        <w:pStyle w:val="Compact"/>
      </w:pPr>
      <w:r>
        <w:rPr>
          <w:b w:val="0"/>
        </w:rPr>
        <w:t>– Verträglichkeit der Maschinen mit den Begleitstoffen (Dichtungen bei N₂/H₂, Werkstoffe): Herstelleranfrage mit dem Worst-Case-Gemisch, siehe auch Dokumentation S2 Gemisch, Kap. 8.</w:t>
      </w:r>
    </w:p>
    <w:p>
      <w:pPr>
        <w:pStyle w:val="Compact"/>
      </w:pPr>
      <w:r>
        <w:rPr>
          <w:b w:val="0"/>
        </w:rPr>
        <w:t>– Wirkungsgrad der Pumpe (0,80) ist eine eigene Annahme und herstellerseitig zu bestätigen.</w:t>
      </w:r>
    </w:p>
    <w:p>
      <w:pPr>
        <w:pStyle w:val="Compact"/>
      </w:pPr>
      <w:r>
        <w:rPr>
          <w:b w:val="0"/>
        </w:rPr>
        <w:t>– Übergabedruck S2 (30 bar) stammt aus der Vorarbeit; Quelle (Q-040) noch auszuwerten.</w:t>
      </w:r>
    </w:p>
    <w:p>
      <w:pPr>
        <w:pStyle w:val="Compact"/>
      </w:pPr>
      <w:r>
        <w:rPr>
          <w:b w:val="0"/>
        </w:rPr>
        <w:t>– Die Gassäulen gelten nur für den Stillstand; im Betrieb ändern Reibung und Wärmeaustausch den Kopfdruck.</w:t>
      </w:r>
    </w:p>
    <w:p>
      <w:pPr>
        <w:pStyle w:val="Compact"/>
      </w:pPr>
      <w:r>
        <w:rPr>
          <w:b w:val="0"/>
        </w:rPr>
        <w:t>– Leere Kaverne: das obere Bohrloch ist bis ca. 82 m zweiphasig – Betriebsgrenze bzw. Mindestdruck im Zusammenhang mit der Kaverne festlegen (Dokumentation Kaverne).</w:t>
      </w:r>
    </w:p>
    <w:p>
      <w:pPr>
        <w:pStyle w:val="Heading1"/>
      </w:pPr>
      <w:r>
        <w:t>8 Dateien</w:t>
      </w:r>
    </w:p>
    <w:p>
      <w:pPr>
        <w:pStyle w:val="TableCaption"/>
      </w:pPr>
      <w:r>
        <w:rPr>
          <w:b w:val="0"/>
        </w:rPr>
        <w:t>Tabelle 9: Dateien zu dieser Dokumentation (Ordner Begleitstoffe_CO2)</w:t>
      </w:r>
    </w:p>
    <w:tbl>
      <w:tblPr>
        <w:tblW w:type="auto" w:w="0"/>
        <w:tblLayout w:type="fixed"/>
        <w:tblLook w:firstColumn="1" w:firstRow="1" w:lastColumn="0" w:lastRow="0" w:noHBand="0" w:noVBand="1" w:val="04A0"/>
      </w:tblPr>
      <w:tblGrid>
        <w:gridCol w:w="4535"/>
        <w:gridCol w:w="4535"/>
      </w:tblGrid>
      <w:tr>
        <w:trPr>
          <w:tblHeader w:val="on"/>
        </w:trPr>
        <w:tc>
          <w:tcPr>
            <w:tcW w:type="dxa" w:w="4535"/>
          </w:tcPr>
          <w:p>
            <w:pPr>
              <w:pStyle w:val="Compact"/>
            </w:pPr>
            <w:r>
              <w:rPr>
                <w:b/>
              </w:rPr>
              <w:t>Datei</w:t>
            </w:r>
          </w:p>
        </w:tc>
        <w:tc>
          <w:tcPr>
            <w:tcW w:type="dxa" w:w="4535"/>
          </w:tcPr>
          <w:p>
            <w:pPr>
              <w:pStyle w:val="Compact"/>
            </w:pPr>
            <w:r>
              <w:rPr>
                <w:b/>
              </w:rPr>
              <w:t>Inhalt</w:t>
            </w:r>
          </w:p>
        </w:tc>
      </w:tr>
      <w:tr>
        <w:tc>
          <w:tcPr>
            <w:tcW w:type="dxa" w:w="4535"/>
          </w:tcPr>
          <w:p>
            <w:pPr>
              <w:pStyle w:val="Compact"/>
            </w:pPr>
            <w:r>
              <w:rPr>
                <w:b w:val="0"/>
              </w:rPr>
              <w:t>README.md</w:t>
            </w:r>
          </w:p>
        </w:tc>
        <w:tc>
          <w:tcPr>
            <w:tcW w:type="dxa" w:w="4535"/>
          </w:tcPr>
          <w:p>
            <w:pPr>
              <w:pStyle w:val="Compact"/>
            </w:pPr>
            <w:r>
              <w:rPr>
                <w:b w:val="0"/>
              </w:rPr>
              <w:t>Übersicht aller Skripte und Ordner</w:t>
            </w:r>
          </w:p>
        </w:tc>
      </w:tr>
      <w:tr>
        <w:tc>
          <w:tcPr>
            <w:tcW w:type="dxa" w:w="4535"/>
          </w:tcPr>
          <w:p>
            <w:pPr>
              <w:pStyle w:val="Compact"/>
            </w:pPr>
            <w:r>
              <w:rPr>
                <w:b w:val="0"/>
              </w:rPr>
              <w:t>Grundlagen/gemisch_worstcase.py</w:t>
            </w:r>
          </w:p>
        </w:tc>
        <w:tc>
          <w:tcPr>
            <w:tcW w:type="dxa" w:w="4535"/>
          </w:tcPr>
          <w:p>
            <w:pPr>
              <w:pStyle w:val="Compact"/>
            </w:pPr>
            <w:r>
              <w:rPr>
                <w:b w:val="0"/>
              </w:rPr>
              <w:t>Zusammensetzung, Stoffwerte und Phasengrenze des Gemischs</w:t>
            </w:r>
          </w:p>
        </w:tc>
      </w:tr>
      <w:tr>
        <w:tc>
          <w:tcPr>
            <w:tcW w:type="dxa" w:w="4535"/>
          </w:tcPr>
          <w:p>
            <w:pPr>
              <w:pStyle w:val="Compact"/>
            </w:pPr>
            <w:r>
              <w:rPr>
                <w:b w:val="0"/>
              </w:rPr>
              <w:t>Grundlagen/einspeicherung_bausteine.py</w:t>
            </w:r>
          </w:p>
        </w:tc>
        <w:tc>
          <w:tcPr>
            <w:tcW w:type="dxa" w:w="4535"/>
          </w:tcPr>
          <w:p>
            <w:pPr>
              <w:pStyle w:val="Compact"/>
            </w:pPr>
            <w:r>
              <w:rPr>
                <w:b w:val="0"/>
              </w:rPr>
              <w:t>Annahmen und Rechenbausteine (Gassäule, Pumpe, Verdichter, Kühler)</w:t>
            </w:r>
          </w:p>
        </w:tc>
      </w:tr>
      <w:tr>
        <w:tc>
          <w:tcPr>
            <w:tcW w:type="dxa" w:w="4535"/>
          </w:tcPr>
          <w:p>
            <w:pPr>
              <w:pStyle w:val="Compact"/>
            </w:pPr>
            <w:r>
              <w:rPr>
                <w:b w:val="0"/>
              </w:rPr>
              <w:t>Grundlagen/CO2_Einspeicherpfad_Rechenuebersicht_Gemisch.xlsx</w:t>
            </w:r>
          </w:p>
        </w:tc>
        <w:tc>
          <w:tcPr>
            <w:tcW w:type="dxa" w:w="4535"/>
          </w:tcPr>
          <w:p>
            <w:pPr>
              <w:pStyle w:val="Compact"/>
            </w:pPr>
            <w:r>
              <w:rPr>
                <w:b w:val="0"/>
              </w:rPr>
              <w:t>Rechenübersicht Gemisch (von Hand gepflegt)</w:t>
            </w:r>
          </w:p>
        </w:tc>
      </w:tr>
      <w:tr>
        <w:tc>
          <w:tcPr>
            <w:tcW w:type="dxa" w:w="4535"/>
          </w:tcPr>
          <w:p>
            <w:pPr>
              <w:pStyle w:val="Compact"/>
            </w:pPr>
            <w:r>
              <w:rPr>
                <w:b w:val="0"/>
              </w:rPr>
              <w:t>Grundlagen/Dokumentation_Stoffmodelle_Validierung.docx</w:t>
            </w:r>
          </w:p>
        </w:tc>
        <w:tc>
          <w:tcPr>
            <w:tcW w:type="dxa" w:w="4535"/>
          </w:tcPr>
          <w:p>
            <w:pPr>
              <w:pStyle w:val="Compact"/>
            </w:pPr>
            <w:r>
              <w:rPr>
                <w:b w:val="0"/>
              </w:rPr>
              <w:t>Stoffmodelle, Validierung, Unsicherheit ± 3 bar</w:t>
            </w:r>
          </w:p>
        </w:tc>
      </w:tr>
      <w:tr>
        <w:tc>
          <w:tcPr>
            <w:tcW w:type="dxa" w:w="4535"/>
          </w:tcPr>
          <w:p>
            <w:pPr>
              <w:pStyle w:val="Compact"/>
            </w:pPr>
            <w:r>
              <w:rPr>
                <w:b w:val="0"/>
              </w:rPr>
              <w:t>Grundlagen/Dokumentation_S2_Gemisch.docx</w:t>
            </w:r>
          </w:p>
        </w:tc>
        <w:tc>
          <w:tcPr>
            <w:tcW w:type="dxa" w:w="4535"/>
          </w:tcPr>
          <w:p>
            <w:pPr>
              <w:pStyle w:val="Compact"/>
            </w:pPr>
            <w:r>
              <w:rPr>
                <w:b w:val="0"/>
              </w:rPr>
              <w:t>Wahl des S2-Wegs, Anforderungen an Pumpe und Verdichter</w:t>
            </w:r>
          </w:p>
        </w:tc>
      </w:tr>
      <w:tr>
        <w:tc>
          <w:tcPr>
            <w:tcW w:type="dxa" w:w="4535"/>
          </w:tcPr>
          <w:p>
            <w:pPr>
              <w:pStyle w:val="Compact"/>
            </w:pPr>
            <w:r>
              <w:rPr>
                <w:b w:val="0"/>
              </w:rPr>
              <w:t>Prozesskette/03_S1_pumpe_gemisch.py</w:t>
            </w:r>
          </w:p>
        </w:tc>
        <w:tc>
          <w:tcPr>
            <w:tcW w:type="dxa" w:w="4535"/>
          </w:tcPr>
          <w:p>
            <w:pPr>
              <w:pStyle w:val="Compact"/>
            </w:pPr>
            <w:r>
              <w:rPr>
                <w:b w:val="0"/>
              </w:rPr>
              <w:t>Gassäule und S1 (Kap. 3 und 4); Kontrolle gegen Excel</w:t>
            </w:r>
          </w:p>
        </w:tc>
      </w:tr>
      <w:tr>
        <w:tc>
          <w:tcPr>
            <w:tcW w:type="dxa" w:w="4535"/>
          </w:tcPr>
          <w:p>
            <w:pPr>
              <w:pStyle w:val="Compact"/>
            </w:pPr>
            <w:r>
              <w:rPr>
                <w:b w:val="0"/>
              </w:rPr>
              <w:t>Prozesskette/03_S2_verdichtung_kuehlung_pumpe_gemisch.py</w:t>
            </w:r>
          </w:p>
        </w:tc>
        <w:tc>
          <w:tcPr>
            <w:tcW w:type="dxa" w:w="4535"/>
          </w:tcPr>
          <w:p>
            <w:pPr>
              <w:pStyle w:val="Compact"/>
            </w:pPr>
            <w:r>
              <w:rPr>
                <w:b w:val="0"/>
              </w:rPr>
              <w:t>S2 (Kap. 5); Kontrolle gegen Excel</w:t>
            </w:r>
          </w:p>
        </w:tc>
      </w:tr>
      <w:tr>
        <w:tc>
          <w:tcPr>
            <w:tcW w:type="dxa" w:w="4535"/>
          </w:tcPr>
          <w:p>
            <w:pPr>
              <w:pStyle w:val="Compact"/>
            </w:pPr>
            <w:r>
              <w:rPr>
                <w:b w:val="0"/>
              </w:rPr>
              <w:t>Stoffmodell/01_phasendiagramm_rein_vs_gemisch.py</w:t>
            </w:r>
          </w:p>
        </w:tc>
        <w:tc>
          <w:tcPr>
            <w:tcW w:type="dxa" w:w="4535"/>
          </w:tcPr>
          <w:p>
            <w:pPr>
              <w:pStyle w:val="Compact"/>
            </w:pPr>
            <w:r>
              <w:rPr>
                <w:b w:val="0"/>
              </w:rPr>
              <w:t>Abbildung 1</w:t>
            </w:r>
          </w:p>
        </w:tc>
      </w:tr>
      <w:tr>
        <w:tc>
          <w:tcPr>
            <w:tcW w:type="dxa" w:w="4535"/>
          </w:tcPr>
          <w:p>
            <w:pPr>
              <w:pStyle w:val="Compact"/>
            </w:pPr>
            <w:r>
              <w:rPr>
                <w:b w:val="0"/>
              </w:rPr>
              <w:t>Abbildungen/</w:t>
            </w:r>
          </w:p>
        </w:tc>
        <w:tc>
          <w:tcPr>
            <w:tcW w:type="dxa" w:w="4535"/>
          </w:tcPr>
          <w:p>
            <w:pPr>
              <w:pStyle w:val="Compact"/>
            </w:pPr>
            <w:r>
              <w:rPr>
                <w:b w:val="0"/>
              </w:rPr>
              <w:t>alle Abbildungen dieser Dokumentation</w:t>
            </w:r>
          </w:p>
        </w:tc>
      </w:tr>
    </w:tbl>
    <w:p>
      <w:pPr>
        <w:pStyle w:val="BodyText"/>
      </w:pPr>
    </w:p>
    <w:sectPr>
      <w:pgSz w:h="16838" w:w="11906"/>
      <w:pgMar w:bottom="1134"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StyleRowBandSize w:val="1"/>
      <w:tblInd w:type="dxa" w:w="0"/>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80"/>
        <w:bottom w:type="dxa" w:w="40"/>
        <w:right w:type="dxa" w:w="80"/>
      </w:tblCellMar>
    </w:tblPr>
    <w:tblStylePr w:type="firstRow">
      <w:rPr>
        <w:b/>
      </w:rPr>
      <w:tcPr>
        <w:shd w:color="auto" w:fill="DCE6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png"/><Relationship Id="rId38" Type="http://schemas.openxmlformats.org/officeDocument/2006/relationships/image" Target="media/rId38.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Einspeicherung S2 mit Worst-Case-Gemisch</dc:title>
  <dc:creator/>
  <dc:language>de-DE</dc:language>
  <cp:keywords/>
  <dcterms:created xsi:type="dcterms:W3CDTF">2026-09-30T10:50:58Z</dcterms:created>
  <dcterms:modified xsi:type="dcterms:W3CDTF">2026-09-30T10:50:58Z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30.09.2026 · CoolProp 8.0.0 · thermopack 2.2.3</vt:lpwstr>
  </property>
  <property fmtid="{D5CDD505-2E9C-101B-9397-08002B2CF9AE}" pid="3" name="subtitle">
    <vt:lpwstr>Einspeicherung: Clean Case (reines CO₂) und Worst-Case-Gemisch</vt:lpwstr>
  </property>
</Properties>
</file>