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0" w:type="dxa"/>
        <w:tblCellMar>
          <w:left w:w="10" w:type="dxa"/>
          <w:right w:w="10" w:type="dxa"/>
        </w:tblCellMar>
        <w:tblLook w:val="0000" w:firstRow="0" w:lastRow="0" w:firstColumn="0" w:lastColumn="0" w:noHBand="0" w:noVBand="0"/>
      </w:tblPr>
      <w:tblGrid>
        <w:gridCol w:w="3020"/>
        <w:gridCol w:w="3020"/>
        <w:gridCol w:w="3020"/>
      </w:tblGrid>
      <w:tr w:rsidR="00552D94" w14:paraId="278F1F31" w14:textId="77777777">
        <w:trPr>
          <w:trHeight w:hRule="exact" w:val="120"/>
        </w:trPr>
        <w:tc>
          <w:tcPr>
            <w:tcW w:w="3020" w:type="dxa"/>
            <w:shd w:val="clear" w:color="auto" w:fill="BE1E24"/>
            <w:tcMar>
              <w:top w:w="0" w:type="dxa"/>
              <w:left w:w="0" w:type="dxa"/>
              <w:bottom w:w="0" w:type="dxa"/>
              <w:right w:w="0" w:type="dxa"/>
            </w:tcMar>
          </w:tcPr>
          <w:p w14:paraId="278F1F2E" w14:textId="77777777" w:rsidR="00552D94" w:rsidRDefault="00552D94" w:rsidP="00AC706A">
            <w:pPr>
              <w:spacing w:line="276" w:lineRule="auto"/>
            </w:pPr>
          </w:p>
        </w:tc>
        <w:tc>
          <w:tcPr>
            <w:tcW w:w="3020" w:type="dxa"/>
            <w:shd w:val="clear" w:color="auto" w:fill="F08A00"/>
            <w:tcMar>
              <w:top w:w="0" w:type="dxa"/>
              <w:left w:w="0" w:type="dxa"/>
              <w:bottom w:w="0" w:type="dxa"/>
              <w:right w:w="0" w:type="dxa"/>
            </w:tcMar>
          </w:tcPr>
          <w:p w14:paraId="278F1F2F" w14:textId="77777777" w:rsidR="00552D94" w:rsidRDefault="00552D94" w:rsidP="00AC706A">
            <w:pPr>
              <w:spacing w:line="276" w:lineRule="auto"/>
            </w:pPr>
          </w:p>
        </w:tc>
        <w:tc>
          <w:tcPr>
            <w:tcW w:w="3020" w:type="dxa"/>
            <w:shd w:val="clear" w:color="auto" w:fill="B4257A"/>
            <w:tcMar>
              <w:top w:w="0" w:type="dxa"/>
              <w:left w:w="0" w:type="dxa"/>
              <w:bottom w:w="0" w:type="dxa"/>
              <w:right w:w="0" w:type="dxa"/>
            </w:tcMar>
          </w:tcPr>
          <w:p w14:paraId="278F1F30" w14:textId="77777777" w:rsidR="00552D94" w:rsidRDefault="00552D94" w:rsidP="00AC706A">
            <w:pPr>
              <w:spacing w:line="276" w:lineRule="auto"/>
            </w:pPr>
          </w:p>
        </w:tc>
      </w:tr>
    </w:tbl>
    <w:p w14:paraId="278F1F32" w14:textId="77777777" w:rsidR="00552D94" w:rsidRDefault="00F56203" w:rsidP="00AC706A">
      <w:pPr>
        <w:spacing w:before="900" w:after="340" w:line="276" w:lineRule="auto"/>
      </w:pPr>
      <w:r>
        <w:rPr>
          <w:sz w:val="44"/>
          <w:szCs w:val="44"/>
        </w:rPr>
        <w:t>Exposé Abschlussarbeit</w:t>
      </w:r>
    </w:p>
    <w:p w14:paraId="5E15C259" w14:textId="77777777" w:rsidR="00AC6D35" w:rsidRDefault="00AC6D35" w:rsidP="00AC706A">
      <w:pPr>
        <w:spacing w:after="90" w:line="276" w:lineRule="auto"/>
        <w:rPr>
          <w:sz w:val="24"/>
          <w:szCs w:val="24"/>
        </w:rPr>
      </w:pPr>
    </w:p>
    <w:p w14:paraId="040ECB46" w14:textId="77777777" w:rsidR="00AC6D35" w:rsidRDefault="00AC6D35" w:rsidP="00AC706A">
      <w:pPr>
        <w:spacing w:after="90" w:line="276" w:lineRule="auto"/>
        <w:rPr>
          <w:sz w:val="24"/>
          <w:szCs w:val="24"/>
        </w:rPr>
      </w:pPr>
    </w:p>
    <w:p w14:paraId="1AD5989C" w14:textId="77777777" w:rsidR="00AC6D35" w:rsidRPr="00AC6D35" w:rsidRDefault="00AC6D35" w:rsidP="00AC706A">
      <w:pPr>
        <w:spacing w:after="90" w:line="276" w:lineRule="auto"/>
        <w:rPr>
          <w:sz w:val="24"/>
          <w:szCs w:val="24"/>
        </w:rPr>
      </w:pPr>
    </w:p>
    <w:p w14:paraId="278F1F34" w14:textId="278EB2CE" w:rsidR="00552D94" w:rsidRPr="00AC6D35" w:rsidRDefault="00F56203" w:rsidP="00AC706A">
      <w:pPr>
        <w:spacing w:after="90" w:line="276" w:lineRule="auto"/>
        <w:rPr>
          <w:sz w:val="24"/>
          <w:szCs w:val="24"/>
        </w:rPr>
      </w:pPr>
      <w:r w:rsidRPr="00AC6D35">
        <w:rPr>
          <w:sz w:val="24"/>
          <w:szCs w:val="24"/>
        </w:rPr>
        <w:t>Von</w:t>
      </w:r>
      <w:r w:rsidR="00AC6D35">
        <w:rPr>
          <w:sz w:val="24"/>
          <w:szCs w:val="24"/>
        </w:rPr>
        <w:t xml:space="preserve">: </w:t>
      </w:r>
      <w:r w:rsidR="00AC6D35">
        <w:rPr>
          <w:sz w:val="24"/>
          <w:szCs w:val="24"/>
        </w:rPr>
        <w:tab/>
      </w:r>
      <w:r w:rsidR="00AC6D35">
        <w:rPr>
          <w:sz w:val="24"/>
          <w:szCs w:val="24"/>
        </w:rPr>
        <w:tab/>
      </w:r>
      <w:r w:rsidR="00AC6D35">
        <w:rPr>
          <w:sz w:val="24"/>
          <w:szCs w:val="24"/>
        </w:rPr>
        <w:tab/>
        <w:t>Sarah Maxara</w:t>
      </w:r>
    </w:p>
    <w:p w14:paraId="278F1F35" w14:textId="48D0BC02" w:rsidR="00552D94" w:rsidRPr="00AC6D35" w:rsidRDefault="00F56203" w:rsidP="00AC706A">
      <w:pPr>
        <w:spacing w:after="90" w:line="276" w:lineRule="auto"/>
        <w:rPr>
          <w:sz w:val="24"/>
          <w:szCs w:val="24"/>
        </w:rPr>
      </w:pPr>
      <w:r w:rsidRPr="00AC6D35">
        <w:rPr>
          <w:sz w:val="24"/>
          <w:szCs w:val="24"/>
        </w:rPr>
        <w:t xml:space="preserve">Matrikelnummer </w:t>
      </w:r>
      <w:r w:rsidR="00AC6D35">
        <w:rPr>
          <w:color w:val="C00000"/>
          <w:sz w:val="24"/>
          <w:szCs w:val="24"/>
        </w:rPr>
        <w:tab/>
      </w:r>
      <w:r w:rsidR="00E50BC8" w:rsidRPr="00E50BC8">
        <w:rPr>
          <w:color w:val="000000" w:themeColor="text1"/>
          <w:sz w:val="24"/>
          <w:szCs w:val="24"/>
        </w:rPr>
        <w:t>11426851</w:t>
      </w:r>
    </w:p>
    <w:p w14:paraId="5B70CCAC" w14:textId="5FB61E61" w:rsidR="00AC6D35" w:rsidRDefault="00F56203" w:rsidP="00AC706A">
      <w:pPr>
        <w:spacing w:after="460" w:line="276" w:lineRule="auto"/>
        <w:rPr>
          <w:sz w:val="24"/>
          <w:szCs w:val="24"/>
        </w:rPr>
      </w:pPr>
      <w:r w:rsidRPr="00AC6D35">
        <w:rPr>
          <w:sz w:val="24"/>
          <w:szCs w:val="24"/>
        </w:rPr>
        <w:t xml:space="preserve">Studiengang: </w:t>
      </w:r>
      <w:r w:rsidR="00E50BC8">
        <w:rPr>
          <w:sz w:val="24"/>
          <w:szCs w:val="24"/>
        </w:rPr>
        <w:tab/>
        <w:t>MA Erneuerbare Energien</w:t>
      </w:r>
    </w:p>
    <w:p w14:paraId="5D2FA56A" w14:textId="77777777" w:rsidR="00E50BC8" w:rsidRDefault="00E50BC8" w:rsidP="00AC706A">
      <w:pPr>
        <w:spacing w:after="460" w:line="276" w:lineRule="auto"/>
        <w:rPr>
          <w:sz w:val="24"/>
          <w:szCs w:val="24"/>
        </w:rPr>
      </w:pPr>
    </w:p>
    <w:p w14:paraId="59E5010A" w14:textId="4D4CEF75" w:rsidR="00220F9C" w:rsidRPr="00420BDC" w:rsidRDefault="00420BDC" w:rsidP="00AC706A">
      <w:pPr>
        <w:spacing w:after="120" w:line="276" w:lineRule="auto"/>
        <w:jc w:val="center"/>
        <w:rPr>
          <w:b/>
          <w:bCs/>
          <w:sz w:val="24"/>
          <w:szCs w:val="24"/>
        </w:rPr>
      </w:pPr>
      <w:r w:rsidRPr="00420BDC">
        <w:rPr>
          <w:b/>
          <w:bCs/>
          <w:sz w:val="24"/>
          <w:szCs w:val="24"/>
        </w:rPr>
        <w:t xml:space="preserve">Konzeption und übergeordnete </w:t>
      </w:r>
      <w:r w:rsidR="00E9143D">
        <w:rPr>
          <w:b/>
          <w:bCs/>
          <w:sz w:val="24"/>
          <w:szCs w:val="24"/>
        </w:rPr>
        <w:t>prozesstechnische</w:t>
      </w:r>
      <w:r w:rsidRPr="00420BDC">
        <w:rPr>
          <w:b/>
          <w:bCs/>
          <w:sz w:val="24"/>
          <w:szCs w:val="24"/>
        </w:rPr>
        <w:t xml:space="preserve"> Auslegung einer Obertageanlage zur CO</w:t>
      </w:r>
      <w:r w:rsidRPr="00420BDC">
        <w:rPr>
          <w:rFonts w:ascii="Cambria Math" w:hAnsi="Cambria Math" w:cs="Cambria Math"/>
          <w:b/>
          <w:bCs/>
          <w:sz w:val="24"/>
          <w:szCs w:val="24"/>
        </w:rPr>
        <w:t>₂</w:t>
      </w:r>
      <w:r w:rsidRPr="00420BDC">
        <w:rPr>
          <w:b/>
          <w:bCs/>
          <w:sz w:val="24"/>
          <w:szCs w:val="24"/>
        </w:rPr>
        <w:t>-Zwischenspeicherung in Salzkavernen</w:t>
      </w:r>
      <w:r>
        <w:rPr>
          <w:b/>
          <w:bCs/>
          <w:sz w:val="24"/>
          <w:szCs w:val="24"/>
        </w:rPr>
        <w:t xml:space="preserve"> am Beispiel ausgewählte</w:t>
      </w:r>
      <w:r w:rsidR="00896A34">
        <w:rPr>
          <w:b/>
          <w:bCs/>
          <w:sz w:val="24"/>
          <w:szCs w:val="24"/>
        </w:rPr>
        <w:t>r</w:t>
      </w:r>
      <w:r>
        <w:rPr>
          <w:b/>
          <w:bCs/>
          <w:sz w:val="24"/>
          <w:szCs w:val="24"/>
        </w:rPr>
        <w:t xml:space="preserve"> </w:t>
      </w:r>
      <w:r w:rsidR="00896A34">
        <w:rPr>
          <w:b/>
          <w:bCs/>
          <w:sz w:val="24"/>
          <w:szCs w:val="24"/>
        </w:rPr>
        <w:t>Szenarien</w:t>
      </w:r>
    </w:p>
    <w:p w14:paraId="75CB54FD" w14:textId="1FCEC9C9" w:rsidR="00220F9C" w:rsidRDefault="009F4B62" w:rsidP="00AC706A">
      <w:pPr>
        <w:spacing w:after="120" w:line="276" w:lineRule="auto"/>
        <w:jc w:val="center"/>
        <w:rPr>
          <w:i/>
          <w:iCs/>
          <w:sz w:val="24"/>
          <w:szCs w:val="24"/>
          <w:lang w:val="en-US"/>
        </w:rPr>
      </w:pPr>
      <w:r w:rsidRPr="009F4B62">
        <w:rPr>
          <w:i/>
          <w:iCs/>
          <w:sz w:val="24"/>
          <w:szCs w:val="24"/>
          <w:lang w:val="en-US"/>
        </w:rPr>
        <w:t xml:space="preserve">Conceptual and overall process engineering design of </w:t>
      </w:r>
      <w:r>
        <w:rPr>
          <w:i/>
          <w:iCs/>
          <w:sz w:val="24"/>
          <w:szCs w:val="24"/>
          <w:lang w:val="en-US"/>
        </w:rPr>
        <w:t>the</w:t>
      </w:r>
      <w:r w:rsidRPr="009F4B62">
        <w:rPr>
          <w:i/>
          <w:iCs/>
          <w:sz w:val="24"/>
          <w:szCs w:val="24"/>
          <w:lang w:val="en-US"/>
        </w:rPr>
        <w:t xml:space="preserve"> surface facility for the temporary storage of CO</w:t>
      </w:r>
      <w:r w:rsidRPr="009F4B62">
        <w:rPr>
          <w:rFonts w:ascii="Cambria Math" w:hAnsi="Cambria Math" w:cs="Cambria Math"/>
          <w:i/>
          <w:iCs/>
          <w:sz w:val="24"/>
          <w:szCs w:val="24"/>
          <w:lang w:val="en-US"/>
        </w:rPr>
        <w:t>₂</w:t>
      </w:r>
      <w:r w:rsidRPr="009F4B62">
        <w:rPr>
          <w:i/>
          <w:iCs/>
          <w:sz w:val="24"/>
          <w:szCs w:val="24"/>
          <w:lang w:val="en-US"/>
        </w:rPr>
        <w:t xml:space="preserve"> in salt caverns, using selected scenarios as examples</w:t>
      </w:r>
    </w:p>
    <w:p w14:paraId="30193100" w14:textId="77777777" w:rsidR="009F4B62" w:rsidRDefault="009F4B62" w:rsidP="00AC706A">
      <w:pPr>
        <w:spacing w:after="120" w:line="276" w:lineRule="auto"/>
        <w:jc w:val="center"/>
        <w:rPr>
          <w:sz w:val="24"/>
          <w:szCs w:val="24"/>
          <w:lang w:val="en-US"/>
        </w:rPr>
      </w:pPr>
    </w:p>
    <w:p w14:paraId="3ED507E3" w14:textId="77777777" w:rsidR="009F4B62" w:rsidRPr="009F4B62" w:rsidRDefault="009F4B62" w:rsidP="00AC706A">
      <w:pPr>
        <w:spacing w:after="120" w:line="276" w:lineRule="auto"/>
        <w:jc w:val="center"/>
        <w:rPr>
          <w:sz w:val="24"/>
          <w:szCs w:val="24"/>
          <w:lang w:val="en-US"/>
        </w:rPr>
      </w:pPr>
    </w:p>
    <w:p w14:paraId="053220D2" w14:textId="3732FD98" w:rsidR="007232E1" w:rsidRPr="00AC6D35" w:rsidRDefault="00F56203" w:rsidP="00AC706A">
      <w:pPr>
        <w:spacing w:after="620" w:line="276" w:lineRule="auto"/>
        <w:jc w:val="left"/>
        <w:rPr>
          <w:sz w:val="24"/>
          <w:szCs w:val="24"/>
        </w:rPr>
      </w:pPr>
      <w:r w:rsidRPr="00AC6D35">
        <w:rPr>
          <w:sz w:val="24"/>
          <w:szCs w:val="24"/>
        </w:rPr>
        <w:t xml:space="preserve">In Kooperation mit: </w:t>
      </w:r>
      <w:r w:rsidR="007232E1">
        <w:rPr>
          <w:sz w:val="24"/>
          <w:szCs w:val="24"/>
        </w:rPr>
        <w:tab/>
      </w:r>
      <w:r w:rsidR="007232E1">
        <w:rPr>
          <w:sz w:val="24"/>
          <w:szCs w:val="24"/>
        </w:rPr>
        <w:tab/>
      </w:r>
      <w:r w:rsidR="00220F9C">
        <w:rPr>
          <w:sz w:val="24"/>
          <w:szCs w:val="24"/>
        </w:rPr>
        <w:t>Uniper</w:t>
      </w:r>
      <w:r w:rsidR="00CE1857">
        <w:rPr>
          <w:sz w:val="24"/>
          <w:szCs w:val="24"/>
        </w:rPr>
        <w:t xml:space="preserve"> Energy Storage GmbH</w:t>
      </w:r>
      <w:r w:rsidR="007232E1">
        <w:rPr>
          <w:sz w:val="24"/>
          <w:szCs w:val="24"/>
        </w:rPr>
        <w:br/>
      </w:r>
      <w:r w:rsidR="007232E1">
        <w:rPr>
          <w:sz w:val="24"/>
          <w:szCs w:val="24"/>
        </w:rPr>
        <w:tab/>
      </w:r>
      <w:r w:rsidR="007232E1">
        <w:rPr>
          <w:sz w:val="24"/>
          <w:szCs w:val="24"/>
        </w:rPr>
        <w:tab/>
      </w:r>
      <w:r w:rsidR="007232E1">
        <w:rPr>
          <w:sz w:val="24"/>
          <w:szCs w:val="24"/>
        </w:rPr>
        <w:tab/>
      </w:r>
      <w:r w:rsidR="007232E1">
        <w:rPr>
          <w:sz w:val="24"/>
          <w:szCs w:val="24"/>
        </w:rPr>
        <w:tab/>
      </w:r>
      <w:r w:rsidR="00D87E86" w:rsidRPr="00D87E86">
        <w:rPr>
          <w:sz w:val="24"/>
          <w:szCs w:val="24"/>
        </w:rPr>
        <w:t>Franziusstraße 12, 40219 Düsseldorf</w:t>
      </w:r>
    </w:p>
    <w:p w14:paraId="4E7BBB71" w14:textId="77777777" w:rsidR="00AC6D35" w:rsidRPr="00AC6D35" w:rsidRDefault="00AC6D35" w:rsidP="00AC706A">
      <w:pPr>
        <w:tabs>
          <w:tab w:val="left" w:pos="2900"/>
        </w:tabs>
        <w:spacing w:after="90" w:line="276" w:lineRule="auto"/>
        <w:rPr>
          <w:sz w:val="24"/>
          <w:szCs w:val="24"/>
        </w:rPr>
      </w:pPr>
    </w:p>
    <w:p w14:paraId="5CA0A61D" w14:textId="77777777" w:rsidR="00AC6D35" w:rsidRPr="00AC6D35" w:rsidRDefault="00AC6D35" w:rsidP="00AC706A">
      <w:pPr>
        <w:tabs>
          <w:tab w:val="left" w:pos="2900"/>
        </w:tabs>
        <w:spacing w:after="90" w:line="276" w:lineRule="auto"/>
        <w:rPr>
          <w:sz w:val="24"/>
          <w:szCs w:val="24"/>
        </w:rPr>
      </w:pPr>
    </w:p>
    <w:p w14:paraId="278F1F3A" w14:textId="725AF97E" w:rsidR="00552D94" w:rsidRPr="00AC6D35" w:rsidRDefault="00F56203" w:rsidP="00AC706A">
      <w:pPr>
        <w:tabs>
          <w:tab w:val="left" w:pos="2900"/>
        </w:tabs>
        <w:spacing w:after="90" w:line="276" w:lineRule="auto"/>
        <w:rPr>
          <w:sz w:val="24"/>
          <w:szCs w:val="24"/>
        </w:rPr>
      </w:pPr>
      <w:r w:rsidRPr="00AC6D35">
        <w:rPr>
          <w:sz w:val="24"/>
          <w:szCs w:val="24"/>
        </w:rPr>
        <w:t>Geplanter Zeitraum:</w:t>
      </w:r>
      <w:r w:rsidRPr="00AC6D35">
        <w:rPr>
          <w:sz w:val="24"/>
          <w:szCs w:val="24"/>
        </w:rPr>
        <w:tab/>
      </w:r>
      <w:r w:rsidR="00D87E86">
        <w:rPr>
          <w:color w:val="000000" w:themeColor="text1"/>
          <w:sz w:val="24"/>
          <w:szCs w:val="24"/>
        </w:rPr>
        <w:t>Wi</w:t>
      </w:r>
      <w:r w:rsidR="00DD4E6F">
        <w:rPr>
          <w:color w:val="000000" w:themeColor="text1"/>
          <w:sz w:val="24"/>
          <w:szCs w:val="24"/>
        </w:rPr>
        <w:t>ntersemester 2026/27</w:t>
      </w:r>
    </w:p>
    <w:p w14:paraId="159FFFC0" w14:textId="70141BC5" w:rsidR="00884A0D" w:rsidRPr="00884A0D" w:rsidRDefault="00F56203" w:rsidP="00AC706A">
      <w:pPr>
        <w:tabs>
          <w:tab w:val="left" w:pos="2900"/>
        </w:tabs>
        <w:spacing w:after="40" w:line="276" w:lineRule="auto"/>
        <w:rPr>
          <w:sz w:val="24"/>
          <w:szCs w:val="24"/>
        </w:rPr>
      </w:pPr>
      <w:r w:rsidRPr="00AC6D35">
        <w:rPr>
          <w:sz w:val="24"/>
          <w:szCs w:val="24"/>
        </w:rPr>
        <w:t>Betreuer:</w:t>
      </w:r>
      <w:r w:rsidRPr="00AC6D35">
        <w:rPr>
          <w:sz w:val="24"/>
          <w:szCs w:val="24"/>
        </w:rPr>
        <w:tab/>
      </w:r>
      <w:r w:rsidR="00884A0D" w:rsidRPr="00884A0D">
        <w:rPr>
          <w:sz w:val="24"/>
          <w:szCs w:val="24"/>
        </w:rPr>
        <w:t>Prof. Dr.</w:t>
      </w:r>
      <w:r w:rsidR="00884A0D">
        <w:rPr>
          <w:sz w:val="24"/>
          <w:szCs w:val="24"/>
        </w:rPr>
        <w:t xml:space="preserve">-Ing. </w:t>
      </w:r>
      <w:r w:rsidR="00884A0D" w:rsidRPr="00884A0D">
        <w:rPr>
          <w:sz w:val="24"/>
          <w:szCs w:val="24"/>
        </w:rPr>
        <w:t>Peter Stenzel</w:t>
      </w:r>
    </w:p>
    <w:p w14:paraId="00116083" w14:textId="44213F29" w:rsidR="007455CC" w:rsidRPr="002B7E25" w:rsidRDefault="00F56203" w:rsidP="002272B5">
      <w:pPr>
        <w:tabs>
          <w:tab w:val="left" w:pos="2900"/>
        </w:tabs>
        <w:spacing w:after="700" w:line="276" w:lineRule="auto"/>
        <w:rPr>
          <w:b/>
          <w:bCs/>
          <w:color w:val="BE1E24"/>
          <w:sz w:val="24"/>
          <w:szCs w:val="24"/>
          <w:lang w:val="en-US"/>
        </w:rPr>
      </w:pPr>
      <w:r w:rsidRPr="00AC6D35">
        <w:rPr>
          <w:sz w:val="24"/>
          <w:szCs w:val="24"/>
        </w:rPr>
        <w:tab/>
      </w:r>
      <w:r w:rsidR="00A809F5" w:rsidRPr="002B7E25">
        <w:rPr>
          <w:sz w:val="24"/>
          <w:szCs w:val="24"/>
          <w:lang w:val="en-US"/>
        </w:rPr>
        <w:t xml:space="preserve">Marcus Eich, </w:t>
      </w:r>
      <w:r w:rsidR="00A809F5" w:rsidRPr="002B7E25">
        <w:rPr>
          <w:color w:val="000000" w:themeColor="text1"/>
          <w:sz w:val="24"/>
          <w:szCs w:val="24"/>
          <w:lang w:val="en-US"/>
        </w:rPr>
        <w:t>Martina Wall</w:t>
      </w:r>
    </w:p>
    <w:p w14:paraId="1F9AFD87" w14:textId="77777777" w:rsidR="007455CC" w:rsidRPr="002B7E25" w:rsidRDefault="007455CC" w:rsidP="00AC706A">
      <w:pPr>
        <w:spacing w:line="276" w:lineRule="auto"/>
        <w:jc w:val="right"/>
        <w:rPr>
          <w:b/>
          <w:bCs/>
          <w:color w:val="BE1E24"/>
          <w:sz w:val="24"/>
          <w:szCs w:val="24"/>
          <w:lang w:val="en-US"/>
        </w:rPr>
      </w:pPr>
    </w:p>
    <w:p w14:paraId="278F1F3D" w14:textId="239EFA47" w:rsidR="00552D94" w:rsidRPr="002B7E25" w:rsidRDefault="00F56203" w:rsidP="00AC706A">
      <w:pPr>
        <w:spacing w:line="276" w:lineRule="auto"/>
        <w:ind w:left="6372" w:firstLine="708"/>
        <w:jc w:val="left"/>
        <w:rPr>
          <w:lang w:val="en-US"/>
        </w:rPr>
      </w:pPr>
      <w:r w:rsidRPr="002B7E25">
        <w:rPr>
          <w:b/>
          <w:bCs/>
          <w:color w:val="BE1E24"/>
          <w:sz w:val="30"/>
          <w:szCs w:val="30"/>
          <w:lang w:val="en-US"/>
        </w:rPr>
        <w:t>Technology</w:t>
      </w:r>
    </w:p>
    <w:p w14:paraId="278F1F3E" w14:textId="77777777" w:rsidR="00552D94" w:rsidRPr="002B7E25" w:rsidRDefault="00F56203" w:rsidP="00AC706A">
      <w:pPr>
        <w:spacing w:line="276" w:lineRule="auto"/>
        <w:ind w:left="7080"/>
        <w:jc w:val="left"/>
        <w:rPr>
          <w:lang w:val="en-US"/>
        </w:rPr>
      </w:pPr>
      <w:r w:rsidRPr="002B7E25">
        <w:rPr>
          <w:b/>
          <w:bCs/>
          <w:color w:val="F08A00"/>
          <w:sz w:val="30"/>
          <w:szCs w:val="30"/>
          <w:lang w:val="en-US"/>
        </w:rPr>
        <w:t xml:space="preserve">Arts </w:t>
      </w:r>
      <w:r w:rsidRPr="002B7E25">
        <w:rPr>
          <w:b/>
          <w:bCs/>
          <w:color w:val="B4257A"/>
          <w:sz w:val="30"/>
          <w:szCs w:val="30"/>
          <w:lang w:val="en-US"/>
        </w:rPr>
        <w:t>Sciences</w:t>
      </w:r>
    </w:p>
    <w:p w14:paraId="278F1F3F" w14:textId="77777777" w:rsidR="00552D94" w:rsidRDefault="00F56203" w:rsidP="00AC706A">
      <w:pPr>
        <w:spacing w:line="276" w:lineRule="auto"/>
        <w:ind w:left="7080"/>
        <w:jc w:val="left"/>
      </w:pPr>
      <w:r>
        <w:rPr>
          <w:b/>
          <w:bCs/>
          <w:color w:val="000000"/>
          <w:sz w:val="32"/>
          <w:szCs w:val="32"/>
        </w:rPr>
        <w:t>TH Köln</w:t>
      </w:r>
    </w:p>
    <w:p w14:paraId="278F1F40" w14:textId="77777777" w:rsidR="00552D94" w:rsidRDefault="00F56203" w:rsidP="00AC706A">
      <w:pPr>
        <w:spacing w:line="276" w:lineRule="auto"/>
      </w:pPr>
      <w:r>
        <w:br w:type="page"/>
      </w:r>
    </w:p>
    <w:p w14:paraId="278F1F41" w14:textId="77777777" w:rsidR="00552D94" w:rsidRDefault="00552D94" w:rsidP="00AC706A">
      <w:pPr>
        <w:spacing w:line="276" w:lineRule="auto"/>
        <w:sectPr w:rsidR="00552D94">
          <w:headerReference w:type="even" r:id="rId10"/>
          <w:headerReference w:type="default" r:id="rId11"/>
          <w:headerReference w:type="first" r:id="rId12"/>
          <w:pgSz w:w="11906" w:h="16838"/>
          <w:pgMar w:top="1418" w:right="1418" w:bottom="1418" w:left="1418" w:header="708" w:footer="708" w:gutter="0"/>
          <w:cols w:space="720"/>
          <w:docGrid w:linePitch="360"/>
        </w:sectPr>
      </w:pPr>
    </w:p>
    <w:p w14:paraId="278F1F42" w14:textId="77777777" w:rsidR="00552D94" w:rsidRPr="00B36C6C" w:rsidRDefault="00F56203" w:rsidP="00AC706A">
      <w:pPr>
        <w:pStyle w:val="berschrift1"/>
        <w:tabs>
          <w:tab w:val="left" w:pos="420"/>
        </w:tabs>
        <w:spacing w:before="320" w:after="160" w:line="276" w:lineRule="auto"/>
        <w:rPr>
          <w:sz w:val="36"/>
          <w:szCs w:val="36"/>
        </w:rPr>
      </w:pPr>
      <w:r w:rsidRPr="00B36C6C">
        <w:rPr>
          <w:b/>
          <w:bCs/>
          <w:color w:val="000000"/>
          <w:sz w:val="28"/>
          <w:szCs w:val="28"/>
        </w:rPr>
        <w:lastRenderedPageBreak/>
        <w:t>1</w:t>
      </w:r>
      <w:r w:rsidRPr="00B36C6C">
        <w:rPr>
          <w:b/>
          <w:bCs/>
          <w:color w:val="000000"/>
          <w:sz w:val="28"/>
          <w:szCs w:val="28"/>
        </w:rPr>
        <w:tab/>
        <w:t>Ausgangslage und Problemstellung</w:t>
      </w:r>
    </w:p>
    <w:p w14:paraId="14B0A8DE" w14:textId="7266B175" w:rsidR="00BC7EEB" w:rsidRDefault="00C96B79" w:rsidP="00AC706A">
      <w:pPr>
        <w:spacing w:line="276" w:lineRule="auto"/>
      </w:pPr>
      <w:r w:rsidRPr="00C96B79">
        <w:t xml:space="preserve">Die Europäische Union strebt </w:t>
      </w:r>
      <w:r w:rsidR="001F2166">
        <w:t xml:space="preserve">die </w:t>
      </w:r>
      <w:r w:rsidRPr="00C96B79">
        <w:t>Klimaneutralität bis 2050 an, Deutschland</w:t>
      </w:r>
      <w:r w:rsidR="001F2166">
        <w:t xml:space="preserve"> die</w:t>
      </w:r>
      <w:r w:rsidRPr="00C96B79">
        <w:t xml:space="preserve"> Treibhausgasneutralität bis 2045. Beide Zielsysteme erkennen die Abscheidung, den Transport und die Speicherung von Kohlenstoffdioxid </w:t>
      </w:r>
      <w:r w:rsidR="009550BA" w:rsidRPr="009550BA">
        <w:t>(CO</w:t>
      </w:r>
      <w:r w:rsidR="009550BA" w:rsidRPr="009550BA">
        <w:rPr>
          <w:rFonts w:ascii="Cambria Math" w:hAnsi="Cambria Math" w:cs="Cambria Math"/>
        </w:rPr>
        <w:t>₂</w:t>
      </w:r>
      <w:r w:rsidR="009550BA" w:rsidRPr="009550BA">
        <w:t>)</w:t>
      </w:r>
      <w:r w:rsidR="009550BA">
        <w:rPr>
          <w:b/>
          <w:bCs/>
        </w:rPr>
        <w:t xml:space="preserve"> </w:t>
      </w:r>
      <w:r w:rsidRPr="00C96B79">
        <w:t xml:space="preserve">ausdrücklich als notwendige Bausteine an, national ausgestaltet über die Carbon Management-Strategie und das Kohlendioxid-Speicherungs- und -Transportgesetz. </w:t>
      </w:r>
      <w:r w:rsidR="00BC7EEB" w:rsidRPr="00BC7EEB">
        <w:t xml:space="preserve">Hintergrund ist, dass ein Teil der industriellen Emissionen prozessbedingt entsteht und sich auch durch Elektrifizierung oder einen Brennstoffwechsel nicht vermeiden lässt, da das </w:t>
      </w:r>
      <w:r w:rsidR="00DC246E" w:rsidRPr="009550BA">
        <w:t>CO</w:t>
      </w:r>
      <w:r w:rsidR="00DC246E" w:rsidRPr="009550BA">
        <w:rPr>
          <w:rFonts w:ascii="Cambria Math" w:hAnsi="Cambria Math" w:cs="Cambria Math"/>
        </w:rPr>
        <w:t>₂</w:t>
      </w:r>
      <w:r w:rsidR="00DC246E">
        <w:rPr>
          <w:rFonts w:ascii="Cambria Math" w:hAnsi="Cambria Math" w:cs="Cambria Math"/>
        </w:rPr>
        <w:t xml:space="preserve"> </w:t>
      </w:r>
      <w:r w:rsidR="00BC7EEB" w:rsidRPr="00BC7EEB">
        <w:t xml:space="preserve">aus dem eingesetzten Rohstoff selbst freigesetzt wird. Dies </w:t>
      </w:r>
      <w:r w:rsidR="006B1B57">
        <w:t>betrifft</w:t>
      </w:r>
      <w:r w:rsidR="00BC7EEB" w:rsidRPr="00BC7EEB">
        <w:t xml:space="preserve"> insbesondere die Zement- und Kalkindustrie sowie die thermische Abfallbehandlung</w:t>
      </w:r>
      <w:r w:rsidR="002B5FB8">
        <w:t>.</w:t>
      </w:r>
      <w:r w:rsidR="00BC7EEB" w:rsidRPr="00BC7EEB">
        <w:t xml:space="preserve"> (Q-002)</w:t>
      </w:r>
    </w:p>
    <w:p w14:paraId="7DEB9FCB" w14:textId="77777777" w:rsidR="00A20991" w:rsidRDefault="00A20991" w:rsidP="00AC706A">
      <w:pPr>
        <w:spacing w:line="276" w:lineRule="auto"/>
      </w:pPr>
    </w:p>
    <w:p w14:paraId="111909F7" w14:textId="1E568414" w:rsidR="00A20991" w:rsidRDefault="00B61103" w:rsidP="00AC706A">
      <w:pPr>
        <w:spacing w:line="276" w:lineRule="auto"/>
      </w:pPr>
      <w:r>
        <w:t>Für d</w:t>
      </w:r>
      <w:r w:rsidR="00201E66">
        <w:t>as Management dieser abzuscheidenden</w:t>
      </w:r>
      <w:r>
        <w:t xml:space="preserve"> unvermeidbaren </w:t>
      </w:r>
      <w:r w:rsidRPr="00C96B79">
        <w:t>CO</w:t>
      </w:r>
      <w:r w:rsidRPr="00C96B79">
        <w:rPr>
          <w:rFonts w:ascii="Cambria Math" w:hAnsi="Cambria Math" w:cs="Cambria Math"/>
        </w:rPr>
        <w:t>₂</w:t>
      </w:r>
      <w:r>
        <w:t>-Mengen</w:t>
      </w:r>
      <w:r w:rsidR="00A300F5">
        <w:t xml:space="preserve"> </w:t>
      </w:r>
      <w:r w:rsidR="005F342E">
        <w:t>ist</w:t>
      </w:r>
      <w:r w:rsidR="00201E66">
        <w:t xml:space="preserve"> die </w:t>
      </w:r>
      <w:r w:rsidR="00623140">
        <w:t xml:space="preserve">Planung einer </w:t>
      </w:r>
      <w:r w:rsidR="00C96B79" w:rsidRPr="00C96B79">
        <w:t>CO</w:t>
      </w:r>
      <w:r w:rsidR="00C96B79" w:rsidRPr="00C96B79">
        <w:rPr>
          <w:rFonts w:ascii="Cambria Math" w:hAnsi="Cambria Math" w:cs="Cambria Math"/>
        </w:rPr>
        <w:t>₂</w:t>
      </w:r>
      <w:r w:rsidR="00C96B79" w:rsidRPr="00C96B79">
        <w:t>-Transportinfrastruktur</w:t>
      </w:r>
      <w:r w:rsidR="005F342E">
        <w:t xml:space="preserve"> erforderlich</w:t>
      </w:r>
      <w:r w:rsidR="00C96B79" w:rsidRPr="00C96B79">
        <w:t xml:space="preserve">. </w:t>
      </w:r>
      <w:r w:rsidR="005F61C7" w:rsidRPr="005F61C7">
        <w:t>Fernleitungsnetzbetreiber entwickeln hierfür Konzepte für ein zukünftiges CO</w:t>
      </w:r>
      <w:r w:rsidR="005F61C7" w:rsidRPr="005F61C7">
        <w:rPr>
          <w:rFonts w:ascii="Cambria Math" w:hAnsi="Cambria Math" w:cs="Cambria Math"/>
        </w:rPr>
        <w:t>₂</w:t>
      </w:r>
      <w:r w:rsidR="005F61C7" w:rsidRPr="005F61C7">
        <w:t>-Pipelinenetz, das Standorte der Abscheidung mit Nutzungsstandorten der Chemieindustrie sowie mit Hafenstandorten verbindet</w:t>
      </w:r>
      <w:r w:rsidR="003B08F8">
        <w:t xml:space="preserve">. </w:t>
      </w:r>
      <w:r w:rsidR="003B08F8" w:rsidRPr="00A20991">
        <w:t>Da bestehende Erdgasleitungen die technischen Anforderungen des Transports</w:t>
      </w:r>
      <w:r w:rsidR="003B08F8">
        <w:t xml:space="preserve"> von </w:t>
      </w:r>
      <w:r w:rsidR="003B08F8" w:rsidRPr="00C96B79">
        <w:t>CO</w:t>
      </w:r>
      <w:r w:rsidR="003B08F8" w:rsidRPr="00C96B79">
        <w:rPr>
          <w:rFonts w:ascii="Cambria Math" w:hAnsi="Cambria Math" w:cs="Cambria Math"/>
        </w:rPr>
        <w:t>₂</w:t>
      </w:r>
      <w:r w:rsidR="003B08F8" w:rsidRPr="00A20991">
        <w:t xml:space="preserve"> nicht erfüllen, ist ein Neubau der </w:t>
      </w:r>
      <w:r w:rsidR="003B08F8" w:rsidRPr="00C96B79">
        <w:t>CO</w:t>
      </w:r>
      <w:r w:rsidR="003B08F8" w:rsidRPr="00C96B79">
        <w:rPr>
          <w:rFonts w:ascii="Cambria Math" w:hAnsi="Cambria Math" w:cs="Cambria Math"/>
        </w:rPr>
        <w:t>₂</w:t>
      </w:r>
      <w:r w:rsidR="003B08F8">
        <w:rPr>
          <w:rFonts w:ascii="Cambria Math" w:hAnsi="Cambria Math" w:cs="Cambria Math"/>
        </w:rPr>
        <w:t>-</w:t>
      </w:r>
      <w:r w:rsidR="003B08F8">
        <w:t xml:space="preserve">Fernleitungen </w:t>
      </w:r>
      <w:r w:rsidR="003B08F8" w:rsidRPr="00A20991">
        <w:t>vorgesehen.</w:t>
      </w:r>
      <w:r w:rsidR="005F61C7" w:rsidRPr="005F61C7">
        <w:t xml:space="preserve"> (Q-078)</w:t>
      </w:r>
    </w:p>
    <w:p w14:paraId="73DB1F79" w14:textId="77777777" w:rsidR="00C12ABE" w:rsidRDefault="00C12ABE" w:rsidP="00AC706A">
      <w:pPr>
        <w:spacing w:line="276" w:lineRule="auto"/>
      </w:pPr>
    </w:p>
    <w:p w14:paraId="33E0815C" w14:textId="51F7147D" w:rsidR="00C96B79" w:rsidRDefault="00C96B79" w:rsidP="00AC706A">
      <w:pPr>
        <w:spacing w:line="276" w:lineRule="auto"/>
      </w:pPr>
      <w:r w:rsidRPr="00C96B79">
        <w:t xml:space="preserve">Erzeugung und Abtransport </w:t>
      </w:r>
      <w:r w:rsidR="00EF2231">
        <w:t>können</w:t>
      </w:r>
      <w:r w:rsidRPr="00C96B79">
        <w:t xml:space="preserve"> zeitlich und mengenmäßig </w:t>
      </w:r>
      <w:r w:rsidR="0056757D">
        <w:t>voneinander abweichen.</w:t>
      </w:r>
      <w:r w:rsidRPr="00C96B79">
        <w:t xml:space="preserve"> Emissionsprofile schwanken saisonal erheblich, und auf der Abnehmerseite begrenzen Havarien, Instandhaltungsmaßnahmen und die Injektionskapazität die Aufnahmefähigkeit. Fehlt eine Pufferkapazität, muss bereits abgeschiedenes </w:t>
      </w:r>
      <w:r w:rsidR="002516A3" w:rsidRPr="00C96B79">
        <w:t>CO</w:t>
      </w:r>
      <w:r w:rsidR="002516A3" w:rsidRPr="00C96B79">
        <w:rPr>
          <w:rFonts w:ascii="Cambria Math" w:hAnsi="Cambria Math" w:cs="Cambria Math"/>
        </w:rPr>
        <w:t>₂</w:t>
      </w:r>
      <w:r w:rsidR="002516A3">
        <w:rPr>
          <w:rFonts w:ascii="Cambria Math" w:hAnsi="Cambria Math" w:cs="Cambria Math"/>
        </w:rPr>
        <w:t xml:space="preserve"> </w:t>
      </w:r>
      <w:r w:rsidRPr="00C96B79">
        <w:t>abgeblasen werden. Modellrechnungen beziffern den Zwischenspeicherbedarf des deutschen Zielnetzes</w:t>
      </w:r>
      <w:r w:rsidR="00C12ABE">
        <w:t xml:space="preserve"> je nach untersuchtem Szenario</w:t>
      </w:r>
      <w:r w:rsidRPr="00C96B79">
        <w:t xml:space="preserve"> auf </w:t>
      </w:r>
      <w:r w:rsidR="003A4A2A">
        <w:t xml:space="preserve">etwa </w:t>
      </w:r>
      <w:r w:rsidRPr="00C96B79">
        <w:t>0,21 bis 1,21 Millionen Tonnen</w:t>
      </w:r>
      <w:r w:rsidR="00A3639C">
        <w:t xml:space="preserve">. </w:t>
      </w:r>
      <w:r w:rsidR="00A3639C" w:rsidRPr="00A7378B">
        <w:t xml:space="preserve">Die Zwischenspeicherung ist somit sowohl für den Transport als auch für die Weiterverwendung von </w:t>
      </w:r>
      <w:r w:rsidR="00DC246E" w:rsidRPr="009550BA">
        <w:t>CO</w:t>
      </w:r>
      <w:r w:rsidR="00DC246E" w:rsidRPr="009550BA">
        <w:rPr>
          <w:rFonts w:ascii="Cambria Math" w:hAnsi="Cambria Math" w:cs="Cambria Math"/>
        </w:rPr>
        <w:t>₂</w:t>
      </w:r>
      <w:r w:rsidR="00DC246E">
        <w:rPr>
          <w:rFonts w:ascii="Cambria Math" w:hAnsi="Cambria Math" w:cs="Cambria Math"/>
        </w:rPr>
        <w:t xml:space="preserve"> </w:t>
      </w:r>
      <w:r w:rsidR="00A3639C" w:rsidRPr="00A7378B">
        <w:t>unerlässlich.</w:t>
      </w:r>
      <w:r w:rsidR="00A3639C">
        <w:t xml:space="preserve"> </w:t>
      </w:r>
      <w:r w:rsidRPr="00C96B79">
        <w:t>(Q-002</w:t>
      </w:r>
      <w:r w:rsidR="008306C6">
        <w:t>)</w:t>
      </w:r>
    </w:p>
    <w:p w14:paraId="1EA6590D" w14:textId="77777777" w:rsidR="002516A3" w:rsidRPr="00C96B79" w:rsidRDefault="002516A3" w:rsidP="00AC706A">
      <w:pPr>
        <w:spacing w:line="276" w:lineRule="auto"/>
      </w:pPr>
    </w:p>
    <w:p w14:paraId="2BF3F8C2" w14:textId="2762B0F0" w:rsidR="007B27E3" w:rsidRDefault="00A4441C">
      <w:pPr>
        <w:spacing w:line="276" w:lineRule="auto"/>
      </w:pPr>
      <w:r w:rsidRPr="00A7378B">
        <w:t xml:space="preserve">Der Aufbau </w:t>
      </w:r>
      <w:r w:rsidR="002B7E25">
        <w:t xml:space="preserve">einer </w:t>
      </w:r>
      <w:r>
        <w:t>Pipeline-</w:t>
      </w:r>
      <w:r w:rsidRPr="00A7378B">
        <w:t xml:space="preserve">Transportinfrastruktur wird voraussichtlich </w:t>
      </w:r>
      <w:r>
        <w:t xml:space="preserve">bis </w:t>
      </w:r>
      <w:r w:rsidR="00B77467" w:rsidRPr="00B77467">
        <w:t xml:space="preserve">etwa 2033 andauern. </w:t>
      </w:r>
      <w:r w:rsidR="002B7E25">
        <w:t xml:space="preserve">Die übrigen </w:t>
      </w:r>
      <w:r w:rsidRPr="00A7378B">
        <w:t xml:space="preserve">Transportwege für </w:t>
      </w:r>
      <w:r w:rsidRPr="00C96B79">
        <w:t>CO</w:t>
      </w:r>
      <w:r w:rsidRPr="00B77467">
        <w:rPr>
          <w:rFonts w:ascii="Cambria Math" w:hAnsi="Cambria Math"/>
        </w:rPr>
        <w:t xml:space="preserve">₂ </w:t>
      </w:r>
      <w:r w:rsidRPr="00A7378B">
        <w:t>e</w:t>
      </w:r>
      <w:r w:rsidR="002B7E25">
        <w:t>rfordern ebenfalls e</w:t>
      </w:r>
      <w:r w:rsidRPr="00A7378B">
        <w:t xml:space="preserve">ine Pufferung und benötigen an den Übergabepunkten </w:t>
      </w:r>
      <w:r w:rsidR="00B77467" w:rsidRPr="00B77467">
        <w:t>geeignete</w:t>
      </w:r>
      <w:r w:rsidRPr="00A7378B">
        <w:t xml:space="preserve"> Zwischenspeicher. Im Projekt </w:t>
      </w:r>
      <w:r w:rsidRPr="008A143D">
        <w:rPr>
          <w:i/>
          <w:iCs/>
        </w:rPr>
        <w:t>Northern Lights</w:t>
      </w:r>
      <w:r w:rsidRPr="00A7378B">
        <w:t xml:space="preserve"> bildet ein obertägiges Tanklager am Terminal </w:t>
      </w:r>
      <w:r w:rsidRPr="008A143D">
        <w:rPr>
          <w:i/>
          <w:iCs/>
        </w:rPr>
        <w:t>Øygarden</w:t>
      </w:r>
      <w:r w:rsidRPr="00A7378B">
        <w:t xml:space="preserve"> die einzige Speicherstufe zwischen Schiffsanlieferung und Injektion</w:t>
      </w:r>
      <w:r w:rsidR="002B7E25">
        <w:t>.</w:t>
      </w:r>
      <w:r w:rsidRPr="00A7378B">
        <w:t xml:space="preserve"> </w:t>
      </w:r>
      <w:r w:rsidR="002B7E25">
        <w:t>D</w:t>
      </w:r>
      <w:r w:rsidRPr="00A7378B">
        <w:t xml:space="preserve">ie geplanten Exportterminals in Wilhelmshaven sehen ebenfalls eine Zwischenlagerung in Tanks vor, um die Schwankungen zwischen Bahnanlieferung und Schiffsabfahrt auszugleichen. Die Zwischenspeicherung wird damit gegenwärtig ausschließlich </w:t>
      </w:r>
      <w:r w:rsidR="002B7E25">
        <w:t>obertägig</w:t>
      </w:r>
      <w:r w:rsidRPr="00A7378B">
        <w:t xml:space="preserve"> gelöst</w:t>
      </w:r>
      <w:r>
        <w:t xml:space="preserve">. </w:t>
      </w:r>
      <w:r w:rsidRPr="00A7378B">
        <w:t>(Q-013</w:t>
      </w:r>
      <w:r>
        <w:t>, Q-079</w:t>
      </w:r>
      <w:r w:rsidRPr="00A7378B">
        <w:t>)</w:t>
      </w:r>
    </w:p>
    <w:p w14:paraId="26D22FA8" w14:textId="77777777" w:rsidR="00647759" w:rsidRDefault="00647759" w:rsidP="00AC706A">
      <w:pPr>
        <w:spacing w:line="276" w:lineRule="auto"/>
      </w:pPr>
    </w:p>
    <w:p w14:paraId="19F72807" w14:textId="1C40DA14" w:rsidR="007B27E3" w:rsidRDefault="002B7E25">
      <w:pPr>
        <w:pStyle w:val="Standard1"/>
        <w:spacing w:line="276" w:lineRule="auto"/>
      </w:pPr>
      <w:r>
        <w:t>Obertägige</w:t>
      </w:r>
      <w:r w:rsidR="003D7344" w:rsidRPr="00140856">
        <w:t xml:space="preserve"> Tanklager stoßen bei größeren </w:t>
      </w:r>
      <w:r w:rsidR="003D7344" w:rsidRPr="00C96B79">
        <w:t>CO</w:t>
      </w:r>
      <w:r w:rsidR="003D7344" w:rsidRPr="007670E4">
        <w:rPr>
          <w:rFonts w:ascii="Cambria Math" w:hAnsi="Cambria Math"/>
        </w:rPr>
        <w:t>₂</w:t>
      </w:r>
      <w:r w:rsidR="003D7344" w:rsidRPr="00D33126">
        <w:t>-</w:t>
      </w:r>
      <w:r w:rsidR="003D7344" w:rsidRPr="00140856">
        <w:t xml:space="preserve">Mengen an </w:t>
      </w:r>
      <w:r w:rsidR="003D7344">
        <w:t xml:space="preserve">ihre </w:t>
      </w:r>
      <w:r w:rsidR="003D7344" w:rsidRPr="00140856">
        <w:t>Grenzen</w:t>
      </w:r>
      <w:r w:rsidR="003D7344" w:rsidRPr="002E7128">
        <w:t>: Während die</w:t>
      </w:r>
      <w:r w:rsidR="003D7344" w:rsidRPr="00140856">
        <w:t xml:space="preserve"> Zwischenspeicheranlage des Projekts Northern Lights rund 8.250 </w:t>
      </w:r>
      <w:r w:rsidR="003D7344" w:rsidRPr="007A33AD">
        <w:rPr>
          <w:rFonts w:ascii="Cambria Math" w:hAnsi="Cambria Math"/>
        </w:rPr>
        <w:t>m</w:t>
      </w:r>
      <w:r w:rsidR="003D7344" w:rsidRPr="007A33AD">
        <w:rPr>
          <w:rFonts w:ascii="Cambria Math" w:hAnsi="Cambria Math"/>
          <w:vertAlign w:val="superscript"/>
        </w:rPr>
        <w:t>3</w:t>
      </w:r>
      <w:r w:rsidR="003D7344" w:rsidRPr="002E7128">
        <w:t xml:space="preserve"> fasst </w:t>
      </w:r>
      <w:r w:rsidR="003D7344" w:rsidRPr="00140856">
        <w:t>und das Tankvolumen der Wilhelmshavener Terminals durch Grundstücksfläche und Genehmigung begrenzt</w:t>
      </w:r>
      <w:r w:rsidR="003D7344" w:rsidRPr="002E7128">
        <w:t xml:space="preserve"> ist, erreicht eine </w:t>
      </w:r>
      <w:r w:rsidR="003D7344" w:rsidRPr="00140856">
        <w:t xml:space="preserve">einzelne Salzkaverne eine Größenordnung von </w:t>
      </w:r>
      <w:r w:rsidR="003D7344" w:rsidRPr="007670E4">
        <w:t>10</w:t>
      </w:r>
      <w:r w:rsidR="003D7344" w:rsidRPr="007670E4">
        <w:rPr>
          <w:vertAlign w:val="superscript"/>
        </w:rPr>
        <w:t>5</w:t>
      </w:r>
      <w:r w:rsidR="003D7344" w:rsidRPr="007670E4">
        <w:t xml:space="preserve"> bis 10</w:t>
      </w:r>
      <w:r w:rsidR="003D7344" w:rsidRPr="007670E4">
        <w:rPr>
          <w:vertAlign w:val="superscript"/>
        </w:rPr>
        <w:t>6</w:t>
      </w:r>
      <w:r w:rsidR="003D7344" w:rsidRPr="007670E4">
        <w:t xml:space="preserve"> </w:t>
      </w:r>
      <w:r w:rsidR="003D7344" w:rsidRPr="007A33AD">
        <w:rPr>
          <w:rFonts w:ascii="Cambria Math" w:hAnsi="Cambria Math"/>
        </w:rPr>
        <w:t>m</w:t>
      </w:r>
      <w:r w:rsidR="003D7344" w:rsidRPr="007A33AD">
        <w:rPr>
          <w:rFonts w:ascii="Cambria Math" w:hAnsi="Cambria Math"/>
          <w:vertAlign w:val="superscript"/>
        </w:rPr>
        <w:t>3</w:t>
      </w:r>
      <w:r w:rsidR="003D7344">
        <w:t xml:space="preserve">. </w:t>
      </w:r>
      <w:r w:rsidR="003D7344" w:rsidRPr="0043704D">
        <w:t>Für</w:t>
      </w:r>
      <w:r w:rsidR="003D7344" w:rsidRPr="00D33126">
        <w:t xml:space="preserve"> großvolumige </w:t>
      </w:r>
      <w:r w:rsidR="003D7344" w:rsidRPr="0043704D">
        <w:t xml:space="preserve">und langfristige </w:t>
      </w:r>
      <w:r w:rsidR="003D7344" w:rsidRPr="00D33126">
        <w:t xml:space="preserve">Zwischenspeicherbedarfe </w:t>
      </w:r>
      <w:r w:rsidR="003D7344" w:rsidRPr="0043704D">
        <w:t>sind</w:t>
      </w:r>
      <w:r w:rsidR="003D7344" w:rsidRPr="00D33126">
        <w:t xml:space="preserve"> übertägige Tanklager </w:t>
      </w:r>
      <w:r w:rsidR="003D7344" w:rsidRPr="0043704D">
        <w:t>daher nur begrenzt geeignet.</w:t>
      </w:r>
      <w:r w:rsidR="003D7344" w:rsidRPr="00D33126">
        <w:t xml:space="preserve"> </w:t>
      </w:r>
      <w:r w:rsidR="003D7344">
        <w:t xml:space="preserve">Salzkavernen </w:t>
      </w:r>
      <w:r w:rsidR="003D7344" w:rsidRPr="002E7128">
        <w:t xml:space="preserve">bieten demgegenüber </w:t>
      </w:r>
      <w:r w:rsidR="003D7344">
        <w:t xml:space="preserve">hohe </w:t>
      </w:r>
      <w:r w:rsidR="003D7344" w:rsidRPr="002E7128">
        <w:t>Speicherkapazitäten</w:t>
      </w:r>
      <w:r w:rsidR="003D7344">
        <w:t xml:space="preserve"> bei geringem Flächenbedarf, hohe Ein- und Ausspeicherleistungen, geringere spezifische Kosten gegenüber zylindrischen Übertagespeichern sowie umfangreiche Betriebserfahrung aus der Erdgasspeicherung. </w:t>
      </w:r>
      <w:r w:rsidR="003D7344" w:rsidRPr="002E7128">
        <w:t>Begünstigt wird diese Option durch den norddeutschen</w:t>
      </w:r>
      <w:r w:rsidR="003D7344">
        <w:t xml:space="preserve"> Salzstockgürtel</w:t>
      </w:r>
      <w:r w:rsidR="003D7344" w:rsidRPr="002E7128">
        <w:t>, dessen bestehende</w:t>
      </w:r>
      <w:r w:rsidR="003D7344">
        <w:t xml:space="preserve"> Kavernenspeicher geografisch im Bereich der modellierten und geplanten </w:t>
      </w:r>
      <w:r w:rsidR="003D7344">
        <w:lastRenderedPageBreak/>
        <w:t>CO</w:t>
      </w:r>
      <w:r w:rsidR="003D7344">
        <w:rPr>
          <w:rFonts w:ascii="Cambria Math" w:hAnsi="Cambria Math"/>
        </w:rPr>
        <w:t>₂</w:t>
      </w:r>
      <w:r w:rsidR="003D7344">
        <w:t xml:space="preserve">-Pipelinekorridore der Fernleitungsnetzbetreiber liegen. Damit </w:t>
      </w:r>
      <w:r w:rsidR="003D7344" w:rsidRPr="002E7128">
        <w:t>stellen</w:t>
      </w:r>
      <w:r w:rsidR="003D7344">
        <w:t xml:space="preserve"> Salzkavernen </w:t>
      </w:r>
      <w:r w:rsidR="003D7344" w:rsidRPr="002E7128">
        <w:t>eine</w:t>
      </w:r>
      <w:r w:rsidR="003D7344">
        <w:t xml:space="preserve"> besonders geeignete Speicheroption für die großvolumige Zwischenspeicherung innerhalb einer zukünftigen CO</w:t>
      </w:r>
      <w:r w:rsidR="003D7344">
        <w:rPr>
          <w:rFonts w:ascii="Cambria Math" w:hAnsi="Cambria Math"/>
        </w:rPr>
        <w:t>₂</w:t>
      </w:r>
      <w:r w:rsidR="003D7344">
        <w:t>-Infrastruktur</w:t>
      </w:r>
      <w:r w:rsidR="003D7344" w:rsidRPr="002E7128">
        <w:t xml:space="preserve"> dar.</w:t>
      </w:r>
      <w:r w:rsidR="003D7344" w:rsidRPr="0043704D">
        <w:t xml:space="preserve"> </w:t>
      </w:r>
      <w:r w:rsidR="003D7344" w:rsidRPr="00D33126">
        <w:t>(Q-002, Q-012, Q-032, Q-013, Q-038)</w:t>
      </w:r>
    </w:p>
    <w:p w14:paraId="73B5EEDD" w14:textId="77777777" w:rsidR="00602654" w:rsidRPr="00C96B79" w:rsidRDefault="00602654" w:rsidP="00AC706A">
      <w:pPr>
        <w:spacing w:line="276" w:lineRule="auto"/>
      </w:pPr>
    </w:p>
    <w:p w14:paraId="6E8D442C" w14:textId="5232928B" w:rsidR="007B27E3" w:rsidRDefault="00A4441C">
      <w:pPr>
        <w:spacing w:line="276" w:lineRule="auto"/>
      </w:pPr>
      <w:r w:rsidRPr="00066335">
        <w:t xml:space="preserve">Der Betrieb mit </w:t>
      </w:r>
      <w:r w:rsidRPr="004B15FC">
        <w:t>CO</w:t>
      </w:r>
      <w:r w:rsidRPr="00B34598">
        <w:rPr>
          <w:rFonts w:ascii="Cambria Math" w:hAnsi="Cambria Math"/>
        </w:rPr>
        <w:t>₂</w:t>
      </w:r>
      <w:r w:rsidRPr="00066335">
        <w:t xml:space="preserve"> unterscheidet sich jedoch deutlich von der etablierten Erdgasspeicherung. Unter Kavernenbedingungen kann </w:t>
      </w:r>
      <w:r w:rsidRPr="009550BA">
        <w:t>CO</w:t>
      </w:r>
      <w:r w:rsidRPr="00B34598">
        <w:rPr>
          <w:rFonts w:ascii="Cambria Math" w:hAnsi="Cambria Math"/>
        </w:rPr>
        <w:t>₂</w:t>
      </w:r>
      <w:r w:rsidRPr="00B34598">
        <w:t xml:space="preserve"> </w:t>
      </w:r>
      <w:r w:rsidRPr="00066335">
        <w:t>gasförmig, flüssig oder in dichter beziehungsweise überkritischer Phase vorliegen</w:t>
      </w:r>
      <w:r>
        <w:t>. D</w:t>
      </w:r>
      <w:r w:rsidRPr="00066335">
        <w:t>er Phasenübergang stellt ein</w:t>
      </w:r>
      <w:r w:rsidR="00090C45">
        <w:t xml:space="preserve"> </w:t>
      </w:r>
      <w:r w:rsidRPr="00066335">
        <w:t xml:space="preserve">Risiko dar, und der Kissengasanteil liegt </w:t>
      </w:r>
      <w:r>
        <w:t xml:space="preserve">bei gleichen Kavernen und Betriebsbedingungen </w:t>
      </w:r>
      <w:r w:rsidRPr="00066335">
        <w:t xml:space="preserve">deutlich höher als bei Erdgas (Q-028, Q-032). Ebenso ist die sicherheitstechnische Bewertung des Betriebs nicht aus der Erdgasspeicherung übertragbar, da sich </w:t>
      </w:r>
      <w:r w:rsidRPr="009550BA">
        <w:t>CO</w:t>
      </w:r>
      <w:r w:rsidRPr="00B34598">
        <w:rPr>
          <w:rFonts w:ascii="Cambria Math" w:hAnsi="Cambria Math"/>
        </w:rPr>
        <w:t>₂</w:t>
      </w:r>
      <w:r w:rsidRPr="00B34598">
        <w:t xml:space="preserve"> </w:t>
      </w:r>
      <w:r w:rsidRPr="00066335">
        <w:t xml:space="preserve">als Stickgas und im Ausströmverhalten grundlegend von Methan unterscheidet. </w:t>
      </w:r>
      <w:r w:rsidR="003B53B7" w:rsidRPr="003B53B7">
        <w:t>Bislang befindet sich weltweit</w:t>
      </w:r>
      <w:r w:rsidRPr="00066335">
        <w:t xml:space="preserve"> kein </w:t>
      </w:r>
      <w:r w:rsidR="003B53B7" w:rsidRPr="003B53B7">
        <w:t>CO</w:t>
      </w:r>
      <w:r w:rsidR="003B53B7" w:rsidRPr="003B53B7">
        <w:rPr>
          <w:rFonts w:ascii="Cambria Math" w:hAnsi="Cambria Math"/>
        </w:rPr>
        <w:t>₂</w:t>
      </w:r>
      <w:r w:rsidR="003B53B7" w:rsidRPr="003B53B7">
        <w:t>-</w:t>
      </w:r>
      <w:r w:rsidR="008A143D">
        <w:t>Zwischen</w:t>
      </w:r>
      <w:r w:rsidRPr="00066335">
        <w:t>speicher</w:t>
      </w:r>
      <w:r w:rsidR="003B53B7" w:rsidRPr="003B53B7">
        <w:t xml:space="preserve"> im regulären Betrieb, sodass belastbare Betriebserfahrungen </w:t>
      </w:r>
      <w:r w:rsidR="00F84101">
        <w:t xml:space="preserve">in diesem Bereich </w:t>
      </w:r>
      <w:r w:rsidR="003B53B7" w:rsidRPr="003B53B7">
        <w:t>fehlen.</w:t>
      </w:r>
      <w:r>
        <w:t xml:space="preserve"> Die</w:t>
      </w:r>
      <w:r w:rsidR="00535793">
        <w:t xml:space="preserve"> o</w:t>
      </w:r>
      <w:r w:rsidR="009618AC">
        <w:t xml:space="preserve">.g. </w:t>
      </w:r>
      <w:r>
        <w:t xml:space="preserve">Randbedingungen wirken unmittelbar auf die </w:t>
      </w:r>
      <w:r w:rsidR="009618AC">
        <w:t>obertägige</w:t>
      </w:r>
      <w:r>
        <w:t xml:space="preserve"> Anlagentechnik, die den CO</w:t>
      </w:r>
      <w:r>
        <w:rPr>
          <w:rFonts w:ascii="Cambria Math" w:hAnsi="Cambria Math"/>
        </w:rPr>
        <w:t>₂</w:t>
      </w:r>
      <w:r>
        <w:t>-Strom zwischen Netzübergabe und Bohrlochkopf</w:t>
      </w:r>
      <w:r w:rsidR="00675AFD">
        <w:t xml:space="preserve"> bzw. Kaverne</w:t>
      </w:r>
      <w:r>
        <w:t xml:space="preserve"> konditioniert. Die Projektskizze DGMK 915 behandelt die Auslegung der Obertageanlage ausdrücklich nur in einem optionalen Arbeitspaket, und die Grundlagenermittlung benennt sie als weiteren Untersuchungsinhalt, ohne sie durchzuführen (Q-019, Q-002).</w:t>
      </w:r>
    </w:p>
    <w:p w14:paraId="1DBB2714" w14:textId="7666C599" w:rsidR="00C96B79" w:rsidRPr="00C96B79" w:rsidRDefault="00C96B79" w:rsidP="00AC706A">
      <w:pPr>
        <w:spacing w:line="276" w:lineRule="auto"/>
      </w:pPr>
    </w:p>
    <w:p w14:paraId="7CF367B9" w14:textId="676D6C43" w:rsidR="007B27E3" w:rsidRDefault="0063114C">
      <w:pPr>
        <w:spacing w:line="276" w:lineRule="auto"/>
      </w:pPr>
      <w:r w:rsidRPr="0063114C">
        <w:t>Die Arbeit entsteht in Kooperation mit der Uniper Energy Storage GmbH, einem der größten Gasspeicherbetreiber Europas. Das Unternehmen betreibt Untertagespeicher in Deutschland, Österreich und Großbritannien mit einer Gesamtkapazität von 82 TWh.</w:t>
      </w:r>
      <w:r>
        <w:t xml:space="preserve"> </w:t>
      </w:r>
      <w:r w:rsidR="00A4441C" w:rsidRPr="00D74E27">
        <w:t xml:space="preserve">Damit verfügt </w:t>
      </w:r>
      <w:r w:rsidR="00A4441C">
        <w:t>Uniper</w:t>
      </w:r>
      <w:r w:rsidR="00A4441C" w:rsidRPr="00D74E27">
        <w:t xml:space="preserve"> über jahrzehntelange Betriebserfahrung im Kavernenspeicherbetrieb einschließlich der zugehörigen obertägigen Anlagentechnik sowie über Kavernenstandorte im Bereich der modellierten CO</w:t>
      </w:r>
      <w:r w:rsidR="00A4441C" w:rsidRPr="00321F5E">
        <w:rPr>
          <w:rFonts w:ascii="Cambria Math" w:hAnsi="Cambria Math"/>
        </w:rPr>
        <w:t>₂</w:t>
      </w:r>
      <w:r w:rsidR="00A4441C" w:rsidRPr="00D74E27">
        <w:t>-Pipelinekorridore</w:t>
      </w:r>
      <w:r w:rsidR="00A4441C">
        <w:t xml:space="preserve">. </w:t>
      </w:r>
      <w:r w:rsidR="00A4441C" w:rsidRPr="002D5F72">
        <w:t xml:space="preserve">Neben Erdgas und Wasserstoff </w:t>
      </w:r>
      <w:r w:rsidR="00321F5E" w:rsidRPr="00321F5E">
        <w:t>untersucht Uniper derzeit auch</w:t>
      </w:r>
      <w:r w:rsidR="00A4441C" w:rsidRPr="002D5F72">
        <w:t xml:space="preserve"> die </w:t>
      </w:r>
      <w:r w:rsidR="00A4441C">
        <w:t>Zwischens</w:t>
      </w:r>
      <w:r w:rsidR="00A4441C" w:rsidRPr="002D5F72">
        <w:t>peicherung von CO</w:t>
      </w:r>
      <w:r w:rsidR="00A4441C" w:rsidRPr="00321F5E">
        <w:rPr>
          <w:rFonts w:ascii="Cambria Math" w:hAnsi="Cambria Math"/>
        </w:rPr>
        <w:t>₂</w:t>
      </w:r>
      <w:r w:rsidR="00A4441C" w:rsidRPr="00321F5E">
        <w:t xml:space="preserve"> </w:t>
      </w:r>
      <w:r w:rsidR="00A4441C" w:rsidRPr="002D5F72">
        <w:t xml:space="preserve">als </w:t>
      </w:r>
      <w:r w:rsidR="00321F5E" w:rsidRPr="00321F5E">
        <w:t xml:space="preserve">mögliche </w:t>
      </w:r>
      <w:r w:rsidR="00A4441C" w:rsidRPr="002D5F72">
        <w:t xml:space="preserve">Erweiterung des bestehenden </w:t>
      </w:r>
      <w:r w:rsidR="00321F5E" w:rsidRPr="00321F5E">
        <w:t>Speicherportfolios.</w:t>
      </w:r>
      <w:r w:rsidR="00EE782F">
        <w:t xml:space="preserve"> </w:t>
      </w:r>
      <w:r w:rsidR="00A4441C">
        <w:t>Hi</w:t>
      </w:r>
      <w:r w:rsidR="00A4441C" w:rsidRPr="002D5F72">
        <w:t>erzu</w:t>
      </w:r>
      <w:r w:rsidR="00A4441C">
        <w:t xml:space="preserve"> wurden bereits zwei</w:t>
      </w:r>
      <w:r w:rsidR="00A4441C" w:rsidRPr="009E546C">
        <w:t xml:space="preserve"> Konzeptstudien bei der DBI Gas- und Umwelttechnik GmbH beauftragt (Q-030, Q-029). Parallel wird das Thema in Branchenvorhaben vo</w:t>
      </w:r>
      <w:r w:rsidR="00216621">
        <w:t>m</w:t>
      </w:r>
      <w:r w:rsidR="00A4441C" w:rsidRPr="009E546C">
        <w:t xml:space="preserve"> DVGW und DGMK bearbeitet, in denen die Auslegung der Obertageanlage jedoch nicht oder nur als optionaler Bestandteil vorgesehen ist (Q-002, Q-019).</w:t>
      </w:r>
      <w:r w:rsidR="00A4441C">
        <w:t xml:space="preserve"> </w:t>
      </w:r>
      <w:r w:rsidR="00A4441C" w:rsidRPr="008B7D79">
        <w:t>Der Bedarf an tragfähigen Konzepten für CO</w:t>
      </w:r>
      <w:r w:rsidR="00A4441C" w:rsidRPr="003A5200">
        <w:rPr>
          <w:rFonts w:ascii="Cambria Math" w:hAnsi="Cambria Math"/>
        </w:rPr>
        <w:t>₂</w:t>
      </w:r>
      <w:r w:rsidR="00A4441C" w:rsidRPr="008B7D79">
        <w:t>-Kavernenspeicher besteht damit deutschlandweit und nicht nur unternehmensintern</w:t>
      </w:r>
      <w:r w:rsidR="00A4441C" w:rsidRPr="000452DE">
        <w:t>.</w:t>
      </w:r>
      <w:r w:rsidR="00A4441C">
        <w:t xml:space="preserve"> </w:t>
      </w:r>
      <w:r w:rsidR="003A5200" w:rsidRPr="003A5200">
        <w:t>An dieser Schnittstelle setzt die vorliegende Masterarbeit an</w:t>
      </w:r>
      <w:r w:rsidR="00EE782F">
        <w:t>.</w:t>
      </w:r>
      <w:r w:rsidR="003A5200" w:rsidRPr="003A5200">
        <w:t xml:space="preserve"> </w:t>
      </w:r>
    </w:p>
    <w:p w14:paraId="2DEE37B1" w14:textId="77777777" w:rsidR="00F6019C" w:rsidRDefault="00F6019C" w:rsidP="00AC706A">
      <w:pPr>
        <w:spacing w:line="276" w:lineRule="auto"/>
      </w:pPr>
    </w:p>
    <w:p w14:paraId="593C33C7" w14:textId="707A723C" w:rsidR="00D22177" w:rsidRPr="00D22177" w:rsidRDefault="00A4441C" w:rsidP="00D22177">
      <w:pPr>
        <w:spacing w:line="276" w:lineRule="auto"/>
      </w:pPr>
      <w:r w:rsidRPr="00695762">
        <w:t>Die Herausforderung besteht somit darin, die obertägige Anlagentechnik eines CO</w:t>
      </w:r>
      <w:r w:rsidRPr="00D64A8C">
        <w:rPr>
          <w:rFonts w:ascii="Cambria Math" w:hAnsi="Cambria Math"/>
        </w:rPr>
        <w:t>₂</w:t>
      </w:r>
      <w:r w:rsidRPr="00695762">
        <w:t>-</w:t>
      </w:r>
      <w:r w:rsidRPr="00216071">
        <w:t xml:space="preserve">Kavernenspeichers </w:t>
      </w:r>
      <w:r w:rsidR="00B235F9" w:rsidRPr="00B235F9">
        <w:t xml:space="preserve">der Ein- und Ausspeicherung </w:t>
      </w:r>
      <w:r w:rsidRPr="00695762">
        <w:t xml:space="preserve">zu bestimmen und auszulegen. </w:t>
      </w:r>
      <w:r w:rsidR="00F54D1C">
        <w:t>Darunter fällt</w:t>
      </w:r>
      <w:r w:rsidR="002826D9" w:rsidRPr="002826D9">
        <w:t xml:space="preserve"> das</w:t>
      </w:r>
      <w:r w:rsidR="009E583A">
        <w:t xml:space="preserve"> thermodynamische</w:t>
      </w:r>
      <w:r w:rsidR="002826D9" w:rsidRPr="002826D9">
        <w:t xml:space="preserve"> Zustandsverhalten des CO</w:t>
      </w:r>
      <w:r w:rsidR="002826D9" w:rsidRPr="002826D9">
        <w:rPr>
          <w:rFonts w:ascii="Cambria Math" w:hAnsi="Cambria Math" w:cs="Cambria Math"/>
        </w:rPr>
        <w:t>₂</w:t>
      </w:r>
      <w:r w:rsidR="002826D9" w:rsidRPr="002826D9">
        <w:t>, die erforderliche Gasqualität bzw. Reinheit des CO</w:t>
      </w:r>
      <w:r w:rsidR="002826D9" w:rsidRPr="002826D9">
        <w:rPr>
          <w:rFonts w:ascii="Cambria Math" w:hAnsi="Cambria Math" w:cs="Cambria Math"/>
        </w:rPr>
        <w:t>₂</w:t>
      </w:r>
      <w:r w:rsidR="002826D9" w:rsidRPr="002826D9">
        <w:t>-Stroms, die daraus folgenden Auslegungsanforderungen an die Anlagenkomponenten sowie die Rückwirkung des Kavernenbetriebs auf die Auslegung.</w:t>
      </w:r>
      <w:r w:rsidR="002826D9">
        <w:t xml:space="preserve"> </w:t>
      </w:r>
      <w:r w:rsidRPr="00E024B1">
        <w:t xml:space="preserve">Werkstofftechnische Anforderungen und die Bewertung betrieblicher Risiken sind ebenfalls </w:t>
      </w:r>
      <w:r w:rsidR="00D64A8C" w:rsidRPr="00D64A8C">
        <w:t>relevante Aspekte</w:t>
      </w:r>
      <w:r w:rsidRPr="00E024B1">
        <w:t>, die weiterer Untersuchungen bedürfen</w:t>
      </w:r>
      <w:r w:rsidR="007B0898">
        <w:t xml:space="preserve">, sind jedoch nicht </w:t>
      </w:r>
      <w:r w:rsidR="0019769B">
        <w:t>Gegenstand dieser Masterarbeit</w:t>
      </w:r>
      <w:r w:rsidRPr="00695762">
        <w:t>. Die Fragestellung</w:t>
      </w:r>
      <w:r w:rsidR="00A962E8">
        <w:t xml:space="preserve"> einer obertägigen Anlage zur Speicherung von CO2 in Salzkavernen</w:t>
      </w:r>
      <w:r w:rsidRPr="00695762">
        <w:t xml:space="preserve"> leistet damit einen grundlegenden technischen Beitrag zum Aufbau der künftigen CO</w:t>
      </w:r>
      <w:r w:rsidRPr="00D64A8C">
        <w:rPr>
          <w:rFonts w:ascii="Cambria Math" w:hAnsi="Cambria Math"/>
        </w:rPr>
        <w:t>₂</w:t>
      </w:r>
      <w:r w:rsidRPr="00695762">
        <w:t>-Infrastruktur.</w:t>
      </w:r>
      <w:r w:rsidR="00811405">
        <w:t xml:space="preserve"> </w:t>
      </w:r>
      <w:r w:rsidR="00D22177" w:rsidRPr="00D22177">
        <w:t>Im Rahmen dieser Masterarbeit werden dementsprechend der Stand der Technik entlang der Prozesskette erfasst, die erforderliche Anlagentechnik abgeleitet und in einem Grundfließschema bzw. Blockfließbild dargestellt. Dadurch wird eine technische Grundlage für die weitere Projektentwicklung unter Berücksichtigung regulatorischer und technischer Rahmenbedingungen geschaffen.</w:t>
      </w:r>
    </w:p>
    <w:p w14:paraId="278F1F47" w14:textId="759B3EBF" w:rsidR="00552D94" w:rsidRPr="004828EA" w:rsidRDefault="00F56203" w:rsidP="004828EA">
      <w:pPr>
        <w:pStyle w:val="berschrift1"/>
        <w:tabs>
          <w:tab w:val="left" w:pos="420"/>
        </w:tabs>
        <w:spacing w:before="320" w:after="160" w:line="276" w:lineRule="auto"/>
        <w:rPr>
          <w:b/>
          <w:bCs/>
          <w:color w:val="000000"/>
          <w:sz w:val="28"/>
          <w:szCs w:val="28"/>
        </w:rPr>
      </w:pPr>
      <w:r w:rsidRPr="004828EA">
        <w:rPr>
          <w:b/>
          <w:bCs/>
          <w:color w:val="000000"/>
          <w:sz w:val="28"/>
          <w:szCs w:val="28"/>
        </w:rPr>
        <w:lastRenderedPageBreak/>
        <w:t>2</w:t>
      </w:r>
      <w:r w:rsidRPr="004828EA">
        <w:rPr>
          <w:b/>
          <w:bCs/>
          <w:color w:val="000000"/>
          <w:sz w:val="28"/>
          <w:szCs w:val="28"/>
        </w:rPr>
        <w:tab/>
        <w:t>Zielsetzung / Fragestellung des Projektes</w:t>
      </w:r>
    </w:p>
    <w:p w14:paraId="144E88F1" w14:textId="5E0F2176" w:rsidR="002E0D8E" w:rsidRDefault="002E0D8E" w:rsidP="00AC706A">
      <w:pPr>
        <w:spacing w:after="140" w:line="276" w:lineRule="auto"/>
      </w:pPr>
      <w:r w:rsidRPr="002E0D8E">
        <w:t>Ziel der Arbeit ist die Entwicklung und Auslegung eines technischen Konzepts der Obertageanlage für die temporäre CO</w:t>
      </w:r>
      <w:r w:rsidRPr="002E0D8E">
        <w:rPr>
          <w:rFonts w:ascii="Cambria Math" w:hAnsi="Cambria Math" w:cs="Cambria Math"/>
        </w:rPr>
        <w:t>₂</w:t>
      </w:r>
      <w:r w:rsidRPr="002E0D8E">
        <w:t>-Zwischenspeicherung in Salzkaverne</w:t>
      </w:r>
      <w:r w:rsidR="006E12AC">
        <w:t>n</w:t>
      </w:r>
      <w:r w:rsidRPr="002E0D8E">
        <w:t>. Die Darstellung erfolgt als Grundfließschema (Blockfließbild) nach DIN EN ISO 10628-1, ergänzt um die charakteristischen Betriebsbedingungen je Prozessschritt.</w:t>
      </w:r>
    </w:p>
    <w:p w14:paraId="3BFD9E1F" w14:textId="0476DC9F" w:rsidR="00EB6145" w:rsidRDefault="00EB6145" w:rsidP="00AC706A">
      <w:pPr>
        <w:spacing w:line="276" w:lineRule="auto"/>
      </w:pPr>
      <w:r w:rsidRPr="00EB6145">
        <w:t xml:space="preserve">Am Ende der Arbeit </w:t>
      </w:r>
      <w:r w:rsidR="008A143D">
        <w:t>ent</w:t>
      </w:r>
      <w:r w:rsidRPr="00EB6145">
        <w:t>steht ein bewertetes Anlagenkonzept mit Auslegungsparametern je Prozessschritt und einer Handlungsempfehlung für die weitere Projektentwicklung.</w:t>
      </w:r>
    </w:p>
    <w:p w14:paraId="278F1F4E" w14:textId="3AF74ACE" w:rsidR="00552D94" w:rsidRDefault="00F56203" w:rsidP="00AC706A">
      <w:pPr>
        <w:pStyle w:val="berschrift2"/>
        <w:spacing w:before="220" w:after="100" w:line="276" w:lineRule="auto"/>
      </w:pPr>
      <w:r>
        <w:rPr>
          <w:b/>
          <w:bCs/>
          <w:sz w:val="22"/>
          <w:szCs w:val="22"/>
        </w:rPr>
        <w:t>2.1</w:t>
      </w:r>
      <w:r>
        <w:rPr>
          <w:b/>
          <w:bCs/>
          <w:sz w:val="22"/>
          <w:szCs w:val="22"/>
        </w:rPr>
        <w:tab/>
        <w:t>Zentrale Forschungsfragen</w:t>
      </w:r>
    </w:p>
    <w:p w14:paraId="278F1F4F" w14:textId="13F84609" w:rsidR="00552D94" w:rsidRDefault="00F56203" w:rsidP="006979F4">
      <w:pPr>
        <w:pStyle w:val="Listenabsatz"/>
        <w:numPr>
          <w:ilvl w:val="0"/>
          <w:numId w:val="2"/>
        </w:numPr>
        <w:spacing w:after="80" w:line="276" w:lineRule="auto"/>
      </w:pPr>
      <w:r w:rsidRPr="00501675">
        <w:rPr>
          <w:b/>
          <w:bCs/>
        </w:rPr>
        <w:t>F1:</w:t>
      </w:r>
      <w:r>
        <w:t xml:space="preserve"> </w:t>
      </w:r>
      <w:r w:rsidR="006979F4" w:rsidRPr="006979F4">
        <w:t xml:space="preserve">Welche Prozessschritte und </w:t>
      </w:r>
      <w:r w:rsidR="006979F4">
        <w:t xml:space="preserve">obertägigen </w:t>
      </w:r>
      <w:r w:rsidR="006979F4" w:rsidRPr="006979F4">
        <w:t>Anlagenkomponenten sind für Ein- und Ausspeicherung von CO</w:t>
      </w:r>
      <w:r w:rsidR="006979F4" w:rsidRPr="006979F4">
        <w:rPr>
          <w:rFonts w:ascii="Cambria Math" w:hAnsi="Cambria Math" w:cs="Cambria Math"/>
        </w:rPr>
        <w:t>₂</w:t>
      </w:r>
      <w:r w:rsidR="006979F4" w:rsidRPr="006979F4">
        <w:t xml:space="preserve"> in einer Salzkaverne technisch notwendig, und wie wirkt sich der</w:t>
      </w:r>
      <w:r w:rsidR="006979F4">
        <w:t xml:space="preserve"> A</w:t>
      </w:r>
      <w:r w:rsidR="006979F4" w:rsidRPr="006979F4">
        <w:t xml:space="preserve">ggregatzustand der Anlieferung am Übergabepunkt (gasförmig oder </w:t>
      </w:r>
      <w:r w:rsidR="006979F4">
        <w:t>d</w:t>
      </w:r>
      <w:r w:rsidR="006979F4" w:rsidRPr="006979F4">
        <w:t>ichtphasig/flüssig) auf die Prozesskette aus?</w:t>
      </w:r>
      <w:r w:rsidR="00421F7A">
        <w:br/>
      </w:r>
      <w:r w:rsidR="00421F7A" w:rsidRPr="00E5125D">
        <w:rPr>
          <w:i/>
          <w:iCs/>
        </w:rPr>
        <w:t>(</w:t>
      </w:r>
      <w:r w:rsidR="009A7389" w:rsidRPr="00E5125D">
        <w:rPr>
          <w:i/>
          <w:iCs/>
        </w:rPr>
        <w:t>Ergebnis: Grundfließschema je Szenario)</w:t>
      </w:r>
    </w:p>
    <w:p w14:paraId="278F1F50" w14:textId="51AFCA07" w:rsidR="00552D94" w:rsidRDefault="00F56203" w:rsidP="00AC706A">
      <w:pPr>
        <w:pStyle w:val="Listenabsatz"/>
        <w:numPr>
          <w:ilvl w:val="0"/>
          <w:numId w:val="2"/>
        </w:numPr>
        <w:spacing w:after="80" w:line="276" w:lineRule="auto"/>
      </w:pPr>
      <w:r w:rsidRPr="00501675">
        <w:rPr>
          <w:b/>
          <w:bCs/>
        </w:rPr>
        <w:t>F2:</w:t>
      </w:r>
      <w:r>
        <w:t xml:space="preserve"> </w:t>
      </w:r>
      <w:r w:rsidR="009722A3" w:rsidRPr="009722A3">
        <w:t>Welche Zustände (Druck, Temperatur, Phase) durchläuft der CO</w:t>
      </w:r>
      <w:r w:rsidR="009722A3" w:rsidRPr="009722A3">
        <w:rPr>
          <w:rFonts w:ascii="Cambria Math" w:hAnsi="Cambria Math" w:cs="Cambria Math"/>
        </w:rPr>
        <w:t>₂</w:t>
      </w:r>
      <w:r w:rsidR="009722A3" w:rsidRPr="009722A3">
        <w:t>-Strom entlang der Prozesskette, und welche Auslegungsanforderungen leiten sich daraus für die einzelnen Anlagenkomponenten ab?</w:t>
      </w:r>
      <w:r w:rsidR="00421F7A">
        <w:br/>
      </w:r>
      <w:r w:rsidR="00421F7A" w:rsidRPr="00E5125D">
        <w:rPr>
          <w:i/>
          <w:iCs/>
        </w:rPr>
        <w:t xml:space="preserve">(Ergebnis: Phasendiagramm </w:t>
      </w:r>
      <w:r w:rsidR="00AB048B" w:rsidRPr="00E5125D">
        <w:rPr>
          <w:i/>
          <w:iCs/>
        </w:rPr>
        <w:t>+ integrierte Prozesspfade)</w:t>
      </w:r>
    </w:p>
    <w:p w14:paraId="3C10B4A9" w14:textId="0470D608" w:rsidR="00E5125D" w:rsidRDefault="00043D83" w:rsidP="00E5125D">
      <w:pPr>
        <w:pStyle w:val="Listenabsatz"/>
        <w:numPr>
          <w:ilvl w:val="0"/>
          <w:numId w:val="2"/>
        </w:numPr>
        <w:spacing w:after="80" w:line="276" w:lineRule="auto"/>
      </w:pPr>
      <w:r w:rsidRPr="00501675">
        <w:rPr>
          <w:b/>
          <w:bCs/>
        </w:rPr>
        <w:t>F3:</w:t>
      </w:r>
      <w:r w:rsidRPr="00043D83">
        <w:t xml:space="preserve"> Welchen Einfluss haben Realgasverhalten und Joule-Thomson-Effekt auf den Zustandsverlauf bei der Ausspeicherung, welches Hydrat- und Vereisungsrisiko ergibt sich daraus, und welche Rolle spielen dabei Begleitstoffe und Verunreinigungen aus Transport und </w:t>
      </w:r>
      <w:r w:rsidR="00B807EE">
        <w:t>Speicherung</w:t>
      </w:r>
      <w:r w:rsidRPr="00043D83">
        <w:t xml:space="preserve">? </w:t>
      </w:r>
      <w:r w:rsidR="00A96E16" w:rsidRPr="00A96E16">
        <w:t>Wie sind die identifizierten Risiken anlagentechnisch zu bewerten?</w:t>
      </w:r>
      <w:r w:rsidR="00E5125D">
        <w:br/>
      </w:r>
      <w:r w:rsidR="00E5125D" w:rsidRPr="00E5125D">
        <w:rPr>
          <w:i/>
          <w:iCs/>
        </w:rPr>
        <w:t>(Ergebnis: Quantifizierung des Einflusses von</w:t>
      </w:r>
      <w:r w:rsidR="00E5125D">
        <w:rPr>
          <w:i/>
          <w:iCs/>
        </w:rPr>
        <w:t xml:space="preserve"> Stoffeigenschaften und</w:t>
      </w:r>
      <w:r w:rsidR="00E5125D" w:rsidRPr="00E5125D">
        <w:rPr>
          <w:i/>
          <w:iCs/>
        </w:rPr>
        <w:t xml:space="preserve"> Begleitstoffen innerhalb der Prozesskette)</w:t>
      </w:r>
    </w:p>
    <w:p w14:paraId="2C24F12A" w14:textId="26600E69" w:rsidR="007753CC" w:rsidRDefault="00BC0440" w:rsidP="00AC706A">
      <w:pPr>
        <w:pStyle w:val="Listenabsatz"/>
        <w:numPr>
          <w:ilvl w:val="0"/>
          <w:numId w:val="2"/>
        </w:numPr>
        <w:spacing w:line="276" w:lineRule="auto"/>
      </w:pPr>
      <w:r w:rsidRPr="00501675">
        <w:rPr>
          <w:b/>
          <w:bCs/>
        </w:rPr>
        <w:t>F</w:t>
      </w:r>
      <w:r w:rsidR="00421F7A" w:rsidRPr="00501675">
        <w:rPr>
          <w:b/>
          <w:bCs/>
        </w:rPr>
        <w:t>4</w:t>
      </w:r>
      <w:r w:rsidRPr="00501675">
        <w:rPr>
          <w:b/>
          <w:bCs/>
        </w:rPr>
        <w:t>:</w:t>
      </w:r>
      <w:r w:rsidRPr="00BC0440">
        <w:t xml:space="preserve"> Worin unterscheiden sich die Prozessketten der CO</w:t>
      </w:r>
      <w:r w:rsidRPr="00AB048B">
        <w:rPr>
          <w:rFonts w:ascii="Cambria Math" w:hAnsi="Cambria Math" w:cs="Cambria Math"/>
        </w:rPr>
        <w:t>₂</w:t>
      </w:r>
      <w:r w:rsidRPr="00BC0440">
        <w:t xml:space="preserve">-Zwischenspeicherung von denen der etablierten Erdgas- und Wasserstoffspeicherung, und welche Anlagenkomponenten ergeben sich daraus zusätzlich oder entfallen? </w:t>
      </w:r>
      <w:r w:rsidR="008A143D">
        <w:br/>
      </w:r>
      <w:r w:rsidR="002A4D94">
        <w:t>(Vorwärmeleistung</w:t>
      </w:r>
      <w:r>
        <w:t xml:space="preserve"> V</w:t>
      </w:r>
      <w:r w:rsidR="002A4D94">
        <w:t>ergleich</w:t>
      </w:r>
      <w:r w:rsidR="00BF1B34">
        <w:t xml:space="preserve"> </w:t>
      </w:r>
      <w:r>
        <w:t>etc</w:t>
      </w:r>
      <w:r w:rsidR="00BF1B34">
        <w:t>.)</w:t>
      </w:r>
      <w:r w:rsidR="00AB048B">
        <w:br/>
      </w:r>
      <w:r w:rsidR="00AB048B" w:rsidRPr="00F56B49">
        <w:rPr>
          <w:i/>
          <w:iCs/>
        </w:rPr>
        <w:t>(Ergebnis: Vergleich und Einordnung des neuen Mediums CO</w:t>
      </w:r>
      <w:r w:rsidR="00AB048B" w:rsidRPr="00F56B49">
        <w:rPr>
          <w:rFonts w:ascii="Cambria Math" w:hAnsi="Cambria Math" w:cs="Cambria Math"/>
          <w:i/>
          <w:iCs/>
        </w:rPr>
        <w:t xml:space="preserve">₂ </w:t>
      </w:r>
      <w:r w:rsidR="00D06858" w:rsidRPr="00F56B49">
        <w:rPr>
          <w:i/>
          <w:iCs/>
        </w:rPr>
        <w:t>ins Anlagenkonzept</w:t>
      </w:r>
      <w:r w:rsidR="00A96E16">
        <w:rPr>
          <w:i/>
          <w:iCs/>
        </w:rPr>
        <w:t xml:space="preserve"> einer Erdgas-/ Wasserstoffspeicherung</w:t>
      </w:r>
      <w:r w:rsidR="00D06858" w:rsidRPr="00F56B49">
        <w:rPr>
          <w:i/>
          <w:iCs/>
        </w:rPr>
        <w:t>)</w:t>
      </w:r>
    </w:p>
    <w:p w14:paraId="4340585F" w14:textId="6839DEA0" w:rsidR="009B5C60" w:rsidRDefault="009B5C60" w:rsidP="00AC706A">
      <w:pPr>
        <w:pStyle w:val="berschrift2"/>
        <w:spacing w:before="220" w:after="100" w:line="276" w:lineRule="auto"/>
        <w:rPr>
          <w:b/>
          <w:bCs/>
          <w:sz w:val="22"/>
          <w:szCs w:val="22"/>
        </w:rPr>
      </w:pPr>
      <w:r>
        <w:rPr>
          <w:b/>
          <w:bCs/>
          <w:sz w:val="22"/>
          <w:szCs w:val="22"/>
        </w:rPr>
        <w:t>2.2</w:t>
      </w:r>
      <w:r>
        <w:rPr>
          <w:b/>
          <w:bCs/>
          <w:sz w:val="22"/>
          <w:szCs w:val="22"/>
        </w:rPr>
        <w:tab/>
        <w:t>Systemgrenze</w:t>
      </w:r>
    </w:p>
    <w:p w14:paraId="3DCB9260" w14:textId="5F61753E" w:rsidR="004626C8" w:rsidRDefault="004626C8" w:rsidP="004626C8">
      <w:r w:rsidRPr="002E0D8E">
        <w:t xml:space="preserve">Betrachtet wird die Anlagentechnik zwischen der Übergabestelle am Transportnetz </w:t>
      </w:r>
      <w:r w:rsidR="00A96E16">
        <w:t xml:space="preserve">der Fernleitungsbetreiber </w:t>
      </w:r>
      <w:r w:rsidRPr="002E0D8E">
        <w:t xml:space="preserve">und der Kaverne sowie der Rückweg in das </w:t>
      </w:r>
      <w:r w:rsidR="005A4C58">
        <w:t>Fernleitungsn</w:t>
      </w:r>
      <w:r w:rsidRPr="002E0D8E">
        <w:t xml:space="preserve">etz. </w:t>
      </w:r>
      <w:r w:rsidR="00503CFB">
        <w:t xml:space="preserve">Es wird keine direkte Einspeicherung am Produzenten betrachten (z.B. direkte Einspeicherung aus der Zementindustrie). </w:t>
      </w:r>
      <w:r w:rsidRPr="002E0D8E">
        <w:t>Für jeden Prozessschritt der Ein- und Ausspeicherung werden die erforderlichen Anlagenkomponenten bestimmt und anhand definierter Zustandspunkte ausgelegt</w:t>
      </w:r>
      <w:r w:rsidR="00237559">
        <w:t xml:space="preserve">. Dazu zählen die </w:t>
      </w:r>
      <w:r w:rsidRPr="002E0D8E">
        <w:t xml:space="preserve">Verdichtung, Kühlung, Trocknung, Druckreduzierung, Vorwärmung, Mess- und Filtertechnik sowie </w:t>
      </w:r>
      <w:r w:rsidR="00E02C73">
        <w:t xml:space="preserve">diverse </w:t>
      </w:r>
      <w:r w:rsidRPr="002E0D8E">
        <w:t>Aufbereitungstechnologien.</w:t>
      </w:r>
    </w:p>
    <w:p w14:paraId="65C8A83D" w14:textId="77777777" w:rsidR="004626C8" w:rsidRDefault="004626C8" w:rsidP="004626C8">
      <w:pPr>
        <w:rPr>
          <w:b/>
          <w:bCs/>
        </w:rPr>
      </w:pPr>
    </w:p>
    <w:p w14:paraId="1341844A" w14:textId="36304B2F" w:rsidR="00B36C6C" w:rsidRPr="000266C9" w:rsidRDefault="00B36C6C" w:rsidP="00B36C6C">
      <w:pPr>
        <w:spacing w:line="276" w:lineRule="auto"/>
      </w:pPr>
      <w:r w:rsidRPr="006A1D8E">
        <w:t>Nicht näher betrachtet werden das Stoffverhalten innerhalb der Kaverne und weitere untertägige technische Fragestellungen, Genehmigungsverfahren sowie eine detaillierte Wirtschaftlichkeitsrechnung. Eine Ausarbeitung als Verfahrensfließschema (PFD) oder als R&amp;I-Fließschema (P&amp;ID) erfolgt nicht</w:t>
      </w:r>
      <w:r w:rsidRPr="000266C9">
        <w:t xml:space="preserve">. </w:t>
      </w:r>
      <w:r w:rsidRPr="00427082">
        <w:t xml:space="preserve">Die Kaverne wird insoweit einbezogen, wie sie die Randbedingungen der Obertageanlage </w:t>
      </w:r>
      <w:r w:rsidR="00A8357D">
        <w:t xml:space="preserve">bei der Ein- bzw. Ausspeicherung </w:t>
      </w:r>
      <w:r w:rsidRPr="00427082">
        <w:t>bestimmt.</w:t>
      </w:r>
    </w:p>
    <w:p w14:paraId="278F1F54" w14:textId="77777777" w:rsidR="00552D94" w:rsidRPr="00B36C6C" w:rsidRDefault="00F56203" w:rsidP="00AC706A">
      <w:pPr>
        <w:pStyle w:val="berschrift1"/>
        <w:tabs>
          <w:tab w:val="left" w:pos="420"/>
        </w:tabs>
        <w:spacing w:before="320" w:after="160" w:line="276" w:lineRule="auto"/>
        <w:rPr>
          <w:b/>
          <w:bCs/>
          <w:color w:val="000000"/>
          <w:sz w:val="28"/>
          <w:szCs w:val="28"/>
        </w:rPr>
      </w:pPr>
      <w:r w:rsidRPr="00B36C6C">
        <w:rPr>
          <w:b/>
          <w:bCs/>
          <w:color w:val="000000"/>
          <w:sz w:val="28"/>
          <w:szCs w:val="28"/>
        </w:rPr>
        <w:lastRenderedPageBreak/>
        <w:t>3</w:t>
      </w:r>
      <w:r w:rsidRPr="00B36C6C">
        <w:rPr>
          <w:b/>
          <w:bCs/>
          <w:color w:val="000000"/>
          <w:sz w:val="28"/>
          <w:szCs w:val="28"/>
        </w:rPr>
        <w:tab/>
        <w:t>Stand der Wissenschaft / Technik und Begriffe</w:t>
      </w:r>
    </w:p>
    <w:p w14:paraId="278F1F55" w14:textId="77777777" w:rsidR="00552D94" w:rsidRDefault="00F56203" w:rsidP="00AC706A">
      <w:pPr>
        <w:pStyle w:val="berschrift2"/>
        <w:spacing w:before="220" w:after="100" w:line="276" w:lineRule="auto"/>
      </w:pPr>
      <w:r>
        <w:rPr>
          <w:b/>
          <w:bCs/>
          <w:sz w:val="22"/>
          <w:szCs w:val="22"/>
        </w:rPr>
        <w:t>3.1</w:t>
      </w:r>
      <w:r>
        <w:rPr>
          <w:b/>
          <w:bCs/>
          <w:sz w:val="22"/>
          <w:szCs w:val="22"/>
        </w:rPr>
        <w:tab/>
        <w:t>Überblick zum Stand der Technik</w:t>
      </w:r>
    </w:p>
    <w:p w14:paraId="205BCA12" w14:textId="77777777" w:rsidR="000274D8" w:rsidRPr="000274D8" w:rsidRDefault="00A4441C" w:rsidP="000274D8">
      <w:pPr>
        <w:spacing w:after="80" w:line="276" w:lineRule="auto"/>
      </w:pPr>
      <w:r w:rsidRPr="00F3040A">
        <w:t xml:space="preserve">Die Recherche stützt sich auf eine strukturierte Quellen- und Wissensmatrix mit derzeit </w:t>
      </w:r>
      <w:r w:rsidR="00905AD1" w:rsidRPr="00905AD1">
        <w:t>79</w:t>
      </w:r>
      <w:r w:rsidRPr="00F3040A">
        <w:t xml:space="preserve"> erfassten Quellen aus Normen und Regelwerken, wissenschaftlichen Fachartikeln, Forschungs- und Projektberichten, Herstellerunterlagen</w:t>
      </w:r>
      <w:r w:rsidR="00905AD1" w:rsidRPr="00905AD1">
        <w:t>, internen Studien</w:t>
      </w:r>
      <w:r w:rsidRPr="00F3040A">
        <w:t xml:space="preserve"> sowie Fachvorträgen. Die Quellen sind </w:t>
      </w:r>
      <w:r w:rsidR="00905AD1" w:rsidRPr="00905AD1">
        <w:t>thematischen Clustern</w:t>
      </w:r>
      <w:r>
        <w:t xml:space="preserve"> </w:t>
      </w:r>
      <w:r w:rsidRPr="00F3040A">
        <w:t xml:space="preserve">zugeordnet und </w:t>
      </w:r>
      <w:r>
        <w:t>werden hinsichtlich</w:t>
      </w:r>
      <w:r w:rsidRPr="00F3040A">
        <w:t xml:space="preserve"> Relevanz</w:t>
      </w:r>
      <w:r w:rsidR="00905AD1" w:rsidRPr="00905AD1">
        <w:t xml:space="preserve">, </w:t>
      </w:r>
      <w:r w:rsidRPr="00F3040A">
        <w:t xml:space="preserve">Belastbarkeit </w:t>
      </w:r>
      <w:r w:rsidR="00905AD1" w:rsidRPr="00905AD1">
        <w:t>und Verwertbarkeit für die Arbeit bewertet.</w:t>
      </w:r>
      <w:r w:rsidRPr="00F3040A">
        <w:t xml:space="preserve"> Die nachfolgende Darstellung fasst den Stand der Technik entlang der Prozesskette </w:t>
      </w:r>
      <w:r w:rsidR="00AF03A7">
        <w:t xml:space="preserve">kurz </w:t>
      </w:r>
      <w:r w:rsidRPr="00F3040A">
        <w:t>zusammen und benennt je Themenfeld offenen Punkte. Die vollständige Matrix ist dem Anhang beigefügt</w:t>
      </w:r>
      <w:r w:rsidR="00AF03A7">
        <w:t xml:space="preserve"> und </w:t>
      </w:r>
      <w:r w:rsidR="000274D8" w:rsidRPr="000274D8">
        <w:t>und dokumentiert den aktuellen Bearbeitungsstand der Recherche.</w:t>
      </w:r>
    </w:p>
    <w:p w14:paraId="61F5DC0C" w14:textId="2979712C" w:rsidR="00B9461A" w:rsidRDefault="00B9461A" w:rsidP="00AC706A">
      <w:pPr>
        <w:spacing w:after="80" w:line="276" w:lineRule="auto"/>
      </w:pPr>
    </w:p>
    <w:tbl>
      <w:tblPr>
        <w:tblW w:w="9355" w:type="dxa"/>
        <w:tblBorders>
          <w:top w:val="single" w:sz="4" w:space="0" w:color="888888"/>
          <w:left w:val="single" w:sz="4" w:space="0" w:color="888888"/>
          <w:bottom w:val="single" w:sz="4" w:space="0" w:color="888888"/>
          <w:right w:val="single" w:sz="4" w:space="0" w:color="888888"/>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550"/>
        <w:gridCol w:w="2408"/>
        <w:gridCol w:w="2311"/>
        <w:gridCol w:w="2333"/>
        <w:gridCol w:w="1753"/>
      </w:tblGrid>
      <w:tr w:rsidR="005F40CE" w14:paraId="04885FB3" w14:textId="77777777" w:rsidTr="00F159DE">
        <w:trPr>
          <w:tblHeader/>
        </w:trPr>
        <w:tc>
          <w:tcPr>
            <w:tcW w:w="480" w:type="dxa"/>
            <w:shd w:val="clear" w:color="auto" w:fill="E8E8E8"/>
            <w:tcMar>
              <w:top w:w="50" w:type="dxa"/>
              <w:left w:w="90" w:type="dxa"/>
              <w:bottom w:w="50" w:type="dxa"/>
              <w:right w:w="90" w:type="dxa"/>
            </w:tcMar>
          </w:tcPr>
          <w:p w14:paraId="732553D9" w14:textId="77777777" w:rsidR="005F40CE" w:rsidRDefault="005F40CE" w:rsidP="00AC706A">
            <w:pPr>
              <w:spacing w:before="50" w:after="50" w:line="276" w:lineRule="auto"/>
            </w:pPr>
          </w:p>
        </w:tc>
        <w:tc>
          <w:tcPr>
            <w:tcW w:w="1600" w:type="dxa"/>
            <w:shd w:val="clear" w:color="auto" w:fill="E8E8E8"/>
            <w:tcMar>
              <w:top w:w="50" w:type="dxa"/>
              <w:left w:w="90" w:type="dxa"/>
              <w:bottom w:w="50" w:type="dxa"/>
              <w:right w:w="90" w:type="dxa"/>
            </w:tcMar>
          </w:tcPr>
          <w:p w14:paraId="7A0EA1FE" w14:textId="77777777" w:rsidR="005F40CE" w:rsidRDefault="005F40CE" w:rsidP="00AC706A">
            <w:pPr>
              <w:spacing w:before="50" w:after="50" w:line="276" w:lineRule="auto"/>
            </w:pPr>
            <w:r>
              <w:rPr>
                <w:b/>
                <w:bCs/>
                <w:sz w:val="19"/>
                <w:szCs w:val="19"/>
              </w:rPr>
              <w:t>Themenfeld</w:t>
            </w:r>
          </w:p>
        </w:tc>
        <w:tc>
          <w:tcPr>
            <w:tcW w:w="2350" w:type="dxa"/>
            <w:shd w:val="clear" w:color="auto" w:fill="E8E8E8"/>
            <w:tcMar>
              <w:top w:w="50" w:type="dxa"/>
              <w:left w:w="90" w:type="dxa"/>
              <w:bottom w:w="50" w:type="dxa"/>
              <w:right w:w="90" w:type="dxa"/>
            </w:tcMar>
          </w:tcPr>
          <w:p w14:paraId="1E697859" w14:textId="77777777" w:rsidR="005F40CE" w:rsidRDefault="005F40CE" w:rsidP="00AC706A">
            <w:pPr>
              <w:spacing w:before="50" w:after="50" w:line="276" w:lineRule="auto"/>
            </w:pPr>
            <w:r>
              <w:rPr>
                <w:b/>
                <w:bCs/>
                <w:sz w:val="19"/>
                <w:szCs w:val="19"/>
              </w:rPr>
              <w:t>Stand der Technik</w:t>
            </w:r>
          </w:p>
        </w:tc>
        <w:tc>
          <w:tcPr>
            <w:tcW w:w="2350" w:type="dxa"/>
            <w:shd w:val="clear" w:color="auto" w:fill="E8E8E8"/>
            <w:tcMar>
              <w:top w:w="50" w:type="dxa"/>
              <w:left w:w="90" w:type="dxa"/>
              <w:bottom w:w="50" w:type="dxa"/>
              <w:right w:w="90" w:type="dxa"/>
            </w:tcMar>
          </w:tcPr>
          <w:p w14:paraId="4F3AB789" w14:textId="77777777" w:rsidR="005F40CE" w:rsidRDefault="005F40CE" w:rsidP="00AC706A">
            <w:pPr>
              <w:spacing w:before="50" w:after="50" w:line="276" w:lineRule="auto"/>
            </w:pPr>
            <w:r>
              <w:rPr>
                <w:b/>
                <w:bCs/>
                <w:sz w:val="19"/>
                <w:szCs w:val="19"/>
              </w:rPr>
              <w:t>Offen</w:t>
            </w:r>
          </w:p>
        </w:tc>
        <w:tc>
          <w:tcPr>
            <w:tcW w:w="2575" w:type="dxa"/>
            <w:shd w:val="clear" w:color="auto" w:fill="E8E8E8"/>
            <w:tcMar>
              <w:top w:w="50" w:type="dxa"/>
              <w:left w:w="90" w:type="dxa"/>
              <w:bottom w:w="50" w:type="dxa"/>
              <w:right w:w="90" w:type="dxa"/>
            </w:tcMar>
          </w:tcPr>
          <w:p w14:paraId="1A9FEE5F" w14:textId="77777777" w:rsidR="005F40CE" w:rsidRDefault="005F40CE" w:rsidP="00AC706A">
            <w:pPr>
              <w:spacing w:before="50" w:after="50" w:line="276" w:lineRule="auto"/>
              <w:jc w:val="left"/>
            </w:pPr>
            <w:r>
              <w:rPr>
                <w:b/>
                <w:bCs/>
                <w:sz w:val="19"/>
                <w:szCs w:val="19"/>
              </w:rPr>
              <w:t>Cluster und Quellen</w:t>
            </w:r>
          </w:p>
        </w:tc>
      </w:tr>
      <w:tr w:rsidR="005F40CE" w14:paraId="17373B13" w14:textId="77777777" w:rsidTr="00F159DE">
        <w:tc>
          <w:tcPr>
            <w:tcW w:w="480" w:type="dxa"/>
            <w:tcMar>
              <w:top w:w="50" w:type="dxa"/>
              <w:left w:w="90" w:type="dxa"/>
              <w:bottom w:w="50" w:type="dxa"/>
              <w:right w:w="90" w:type="dxa"/>
            </w:tcMar>
          </w:tcPr>
          <w:p w14:paraId="7ECBF771" w14:textId="77777777" w:rsidR="005F40CE" w:rsidRDefault="005F40CE" w:rsidP="00AC706A">
            <w:pPr>
              <w:spacing w:before="50" w:after="50" w:line="276" w:lineRule="auto"/>
            </w:pPr>
            <w:r>
              <w:rPr>
                <w:b/>
                <w:bCs/>
                <w:sz w:val="19"/>
                <w:szCs w:val="19"/>
              </w:rPr>
              <w:t>3.2</w:t>
            </w:r>
          </w:p>
        </w:tc>
        <w:tc>
          <w:tcPr>
            <w:tcW w:w="1600" w:type="dxa"/>
            <w:tcMar>
              <w:top w:w="50" w:type="dxa"/>
              <w:left w:w="90" w:type="dxa"/>
              <w:bottom w:w="50" w:type="dxa"/>
              <w:right w:w="90" w:type="dxa"/>
            </w:tcMar>
          </w:tcPr>
          <w:p w14:paraId="71E0AAB3" w14:textId="77777777" w:rsidR="005F40CE" w:rsidRDefault="005F40CE" w:rsidP="00AC706A">
            <w:pPr>
              <w:spacing w:before="50" w:after="50" w:line="276" w:lineRule="auto"/>
              <w:jc w:val="left"/>
            </w:pPr>
            <w:r>
              <w:rPr>
                <w:b/>
                <w:bCs/>
                <w:sz w:val="19"/>
                <w:szCs w:val="19"/>
              </w:rPr>
              <w:t>Rahmen, Infrastruktur und Zwischenspeicherbedarf</w:t>
            </w:r>
          </w:p>
        </w:tc>
        <w:tc>
          <w:tcPr>
            <w:tcW w:w="2350" w:type="dxa"/>
            <w:tcMar>
              <w:top w:w="50" w:type="dxa"/>
              <w:left w:w="90" w:type="dxa"/>
              <w:bottom w:w="50" w:type="dxa"/>
              <w:right w:w="90" w:type="dxa"/>
            </w:tcMar>
          </w:tcPr>
          <w:p w14:paraId="53019095" w14:textId="14ED099F" w:rsidR="005F40CE" w:rsidRDefault="005F40CE" w:rsidP="00AC706A">
            <w:pPr>
              <w:spacing w:before="50" w:after="50" w:line="276" w:lineRule="auto"/>
              <w:jc w:val="left"/>
            </w:pPr>
            <w:r>
              <w:rPr>
                <w:sz w:val="19"/>
                <w:szCs w:val="19"/>
              </w:rPr>
              <w:t xml:space="preserve">Rechtsrahmen gesetzt, Netzentwürfe und Bedarfsmengen liegen vor </w:t>
            </w:r>
          </w:p>
        </w:tc>
        <w:tc>
          <w:tcPr>
            <w:tcW w:w="2350" w:type="dxa"/>
            <w:tcMar>
              <w:top w:w="50" w:type="dxa"/>
              <w:left w:w="90" w:type="dxa"/>
              <w:bottom w:w="50" w:type="dxa"/>
              <w:right w:w="90" w:type="dxa"/>
            </w:tcMar>
          </w:tcPr>
          <w:p w14:paraId="7E149232" w14:textId="6EBE5039" w:rsidR="005F40CE" w:rsidRDefault="005F40CE" w:rsidP="00AC706A">
            <w:pPr>
              <w:spacing w:before="50" w:after="50" w:line="276" w:lineRule="auto"/>
              <w:jc w:val="left"/>
            </w:pPr>
            <w:r>
              <w:rPr>
                <w:sz w:val="19"/>
                <w:szCs w:val="19"/>
              </w:rPr>
              <w:t>Keine Investitionsentscheidung; Form der Zwischenspeicherung offen</w:t>
            </w:r>
          </w:p>
        </w:tc>
        <w:tc>
          <w:tcPr>
            <w:tcW w:w="2575" w:type="dxa"/>
            <w:tcMar>
              <w:top w:w="50" w:type="dxa"/>
              <w:left w:w="90" w:type="dxa"/>
              <w:bottom w:w="50" w:type="dxa"/>
              <w:right w:w="90" w:type="dxa"/>
            </w:tcMar>
          </w:tcPr>
          <w:p w14:paraId="763981D8" w14:textId="61F2A9DD" w:rsidR="005F40CE" w:rsidRDefault="00A4441C" w:rsidP="00913C19">
            <w:pPr>
              <w:spacing w:before="50" w:after="50" w:line="276" w:lineRule="auto"/>
            </w:pPr>
            <w:r>
              <w:rPr>
                <w:color w:val="555555"/>
                <w:sz w:val="16"/>
                <w:szCs w:val="16"/>
              </w:rPr>
              <w:t>T01, T02, T07, T08 — Q-002, Q-013, Q-020, Q-</w:t>
            </w:r>
            <w:r w:rsidR="00913C19" w:rsidRPr="00913C19">
              <w:rPr>
                <w:color w:val="555555"/>
                <w:sz w:val="16"/>
                <w:szCs w:val="16"/>
              </w:rPr>
              <w:t>032</w:t>
            </w:r>
            <w:r>
              <w:rPr>
                <w:color w:val="555555"/>
                <w:sz w:val="16"/>
                <w:szCs w:val="16"/>
              </w:rPr>
              <w:t>, Q-037, Q-040, Q-041, Q-042, Q-044, Q-046, Q-</w:t>
            </w:r>
            <w:r w:rsidR="00913C19" w:rsidRPr="00913C19">
              <w:rPr>
                <w:color w:val="555555"/>
                <w:sz w:val="16"/>
                <w:szCs w:val="16"/>
              </w:rPr>
              <w:t>078, Q-079</w:t>
            </w:r>
          </w:p>
        </w:tc>
      </w:tr>
      <w:tr w:rsidR="005F40CE" w14:paraId="50CFDDB6" w14:textId="77777777" w:rsidTr="00F159DE">
        <w:tc>
          <w:tcPr>
            <w:tcW w:w="480" w:type="dxa"/>
            <w:tcMar>
              <w:top w:w="50" w:type="dxa"/>
              <w:left w:w="90" w:type="dxa"/>
              <w:bottom w:w="50" w:type="dxa"/>
              <w:right w:w="90" w:type="dxa"/>
            </w:tcMar>
          </w:tcPr>
          <w:p w14:paraId="3CE20844" w14:textId="77777777" w:rsidR="005F40CE" w:rsidRDefault="005F40CE" w:rsidP="00AC706A">
            <w:pPr>
              <w:spacing w:before="50" w:after="50" w:line="276" w:lineRule="auto"/>
            </w:pPr>
            <w:r>
              <w:rPr>
                <w:b/>
                <w:bCs/>
                <w:sz w:val="19"/>
                <w:szCs w:val="19"/>
              </w:rPr>
              <w:t>3.3</w:t>
            </w:r>
          </w:p>
        </w:tc>
        <w:tc>
          <w:tcPr>
            <w:tcW w:w="1600" w:type="dxa"/>
            <w:tcMar>
              <w:top w:w="50" w:type="dxa"/>
              <w:left w:w="90" w:type="dxa"/>
              <w:bottom w:w="50" w:type="dxa"/>
              <w:right w:w="90" w:type="dxa"/>
            </w:tcMar>
          </w:tcPr>
          <w:p w14:paraId="4663F3AA" w14:textId="77777777" w:rsidR="005F40CE" w:rsidRDefault="005F40CE" w:rsidP="00AC706A">
            <w:pPr>
              <w:spacing w:before="50" w:after="50" w:line="276" w:lineRule="auto"/>
              <w:jc w:val="left"/>
            </w:pPr>
            <w:r>
              <w:rPr>
                <w:b/>
                <w:bCs/>
                <w:sz w:val="19"/>
                <w:szCs w:val="19"/>
              </w:rPr>
              <w:t>Stoffdaten und Phasenverhalten</w:t>
            </w:r>
          </w:p>
        </w:tc>
        <w:tc>
          <w:tcPr>
            <w:tcW w:w="2350" w:type="dxa"/>
            <w:tcMar>
              <w:top w:w="50" w:type="dxa"/>
              <w:left w:w="90" w:type="dxa"/>
              <w:bottom w:w="50" w:type="dxa"/>
              <w:right w:w="90" w:type="dxa"/>
            </w:tcMar>
          </w:tcPr>
          <w:p w14:paraId="0387AE3B" w14:textId="48047983" w:rsidR="005F40CE" w:rsidRDefault="005F40CE" w:rsidP="00AC706A">
            <w:pPr>
              <w:spacing w:before="50" w:after="50" w:line="276" w:lineRule="auto"/>
              <w:jc w:val="left"/>
            </w:pPr>
            <w:r>
              <w:rPr>
                <w:sz w:val="19"/>
                <w:szCs w:val="19"/>
              </w:rPr>
              <w:t xml:space="preserve">Reinstoffdaten über Span-Wagner vollständig verfügbar </w:t>
            </w:r>
          </w:p>
        </w:tc>
        <w:tc>
          <w:tcPr>
            <w:tcW w:w="2350" w:type="dxa"/>
            <w:tcMar>
              <w:top w:w="50" w:type="dxa"/>
              <w:left w:w="90" w:type="dxa"/>
              <w:bottom w:w="50" w:type="dxa"/>
              <w:right w:w="90" w:type="dxa"/>
            </w:tcMar>
          </w:tcPr>
          <w:p w14:paraId="0733CF60" w14:textId="6A5CC29A" w:rsidR="005F40CE" w:rsidRDefault="005F40CE" w:rsidP="00AC706A">
            <w:pPr>
              <w:spacing w:before="50" w:after="50" w:line="276" w:lineRule="auto"/>
              <w:jc w:val="left"/>
            </w:pPr>
            <w:r>
              <w:rPr>
                <w:sz w:val="19"/>
                <w:szCs w:val="19"/>
              </w:rPr>
              <w:t xml:space="preserve">Daten für Gemische mit Begleitstoffen begrenzt </w:t>
            </w:r>
          </w:p>
        </w:tc>
        <w:tc>
          <w:tcPr>
            <w:tcW w:w="2575" w:type="dxa"/>
            <w:tcMar>
              <w:top w:w="50" w:type="dxa"/>
              <w:left w:w="90" w:type="dxa"/>
              <w:bottom w:w="50" w:type="dxa"/>
              <w:right w:w="90" w:type="dxa"/>
            </w:tcMar>
          </w:tcPr>
          <w:p w14:paraId="69A7435B" w14:textId="7CE62A2A" w:rsidR="005F40CE" w:rsidRDefault="00A4441C" w:rsidP="005F7ECD">
            <w:pPr>
              <w:spacing w:before="50" w:after="50" w:line="276" w:lineRule="auto"/>
            </w:pPr>
            <w:r>
              <w:rPr>
                <w:color w:val="555555"/>
                <w:sz w:val="16"/>
                <w:szCs w:val="16"/>
              </w:rPr>
              <w:t>T03, T15 — Q-001, Q-007, Q-009, Q-010, Q-024, Q-028, Q-044, Q-059</w:t>
            </w:r>
          </w:p>
        </w:tc>
      </w:tr>
      <w:tr w:rsidR="005F40CE" w14:paraId="4665EDF1" w14:textId="77777777" w:rsidTr="00F159DE">
        <w:tc>
          <w:tcPr>
            <w:tcW w:w="480" w:type="dxa"/>
            <w:tcMar>
              <w:top w:w="50" w:type="dxa"/>
              <w:left w:w="90" w:type="dxa"/>
              <w:bottom w:w="50" w:type="dxa"/>
              <w:right w:w="90" w:type="dxa"/>
            </w:tcMar>
          </w:tcPr>
          <w:p w14:paraId="51797F49" w14:textId="77777777" w:rsidR="005F40CE" w:rsidRDefault="005F40CE" w:rsidP="00AC706A">
            <w:pPr>
              <w:spacing w:before="50" w:after="50" w:line="276" w:lineRule="auto"/>
            </w:pPr>
            <w:r>
              <w:rPr>
                <w:b/>
                <w:bCs/>
                <w:sz w:val="19"/>
                <w:szCs w:val="19"/>
              </w:rPr>
              <w:t>3.4</w:t>
            </w:r>
          </w:p>
        </w:tc>
        <w:tc>
          <w:tcPr>
            <w:tcW w:w="1600" w:type="dxa"/>
            <w:tcMar>
              <w:top w:w="50" w:type="dxa"/>
              <w:left w:w="90" w:type="dxa"/>
              <w:bottom w:w="50" w:type="dxa"/>
              <w:right w:w="90" w:type="dxa"/>
            </w:tcMar>
          </w:tcPr>
          <w:p w14:paraId="3D14EA23" w14:textId="77777777" w:rsidR="005F40CE" w:rsidRDefault="005F40CE" w:rsidP="00AC706A">
            <w:pPr>
              <w:spacing w:before="50" w:after="50" w:line="276" w:lineRule="auto"/>
              <w:jc w:val="left"/>
            </w:pPr>
            <w:r>
              <w:rPr>
                <w:b/>
                <w:bCs/>
                <w:sz w:val="19"/>
                <w:szCs w:val="19"/>
              </w:rPr>
              <w:t>CO</w:t>
            </w:r>
            <w:r>
              <w:rPr>
                <w:rFonts w:ascii="Cambria Math" w:hAnsi="Cambria Math" w:cs="Cambria Math"/>
                <w:b/>
                <w:bCs/>
                <w:sz w:val="19"/>
                <w:szCs w:val="19"/>
              </w:rPr>
              <w:t>₂</w:t>
            </w:r>
            <w:r>
              <w:rPr>
                <w:b/>
                <w:bCs/>
                <w:sz w:val="19"/>
                <w:szCs w:val="19"/>
              </w:rPr>
              <w:t>-Qualität und Begleitstoffe</w:t>
            </w:r>
          </w:p>
        </w:tc>
        <w:tc>
          <w:tcPr>
            <w:tcW w:w="2350" w:type="dxa"/>
            <w:tcMar>
              <w:top w:w="50" w:type="dxa"/>
              <w:left w:w="90" w:type="dxa"/>
              <w:bottom w:w="50" w:type="dxa"/>
              <w:right w:w="90" w:type="dxa"/>
            </w:tcMar>
          </w:tcPr>
          <w:p w14:paraId="666719A7" w14:textId="526ECF98" w:rsidR="005F40CE" w:rsidRDefault="005F40CE" w:rsidP="00AC706A">
            <w:pPr>
              <w:spacing w:before="50" w:after="50" w:line="276" w:lineRule="auto"/>
              <w:jc w:val="left"/>
            </w:pPr>
            <w:r>
              <w:rPr>
                <w:sz w:val="19"/>
                <w:szCs w:val="19"/>
              </w:rPr>
              <w:t xml:space="preserve">Transportspezifikationen normativ gefasst </w:t>
            </w:r>
          </w:p>
        </w:tc>
        <w:tc>
          <w:tcPr>
            <w:tcW w:w="2350" w:type="dxa"/>
            <w:tcMar>
              <w:top w:w="50" w:type="dxa"/>
              <w:left w:w="90" w:type="dxa"/>
              <w:bottom w:w="50" w:type="dxa"/>
              <w:right w:w="90" w:type="dxa"/>
            </w:tcMar>
          </w:tcPr>
          <w:p w14:paraId="1C500CD0" w14:textId="001ED3C3" w:rsidR="005F40CE" w:rsidRDefault="005F40CE" w:rsidP="00AC706A">
            <w:pPr>
              <w:spacing w:before="50" w:after="50" w:line="276" w:lineRule="auto"/>
              <w:jc w:val="left"/>
            </w:pPr>
            <w:r>
              <w:rPr>
                <w:sz w:val="19"/>
                <w:szCs w:val="19"/>
              </w:rPr>
              <w:t xml:space="preserve">Stoffeinträge aus Sole und Speicherhistorie nicht quantifiziert </w:t>
            </w:r>
          </w:p>
        </w:tc>
        <w:tc>
          <w:tcPr>
            <w:tcW w:w="2575" w:type="dxa"/>
            <w:tcMar>
              <w:top w:w="50" w:type="dxa"/>
              <w:left w:w="90" w:type="dxa"/>
              <w:bottom w:w="50" w:type="dxa"/>
              <w:right w:w="90" w:type="dxa"/>
            </w:tcMar>
          </w:tcPr>
          <w:p w14:paraId="460845AE" w14:textId="37212B35" w:rsidR="005F40CE" w:rsidRDefault="00A4441C" w:rsidP="00873C32">
            <w:pPr>
              <w:spacing w:before="50" w:after="50" w:line="276" w:lineRule="auto"/>
            </w:pPr>
            <w:r>
              <w:rPr>
                <w:color w:val="555555"/>
                <w:sz w:val="16"/>
                <w:szCs w:val="16"/>
              </w:rPr>
              <w:t>T04 — Q-001, Q-002, Q-005, Q-006, Q-019, Q-030, Q-031, Q-040, Q-045</w:t>
            </w:r>
          </w:p>
        </w:tc>
      </w:tr>
      <w:tr w:rsidR="005F40CE" w14:paraId="6487064E" w14:textId="77777777" w:rsidTr="00F159DE">
        <w:tc>
          <w:tcPr>
            <w:tcW w:w="480" w:type="dxa"/>
            <w:tcMar>
              <w:top w:w="50" w:type="dxa"/>
              <w:left w:w="90" w:type="dxa"/>
              <w:bottom w:w="50" w:type="dxa"/>
              <w:right w:w="90" w:type="dxa"/>
            </w:tcMar>
          </w:tcPr>
          <w:p w14:paraId="4F660633" w14:textId="77777777" w:rsidR="005F40CE" w:rsidRDefault="005F40CE" w:rsidP="00AC706A">
            <w:pPr>
              <w:spacing w:before="50" w:after="50" w:line="276" w:lineRule="auto"/>
            </w:pPr>
            <w:r>
              <w:rPr>
                <w:b/>
                <w:bCs/>
                <w:sz w:val="19"/>
                <w:szCs w:val="19"/>
              </w:rPr>
              <w:t>3.5</w:t>
            </w:r>
          </w:p>
        </w:tc>
        <w:tc>
          <w:tcPr>
            <w:tcW w:w="1600" w:type="dxa"/>
            <w:tcMar>
              <w:top w:w="50" w:type="dxa"/>
              <w:left w:w="90" w:type="dxa"/>
              <w:bottom w:w="50" w:type="dxa"/>
              <w:right w:w="90" w:type="dxa"/>
            </w:tcMar>
          </w:tcPr>
          <w:p w14:paraId="1808AF97" w14:textId="77777777" w:rsidR="005F40CE" w:rsidRDefault="005F40CE" w:rsidP="00AC706A">
            <w:pPr>
              <w:spacing w:before="50" w:after="50" w:line="276" w:lineRule="auto"/>
              <w:jc w:val="left"/>
            </w:pPr>
            <w:r>
              <w:rPr>
                <w:b/>
                <w:bCs/>
                <w:sz w:val="19"/>
                <w:szCs w:val="19"/>
              </w:rPr>
              <w:t>Salzkavernen als Speicher</w:t>
            </w:r>
          </w:p>
        </w:tc>
        <w:tc>
          <w:tcPr>
            <w:tcW w:w="2350" w:type="dxa"/>
            <w:tcMar>
              <w:top w:w="50" w:type="dxa"/>
              <w:left w:w="90" w:type="dxa"/>
              <w:bottom w:w="50" w:type="dxa"/>
              <w:right w:w="90" w:type="dxa"/>
            </w:tcMar>
          </w:tcPr>
          <w:p w14:paraId="2044FE43" w14:textId="67D6142C" w:rsidR="005F40CE" w:rsidRDefault="005F40CE" w:rsidP="00AC706A">
            <w:pPr>
              <w:spacing w:before="50" w:after="50" w:line="276" w:lineRule="auto"/>
              <w:jc w:val="left"/>
            </w:pPr>
            <w:r>
              <w:rPr>
                <w:sz w:val="19"/>
                <w:szCs w:val="19"/>
              </w:rPr>
              <w:t>Herstellung und Betrieb aus der Erdgasspeicherung etabliert</w:t>
            </w:r>
            <w:r w:rsidR="00B36C6C">
              <w:rPr>
                <w:sz w:val="19"/>
                <w:szCs w:val="19"/>
              </w:rPr>
              <w:t>;</w:t>
            </w:r>
            <w:r w:rsidR="00B36C6C">
              <w:rPr>
                <w:sz w:val="19"/>
                <w:szCs w:val="19"/>
              </w:rPr>
              <w:br/>
            </w:r>
            <w:r>
              <w:rPr>
                <w:sz w:val="19"/>
                <w:szCs w:val="19"/>
              </w:rPr>
              <w:t>CO</w:t>
            </w:r>
            <w:r>
              <w:rPr>
                <w:rFonts w:ascii="Cambria Math" w:hAnsi="Cambria Math" w:cs="Cambria Math"/>
                <w:sz w:val="19"/>
                <w:szCs w:val="19"/>
              </w:rPr>
              <w:t>₂</w:t>
            </w:r>
            <w:r>
              <w:rPr>
                <w:sz w:val="19"/>
                <w:szCs w:val="19"/>
              </w:rPr>
              <w:t xml:space="preserve">-Simulationen liegen vor </w:t>
            </w:r>
          </w:p>
        </w:tc>
        <w:tc>
          <w:tcPr>
            <w:tcW w:w="2350" w:type="dxa"/>
            <w:tcMar>
              <w:top w:w="50" w:type="dxa"/>
              <w:left w:w="90" w:type="dxa"/>
              <w:bottom w:w="50" w:type="dxa"/>
              <w:right w:w="90" w:type="dxa"/>
            </w:tcMar>
          </w:tcPr>
          <w:p w14:paraId="11DB11FB" w14:textId="565D347C" w:rsidR="005F40CE" w:rsidRDefault="005F40CE" w:rsidP="00AC706A">
            <w:pPr>
              <w:spacing w:before="50" w:after="50" w:line="276" w:lineRule="auto"/>
              <w:jc w:val="left"/>
            </w:pPr>
            <w:r>
              <w:rPr>
                <w:sz w:val="19"/>
                <w:szCs w:val="19"/>
              </w:rPr>
              <w:t>Weltweit kein CO</w:t>
            </w:r>
            <w:r>
              <w:rPr>
                <w:rFonts w:ascii="Cambria Math" w:hAnsi="Cambria Math" w:cs="Cambria Math"/>
                <w:sz w:val="19"/>
                <w:szCs w:val="19"/>
              </w:rPr>
              <w:t>₂</w:t>
            </w:r>
            <w:r>
              <w:rPr>
                <w:sz w:val="19"/>
                <w:szCs w:val="19"/>
              </w:rPr>
              <w:t xml:space="preserve">-Kavernenspeicher in Betrieb; keine Betriebserfahrung </w:t>
            </w:r>
          </w:p>
        </w:tc>
        <w:tc>
          <w:tcPr>
            <w:tcW w:w="2575" w:type="dxa"/>
            <w:tcMar>
              <w:top w:w="50" w:type="dxa"/>
              <w:left w:w="90" w:type="dxa"/>
              <w:bottom w:w="50" w:type="dxa"/>
              <w:right w:w="90" w:type="dxa"/>
            </w:tcMar>
          </w:tcPr>
          <w:p w14:paraId="1C4D8228" w14:textId="70C5512C" w:rsidR="005F40CE" w:rsidRDefault="00A4441C" w:rsidP="004924ED">
            <w:pPr>
              <w:spacing w:before="50" w:after="50" w:line="276" w:lineRule="auto"/>
            </w:pPr>
            <w:r>
              <w:rPr>
                <w:color w:val="555555"/>
                <w:sz w:val="16"/>
                <w:szCs w:val="16"/>
              </w:rPr>
              <w:t>T11 — Q-003, Q-012, Q-019, Q-028, Q-029, Q-030, Q-031, Q-033, Q-035, Q-036, Q-038, Q-039, Q-043, Q-</w:t>
            </w:r>
            <w:r w:rsidR="004924ED" w:rsidRPr="004924ED">
              <w:rPr>
                <w:color w:val="555555"/>
                <w:sz w:val="16"/>
                <w:szCs w:val="16"/>
              </w:rPr>
              <w:t>059</w:t>
            </w:r>
          </w:p>
        </w:tc>
      </w:tr>
      <w:tr w:rsidR="005F40CE" w14:paraId="133F2AA9" w14:textId="77777777" w:rsidTr="00F159DE">
        <w:tc>
          <w:tcPr>
            <w:tcW w:w="480" w:type="dxa"/>
            <w:tcMar>
              <w:top w:w="50" w:type="dxa"/>
              <w:left w:w="90" w:type="dxa"/>
              <w:bottom w:w="50" w:type="dxa"/>
              <w:right w:w="90" w:type="dxa"/>
            </w:tcMar>
          </w:tcPr>
          <w:p w14:paraId="2B09CD02" w14:textId="77777777" w:rsidR="005F40CE" w:rsidRDefault="005F40CE" w:rsidP="00AC706A">
            <w:pPr>
              <w:spacing w:before="50" w:after="50" w:line="276" w:lineRule="auto"/>
            </w:pPr>
            <w:r>
              <w:rPr>
                <w:b/>
                <w:bCs/>
                <w:sz w:val="19"/>
                <w:szCs w:val="19"/>
              </w:rPr>
              <w:t>3.6</w:t>
            </w:r>
          </w:p>
        </w:tc>
        <w:tc>
          <w:tcPr>
            <w:tcW w:w="1600" w:type="dxa"/>
            <w:tcMar>
              <w:top w:w="50" w:type="dxa"/>
              <w:left w:w="90" w:type="dxa"/>
              <w:bottom w:w="50" w:type="dxa"/>
              <w:right w:w="90" w:type="dxa"/>
            </w:tcMar>
          </w:tcPr>
          <w:p w14:paraId="320A8411" w14:textId="77777777" w:rsidR="005F40CE" w:rsidRDefault="005F40CE" w:rsidP="00AC706A">
            <w:pPr>
              <w:spacing w:before="50" w:after="50" w:line="276" w:lineRule="auto"/>
              <w:jc w:val="left"/>
            </w:pPr>
            <w:r>
              <w:rPr>
                <w:b/>
                <w:bCs/>
                <w:sz w:val="19"/>
                <w:szCs w:val="19"/>
              </w:rPr>
              <w:t>Einspeicherung: Verdichtung, Kühlung, Trocknung</w:t>
            </w:r>
          </w:p>
        </w:tc>
        <w:tc>
          <w:tcPr>
            <w:tcW w:w="2350" w:type="dxa"/>
            <w:tcMar>
              <w:top w:w="50" w:type="dxa"/>
              <w:left w:w="90" w:type="dxa"/>
              <w:bottom w:w="50" w:type="dxa"/>
              <w:right w:w="90" w:type="dxa"/>
            </w:tcMar>
          </w:tcPr>
          <w:p w14:paraId="58795ECF" w14:textId="50B35429" w:rsidR="005F40CE" w:rsidRDefault="005F40CE" w:rsidP="00AC706A">
            <w:pPr>
              <w:spacing w:before="50" w:after="50" w:line="276" w:lineRule="auto"/>
              <w:jc w:val="left"/>
            </w:pPr>
            <w:r>
              <w:rPr>
                <w:sz w:val="19"/>
                <w:szCs w:val="19"/>
              </w:rPr>
              <w:t xml:space="preserve">Mehrstufige Verdichtung und beide Trocknungsverfahren industriell erprobt </w:t>
            </w:r>
          </w:p>
        </w:tc>
        <w:tc>
          <w:tcPr>
            <w:tcW w:w="2350" w:type="dxa"/>
            <w:tcMar>
              <w:top w:w="50" w:type="dxa"/>
              <w:left w:w="90" w:type="dxa"/>
              <w:bottom w:w="50" w:type="dxa"/>
              <w:right w:w="90" w:type="dxa"/>
            </w:tcMar>
          </w:tcPr>
          <w:p w14:paraId="433714D9" w14:textId="0AB07DF1" w:rsidR="005F40CE" w:rsidRDefault="005F40CE" w:rsidP="00AC706A">
            <w:pPr>
              <w:spacing w:before="50" w:after="50" w:line="276" w:lineRule="auto"/>
              <w:jc w:val="left"/>
            </w:pPr>
            <w:r>
              <w:rPr>
                <w:sz w:val="19"/>
                <w:szCs w:val="19"/>
              </w:rPr>
              <w:t xml:space="preserve">Verfahrensauswahl für den Kavernenbetrieb nicht entschieden </w:t>
            </w:r>
          </w:p>
        </w:tc>
        <w:tc>
          <w:tcPr>
            <w:tcW w:w="2575" w:type="dxa"/>
            <w:tcMar>
              <w:top w:w="50" w:type="dxa"/>
              <w:left w:w="90" w:type="dxa"/>
              <w:bottom w:w="50" w:type="dxa"/>
              <w:right w:w="90" w:type="dxa"/>
            </w:tcMar>
          </w:tcPr>
          <w:p w14:paraId="3327A705" w14:textId="66E054E1" w:rsidR="005F40CE" w:rsidRDefault="00A4441C" w:rsidP="00F921E9">
            <w:pPr>
              <w:spacing w:before="50" w:after="50" w:line="276" w:lineRule="auto"/>
            </w:pPr>
            <w:r>
              <w:rPr>
                <w:color w:val="555555"/>
                <w:sz w:val="16"/>
                <w:szCs w:val="16"/>
              </w:rPr>
              <w:t>T05, T09 — Q-016, Q-017, Q-018, Q-029, Q-035, Q-036, Q-047, Q-048, Q-049, Q-050, Q-051, Q-063</w:t>
            </w:r>
            <w:r w:rsidR="00F921E9" w:rsidRPr="00F921E9">
              <w:rPr>
                <w:color w:val="555555"/>
                <w:sz w:val="16"/>
                <w:szCs w:val="16"/>
              </w:rPr>
              <w:t>, Q-077</w:t>
            </w:r>
          </w:p>
        </w:tc>
      </w:tr>
      <w:tr w:rsidR="005F40CE" w14:paraId="31896789" w14:textId="77777777" w:rsidTr="00F159DE">
        <w:tc>
          <w:tcPr>
            <w:tcW w:w="480" w:type="dxa"/>
            <w:tcMar>
              <w:top w:w="50" w:type="dxa"/>
              <w:left w:w="90" w:type="dxa"/>
              <w:bottom w:w="50" w:type="dxa"/>
              <w:right w:w="90" w:type="dxa"/>
            </w:tcMar>
          </w:tcPr>
          <w:p w14:paraId="79543F93" w14:textId="77777777" w:rsidR="005F40CE" w:rsidRDefault="005F40CE" w:rsidP="00AC706A">
            <w:pPr>
              <w:spacing w:before="50" w:after="50" w:line="276" w:lineRule="auto"/>
            </w:pPr>
            <w:r>
              <w:rPr>
                <w:b/>
                <w:bCs/>
                <w:sz w:val="19"/>
                <w:szCs w:val="19"/>
              </w:rPr>
              <w:t>3.7</w:t>
            </w:r>
          </w:p>
        </w:tc>
        <w:tc>
          <w:tcPr>
            <w:tcW w:w="1600" w:type="dxa"/>
            <w:tcMar>
              <w:top w:w="50" w:type="dxa"/>
              <w:left w:w="90" w:type="dxa"/>
              <w:bottom w:w="50" w:type="dxa"/>
              <w:right w:w="90" w:type="dxa"/>
            </w:tcMar>
          </w:tcPr>
          <w:p w14:paraId="3017F4B9" w14:textId="77777777" w:rsidR="005F40CE" w:rsidRDefault="005F40CE" w:rsidP="00AC706A">
            <w:pPr>
              <w:spacing w:before="50" w:after="50" w:line="276" w:lineRule="auto"/>
              <w:jc w:val="left"/>
            </w:pPr>
            <w:r>
              <w:rPr>
                <w:b/>
                <w:bCs/>
                <w:sz w:val="19"/>
                <w:szCs w:val="19"/>
              </w:rPr>
              <w:t>Ausspeicherung: Entspannung und Vorwärmung</w:t>
            </w:r>
          </w:p>
        </w:tc>
        <w:tc>
          <w:tcPr>
            <w:tcW w:w="2350" w:type="dxa"/>
            <w:tcMar>
              <w:top w:w="50" w:type="dxa"/>
              <w:left w:w="90" w:type="dxa"/>
              <w:bottom w:w="50" w:type="dxa"/>
              <w:right w:w="90" w:type="dxa"/>
            </w:tcMar>
          </w:tcPr>
          <w:p w14:paraId="22141CAC" w14:textId="2FDC403F" w:rsidR="005F40CE" w:rsidRDefault="005F40CE" w:rsidP="00AC706A">
            <w:pPr>
              <w:spacing w:before="50" w:after="50" w:line="276" w:lineRule="auto"/>
              <w:jc w:val="left"/>
            </w:pPr>
            <w:r>
              <w:rPr>
                <w:sz w:val="19"/>
                <w:szCs w:val="19"/>
              </w:rPr>
              <w:t xml:space="preserve">Joule-Thomson-Effekt und Hydratbildung grundsätzlich beschrieben </w:t>
            </w:r>
          </w:p>
        </w:tc>
        <w:tc>
          <w:tcPr>
            <w:tcW w:w="2350" w:type="dxa"/>
            <w:tcMar>
              <w:top w:w="50" w:type="dxa"/>
              <w:left w:w="90" w:type="dxa"/>
              <w:bottom w:w="50" w:type="dxa"/>
              <w:right w:w="90" w:type="dxa"/>
            </w:tcMar>
          </w:tcPr>
          <w:p w14:paraId="789CC68D" w14:textId="77777777" w:rsidR="005F40CE" w:rsidRDefault="005F40CE" w:rsidP="00AC706A">
            <w:pPr>
              <w:spacing w:before="50" w:after="50" w:line="276" w:lineRule="auto"/>
              <w:jc w:val="left"/>
            </w:pPr>
            <w:r>
              <w:rPr>
                <w:sz w:val="19"/>
                <w:szCs w:val="19"/>
              </w:rPr>
              <w:t>Keine Auslegungsdaten zur Vorwärmleistung — Schwerpunkt der eigenen Rechnung</w:t>
            </w:r>
          </w:p>
        </w:tc>
        <w:tc>
          <w:tcPr>
            <w:tcW w:w="2575" w:type="dxa"/>
            <w:tcMar>
              <w:top w:w="50" w:type="dxa"/>
              <w:left w:w="90" w:type="dxa"/>
              <w:bottom w:w="50" w:type="dxa"/>
              <w:right w:w="90" w:type="dxa"/>
            </w:tcMar>
          </w:tcPr>
          <w:p w14:paraId="317A07C9" w14:textId="407A336A" w:rsidR="005F40CE" w:rsidRDefault="00A4441C" w:rsidP="00E34EE2">
            <w:pPr>
              <w:spacing w:before="50" w:after="50" w:line="276" w:lineRule="auto"/>
            </w:pPr>
            <w:r>
              <w:rPr>
                <w:color w:val="555555"/>
                <w:sz w:val="16"/>
                <w:szCs w:val="16"/>
              </w:rPr>
              <w:t>T10 — Q-011, Q-012, Q-015, Q-028, Q-029, Q-035, Q-036, Q-050, Q-051, Q-058, Q-059</w:t>
            </w:r>
          </w:p>
        </w:tc>
      </w:tr>
      <w:tr w:rsidR="005F40CE" w14:paraId="55583E8C" w14:textId="77777777" w:rsidTr="00F159DE">
        <w:tc>
          <w:tcPr>
            <w:tcW w:w="480" w:type="dxa"/>
            <w:tcMar>
              <w:top w:w="50" w:type="dxa"/>
              <w:left w:w="90" w:type="dxa"/>
              <w:bottom w:w="50" w:type="dxa"/>
              <w:right w:w="90" w:type="dxa"/>
            </w:tcMar>
          </w:tcPr>
          <w:p w14:paraId="7F55D17A" w14:textId="77777777" w:rsidR="005F40CE" w:rsidRDefault="005F40CE" w:rsidP="00AC706A">
            <w:pPr>
              <w:spacing w:before="50" w:after="50" w:line="276" w:lineRule="auto"/>
            </w:pPr>
            <w:r>
              <w:rPr>
                <w:b/>
                <w:bCs/>
                <w:sz w:val="19"/>
                <w:szCs w:val="19"/>
              </w:rPr>
              <w:t>3.8</w:t>
            </w:r>
          </w:p>
        </w:tc>
        <w:tc>
          <w:tcPr>
            <w:tcW w:w="1600" w:type="dxa"/>
            <w:tcMar>
              <w:top w:w="50" w:type="dxa"/>
              <w:left w:w="90" w:type="dxa"/>
              <w:bottom w:w="50" w:type="dxa"/>
              <w:right w:w="90" w:type="dxa"/>
            </w:tcMar>
          </w:tcPr>
          <w:p w14:paraId="1A5225F1" w14:textId="77777777" w:rsidR="005F40CE" w:rsidRDefault="005F40CE" w:rsidP="00AC706A">
            <w:pPr>
              <w:spacing w:before="50" w:after="50" w:line="276" w:lineRule="auto"/>
              <w:jc w:val="left"/>
            </w:pPr>
            <w:r>
              <w:rPr>
                <w:b/>
                <w:bCs/>
                <w:sz w:val="19"/>
                <w:szCs w:val="19"/>
              </w:rPr>
              <w:t>Werkstoffe und Korrosion</w:t>
            </w:r>
          </w:p>
        </w:tc>
        <w:tc>
          <w:tcPr>
            <w:tcW w:w="2350" w:type="dxa"/>
            <w:tcMar>
              <w:top w:w="50" w:type="dxa"/>
              <w:left w:w="90" w:type="dxa"/>
              <w:bottom w:w="50" w:type="dxa"/>
              <w:right w:w="90" w:type="dxa"/>
            </w:tcMar>
          </w:tcPr>
          <w:p w14:paraId="5C864253" w14:textId="2F99857B" w:rsidR="005F40CE" w:rsidRDefault="005F40CE" w:rsidP="00AC706A">
            <w:pPr>
              <w:spacing w:before="50" w:after="50" w:line="276" w:lineRule="auto"/>
              <w:jc w:val="left"/>
            </w:pPr>
            <w:r>
              <w:rPr>
                <w:sz w:val="19"/>
                <w:szCs w:val="19"/>
              </w:rPr>
              <w:t xml:space="preserve">Korrosionsmechanismen und Werkstoffempfehlungen für den Transport dokumentiert </w:t>
            </w:r>
          </w:p>
        </w:tc>
        <w:tc>
          <w:tcPr>
            <w:tcW w:w="2350" w:type="dxa"/>
            <w:tcMar>
              <w:top w:w="50" w:type="dxa"/>
              <w:left w:w="90" w:type="dxa"/>
              <w:bottom w:w="50" w:type="dxa"/>
              <w:right w:w="90" w:type="dxa"/>
            </w:tcMar>
          </w:tcPr>
          <w:p w14:paraId="25AB57B3" w14:textId="2FA29C4C" w:rsidR="005F40CE" w:rsidRDefault="005F40CE" w:rsidP="00AC706A">
            <w:pPr>
              <w:spacing w:before="50" w:after="50" w:line="276" w:lineRule="auto"/>
              <w:jc w:val="left"/>
            </w:pPr>
            <w:r>
              <w:rPr>
                <w:sz w:val="19"/>
                <w:szCs w:val="19"/>
              </w:rPr>
              <w:t xml:space="preserve">Übertragung auf die Obertageanlage und Bestandskomponenten offen </w:t>
            </w:r>
          </w:p>
        </w:tc>
        <w:tc>
          <w:tcPr>
            <w:tcW w:w="2575" w:type="dxa"/>
            <w:tcMar>
              <w:top w:w="50" w:type="dxa"/>
              <w:left w:w="90" w:type="dxa"/>
              <w:bottom w:w="50" w:type="dxa"/>
              <w:right w:w="90" w:type="dxa"/>
            </w:tcMar>
          </w:tcPr>
          <w:p w14:paraId="395036EF" w14:textId="30465985" w:rsidR="005F40CE" w:rsidRDefault="00A4441C" w:rsidP="00D56BD9">
            <w:pPr>
              <w:spacing w:before="50" w:after="50" w:line="276" w:lineRule="auto"/>
            </w:pPr>
            <w:r>
              <w:rPr>
                <w:color w:val="555555"/>
                <w:sz w:val="16"/>
                <w:szCs w:val="16"/>
              </w:rPr>
              <w:t>T06 — Q-003, Q-004, Q-029, Q-031, Q-039, Q-045, Q-071</w:t>
            </w:r>
            <w:r w:rsidR="00D56BD9" w:rsidRPr="00D56BD9">
              <w:rPr>
                <w:color w:val="555555"/>
                <w:sz w:val="16"/>
                <w:szCs w:val="16"/>
              </w:rPr>
              <w:t>, Q-074, Q-075</w:t>
            </w:r>
          </w:p>
        </w:tc>
      </w:tr>
      <w:tr w:rsidR="005F40CE" w14:paraId="0CDCEC00" w14:textId="77777777" w:rsidTr="00F159DE">
        <w:tc>
          <w:tcPr>
            <w:tcW w:w="480" w:type="dxa"/>
            <w:tcMar>
              <w:top w:w="50" w:type="dxa"/>
              <w:left w:w="90" w:type="dxa"/>
              <w:bottom w:w="50" w:type="dxa"/>
              <w:right w:w="90" w:type="dxa"/>
            </w:tcMar>
          </w:tcPr>
          <w:p w14:paraId="356464E4" w14:textId="77777777" w:rsidR="005F40CE" w:rsidRDefault="005F40CE" w:rsidP="00AC706A">
            <w:pPr>
              <w:spacing w:before="50" w:after="50" w:line="276" w:lineRule="auto"/>
            </w:pPr>
            <w:r>
              <w:rPr>
                <w:b/>
                <w:bCs/>
                <w:sz w:val="19"/>
                <w:szCs w:val="19"/>
              </w:rPr>
              <w:lastRenderedPageBreak/>
              <w:t>3.9</w:t>
            </w:r>
          </w:p>
        </w:tc>
        <w:tc>
          <w:tcPr>
            <w:tcW w:w="1600" w:type="dxa"/>
            <w:tcMar>
              <w:top w:w="50" w:type="dxa"/>
              <w:left w:w="90" w:type="dxa"/>
              <w:bottom w:w="50" w:type="dxa"/>
              <w:right w:w="90" w:type="dxa"/>
            </w:tcMar>
          </w:tcPr>
          <w:p w14:paraId="677F451C" w14:textId="77777777" w:rsidR="005F40CE" w:rsidRDefault="005F40CE" w:rsidP="00AC706A">
            <w:pPr>
              <w:spacing w:before="50" w:after="50" w:line="276" w:lineRule="auto"/>
              <w:jc w:val="left"/>
            </w:pPr>
            <w:r>
              <w:rPr>
                <w:b/>
                <w:bCs/>
                <w:sz w:val="19"/>
                <w:szCs w:val="19"/>
              </w:rPr>
              <w:t>Messtechnik und Monitoring</w:t>
            </w:r>
          </w:p>
        </w:tc>
        <w:tc>
          <w:tcPr>
            <w:tcW w:w="2350" w:type="dxa"/>
            <w:tcMar>
              <w:top w:w="50" w:type="dxa"/>
              <w:left w:w="90" w:type="dxa"/>
              <w:bottom w:w="50" w:type="dxa"/>
              <w:right w:w="90" w:type="dxa"/>
            </w:tcMar>
          </w:tcPr>
          <w:p w14:paraId="188B2B8D" w14:textId="0C52D692" w:rsidR="005F40CE" w:rsidRDefault="005F40CE" w:rsidP="00AC706A">
            <w:pPr>
              <w:spacing w:before="50" w:after="50" w:line="276" w:lineRule="auto"/>
              <w:jc w:val="left"/>
            </w:pPr>
            <w:r>
              <w:rPr>
                <w:sz w:val="19"/>
                <w:szCs w:val="19"/>
              </w:rPr>
              <w:t>Coriolis- und Ultraschallverfahren im CO</w:t>
            </w:r>
            <w:r>
              <w:rPr>
                <w:rFonts w:ascii="Cambria Math" w:hAnsi="Cambria Math" w:cs="Cambria Math"/>
                <w:sz w:val="19"/>
                <w:szCs w:val="19"/>
              </w:rPr>
              <w:t>₂</w:t>
            </w:r>
            <w:r>
              <w:rPr>
                <w:sz w:val="19"/>
                <w:szCs w:val="19"/>
              </w:rPr>
              <w:t xml:space="preserve">-Transport erprobt </w:t>
            </w:r>
          </w:p>
        </w:tc>
        <w:tc>
          <w:tcPr>
            <w:tcW w:w="2350" w:type="dxa"/>
            <w:tcMar>
              <w:top w:w="50" w:type="dxa"/>
              <w:left w:w="90" w:type="dxa"/>
              <w:bottom w:w="50" w:type="dxa"/>
              <w:right w:w="90" w:type="dxa"/>
            </w:tcMar>
          </w:tcPr>
          <w:p w14:paraId="2E1274AD" w14:textId="60FE530A" w:rsidR="005F40CE" w:rsidRDefault="005F40CE" w:rsidP="00AC706A">
            <w:pPr>
              <w:spacing w:before="50" w:after="50" w:line="276" w:lineRule="auto"/>
              <w:jc w:val="left"/>
            </w:pPr>
            <w:r>
              <w:rPr>
                <w:sz w:val="19"/>
                <w:szCs w:val="19"/>
              </w:rPr>
              <w:t xml:space="preserve">Erhöhte Messunsicherheit in dichter Phase; Bohrlochmessgrößen zu klären </w:t>
            </w:r>
          </w:p>
        </w:tc>
        <w:tc>
          <w:tcPr>
            <w:tcW w:w="2575" w:type="dxa"/>
            <w:tcMar>
              <w:top w:w="50" w:type="dxa"/>
              <w:left w:w="90" w:type="dxa"/>
              <w:bottom w:w="50" w:type="dxa"/>
              <w:right w:w="90" w:type="dxa"/>
            </w:tcMar>
          </w:tcPr>
          <w:p w14:paraId="1512CA05" w14:textId="2D083863" w:rsidR="005F40CE" w:rsidRDefault="00A4441C" w:rsidP="00640BE3">
            <w:pPr>
              <w:spacing w:before="50" w:after="50" w:line="276" w:lineRule="auto"/>
            </w:pPr>
            <w:r>
              <w:rPr>
                <w:color w:val="555555"/>
                <w:sz w:val="16"/>
                <w:szCs w:val="16"/>
              </w:rPr>
              <w:t>T12 — Q-021, Q-022, Q-023, Q-025, Q-026, Q-027, Q-052, Q-053, Q-054, Q-055, Q-056, Q-057</w:t>
            </w:r>
            <w:r w:rsidR="00640BE3" w:rsidRPr="00640BE3">
              <w:rPr>
                <w:color w:val="555555"/>
                <w:sz w:val="16"/>
                <w:szCs w:val="16"/>
              </w:rPr>
              <w:t>, Q-077</w:t>
            </w:r>
          </w:p>
        </w:tc>
      </w:tr>
      <w:tr w:rsidR="005F40CE" w14:paraId="1C373B5F" w14:textId="77777777" w:rsidTr="00F159DE">
        <w:tc>
          <w:tcPr>
            <w:tcW w:w="480" w:type="dxa"/>
            <w:tcMar>
              <w:top w:w="50" w:type="dxa"/>
              <w:left w:w="90" w:type="dxa"/>
              <w:bottom w:w="50" w:type="dxa"/>
              <w:right w:w="90" w:type="dxa"/>
            </w:tcMar>
          </w:tcPr>
          <w:p w14:paraId="125668BC" w14:textId="77777777" w:rsidR="005F40CE" w:rsidRDefault="005F40CE" w:rsidP="00AC706A">
            <w:pPr>
              <w:spacing w:before="50" w:after="50" w:line="276" w:lineRule="auto"/>
            </w:pPr>
            <w:r>
              <w:rPr>
                <w:b/>
                <w:bCs/>
                <w:sz w:val="19"/>
                <w:szCs w:val="19"/>
              </w:rPr>
              <w:t>3.10</w:t>
            </w:r>
          </w:p>
        </w:tc>
        <w:tc>
          <w:tcPr>
            <w:tcW w:w="1600" w:type="dxa"/>
            <w:tcMar>
              <w:top w:w="50" w:type="dxa"/>
              <w:left w:w="90" w:type="dxa"/>
              <w:bottom w:w="50" w:type="dxa"/>
              <w:right w:w="90" w:type="dxa"/>
            </w:tcMar>
          </w:tcPr>
          <w:p w14:paraId="17FCB8A2" w14:textId="77777777" w:rsidR="005F40CE" w:rsidRDefault="005F40CE" w:rsidP="00AC706A">
            <w:pPr>
              <w:spacing w:before="50" w:after="50" w:line="276" w:lineRule="auto"/>
              <w:jc w:val="left"/>
            </w:pPr>
            <w:r>
              <w:rPr>
                <w:b/>
                <w:bCs/>
                <w:sz w:val="19"/>
                <w:szCs w:val="19"/>
              </w:rPr>
              <w:t>Sicherheit und Risikobewertung</w:t>
            </w:r>
          </w:p>
        </w:tc>
        <w:tc>
          <w:tcPr>
            <w:tcW w:w="2350" w:type="dxa"/>
            <w:tcMar>
              <w:top w:w="50" w:type="dxa"/>
              <w:left w:w="90" w:type="dxa"/>
              <w:bottom w:w="50" w:type="dxa"/>
              <w:right w:w="90" w:type="dxa"/>
            </w:tcMar>
          </w:tcPr>
          <w:p w14:paraId="5543EB81" w14:textId="68D7AFBF" w:rsidR="005F40CE" w:rsidRDefault="005F40CE" w:rsidP="00AC706A">
            <w:pPr>
              <w:spacing w:before="50" w:after="50" w:line="276" w:lineRule="auto"/>
              <w:jc w:val="left"/>
            </w:pPr>
            <w:r>
              <w:rPr>
                <w:sz w:val="19"/>
                <w:szCs w:val="19"/>
              </w:rPr>
              <w:t xml:space="preserve">Ausströmmodelle für Zweiphasenströmung verfügbar </w:t>
            </w:r>
          </w:p>
        </w:tc>
        <w:tc>
          <w:tcPr>
            <w:tcW w:w="2350" w:type="dxa"/>
            <w:tcMar>
              <w:top w:w="50" w:type="dxa"/>
              <w:left w:w="90" w:type="dxa"/>
              <w:bottom w:w="50" w:type="dxa"/>
              <w:right w:w="90" w:type="dxa"/>
            </w:tcMar>
          </w:tcPr>
          <w:p w14:paraId="29AE86BC" w14:textId="357E2999" w:rsidR="005F40CE" w:rsidRDefault="005F40CE" w:rsidP="00AC706A">
            <w:pPr>
              <w:spacing w:before="50" w:after="50" w:line="276" w:lineRule="auto"/>
              <w:jc w:val="left"/>
            </w:pPr>
            <w:r>
              <w:rPr>
                <w:sz w:val="19"/>
                <w:szCs w:val="19"/>
              </w:rPr>
              <w:t>Keine Gefährdungsbeurteilung für den CO</w:t>
            </w:r>
            <w:r>
              <w:rPr>
                <w:rFonts w:ascii="Cambria Math" w:hAnsi="Cambria Math" w:cs="Cambria Math"/>
                <w:sz w:val="19"/>
                <w:szCs w:val="19"/>
              </w:rPr>
              <w:t>₂</w:t>
            </w:r>
            <w:r>
              <w:rPr>
                <w:sz w:val="19"/>
                <w:szCs w:val="19"/>
              </w:rPr>
              <w:t>-Kavernenbetrieb</w:t>
            </w:r>
          </w:p>
        </w:tc>
        <w:tc>
          <w:tcPr>
            <w:tcW w:w="2575" w:type="dxa"/>
            <w:tcMar>
              <w:top w:w="50" w:type="dxa"/>
              <w:left w:w="90" w:type="dxa"/>
              <w:bottom w:w="50" w:type="dxa"/>
              <w:right w:w="90" w:type="dxa"/>
            </w:tcMar>
          </w:tcPr>
          <w:p w14:paraId="2773B017" w14:textId="095801E8" w:rsidR="005F40CE" w:rsidRDefault="00A4441C" w:rsidP="001B05EF">
            <w:pPr>
              <w:spacing w:before="50" w:after="50" w:line="276" w:lineRule="auto"/>
            </w:pPr>
            <w:r>
              <w:rPr>
                <w:color w:val="555555"/>
                <w:sz w:val="16"/>
                <w:szCs w:val="16"/>
              </w:rPr>
              <w:t>T13 — Q-015, Q-028, Q-043, Q-044, Q-058, Q-059, Q-062, Q-064, Q-065</w:t>
            </w:r>
          </w:p>
        </w:tc>
      </w:tr>
      <w:tr w:rsidR="005F40CE" w14:paraId="107CB153" w14:textId="77777777" w:rsidTr="00F159DE">
        <w:tc>
          <w:tcPr>
            <w:tcW w:w="480" w:type="dxa"/>
            <w:tcMar>
              <w:top w:w="50" w:type="dxa"/>
              <w:left w:w="90" w:type="dxa"/>
              <w:bottom w:w="50" w:type="dxa"/>
              <w:right w:w="90" w:type="dxa"/>
            </w:tcMar>
          </w:tcPr>
          <w:p w14:paraId="0DED7D43" w14:textId="77777777" w:rsidR="005F40CE" w:rsidRDefault="005F40CE" w:rsidP="00AC706A">
            <w:pPr>
              <w:spacing w:before="50" w:after="50" w:line="276" w:lineRule="auto"/>
            </w:pPr>
            <w:r>
              <w:rPr>
                <w:b/>
                <w:bCs/>
                <w:sz w:val="19"/>
                <w:szCs w:val="19"/>
              </w:rPr>
              <w:t>3.11</w:t>
            </w:r>
          </w:p>
        </w:tc>
        <w:tc>
          <w:tcPr>
            <w:tcW w:w="1600" w:type="dxa"/>
            <w:tcMar>
              <w:top w:w="50" w:type="dxa"/>
              <w:left w:w="90" w:type="dxa"/>
              <w:bottom w:w="50" w:type="dxa"/>
              <w:right w:w="90" w:type="dxa"/>
            </w:tcMar>
          </w:tcPr>
          <w:p w14:paraId="6AEB2D55" w14:textId="77777777" w:rsidR="005F40CE" w:rsidRDefault="005F40CE" w:rsidP="00AC706A">
            <w:pPr>
              <w:spacing w:before="50" w:after="50" w:line="276" w:lineRule="auto"/>
              <w:jc w:val="left"/>
            </w:pPr>
            <w:r>
              <w:rPr>
                <w:b/>
                <w:bCs/>
                <w:sz w:val="19"/>
                <w:szCs w:val="19"/>
              </w:rPr>
              <w:t>Wirtschaftliche Einordnung</w:t>
            </w:r>
          </w:p>
        </w:tc>
        <w:tc>
          <w:tcPr>
            <w:tcW w:w="2350" w:type="dxa"/>
            <w:tcMar>
              <w:top w:w="50" w:type="dxa"/>
              <w:left w:w="90" w:type="dxa"/>
              <w:bottom w:w="50" w:type="dxa"/>
              <w:right w:w="90" w:type="dxa"/>
            </w:tcMar>
          </w:tcPr>
          <w:p w14:paraId="5B370658" w14:textId="440EAC0C" w:rsidR="005F40CE" w:rsidRDefault="005F40CE" w:rsidP="00AC706A">
            <w:pPr>
              <w:spacing w:before="50" w:after="50" w:line="276" w:lineRule="auto"/>
              <w:jc w:val="left"/>
            </w:pPr>
            <w:r>
              <w:rPr>
                <w:sz w:val="19"/>
                <w:szCs w:val="19"/>
              </w:rPr>
              <w:t xml:space="preserve">Kostenkennwerte aus Projektstudien vorhanden </w:t>
            </w:r>
          </w:p>
        </w:tc>
        <w:tc>
          <w:tcPr>
            <w:tcW w:w="2350" w:type="dxa"/>
            <w:tcMar>
              <w:top w:w="50" w:type="dxa"/>
              <w:left w:w="90" w:type="dxa"/>
              <w:bottom w:w="50" w:type="dxa"/>
              <w:right w:w="90" w:type="dxa"/>
            </w:tcMar>
          </w:tcPr>
          <w:p w14:paraId="68FB5088" w14:textId="77777777" w:rsidR="005F40CE" w:rsidRDefault="005F40CE" w:rsidP="00AC706A">
            <w:pPr>
              <w:spacing w:before="50" w:after="50" w:line="276" w:lineRule="auto"/>
              <w:jc w:val="left"/>
            </w:pPr>
            <w:r>
              <w:rPr>
                <w:sz w:val="19"/>
                <w:szCs w:val="19"/>
              </w:rPr>
              <w:t>Kein belastbarer Vergleich Kaverne gegenüber Tanklager</w:t>
            </w:r>
          </w:p>
        </w:tc>
        <w:tc>
          <w:tcPr>
            <w:tcW w:w="2575" w:type="dxa"/>
            <w:tcMar>
              <w:top w:w="50" w:type="dxa"/>
              <w:left w:w="90" w:type="dxa"/>
              <w:bottom w:w="50" w:type="dxa"/>
              <w:right w:w="90" w:type="dxa"/>
            </w:tcMar>
          </w:tcPr>
          <w:p w14:paraId="0C4D6732" w14:textId="2DEC3D10" w:rsidR="005F40CE" w:rsidRDefault="00A4441C" w:rsidP="005A2ED6">
            <w:pPr>
              <w:spacing w:before="50" w:after="50" w:line="276" w:lineRule="auto"/>
            </w:pPr>
            <w:r>
              <w:rPr>
                <w:color w:val="555555"/>
                <w:sz w:val="16"/>
                <w:szCs w:val="16"/>
              </w:rPr>
              <w:t>T14 — Q-018, Q-020, Q-029, Q-032, Q-034, Q-060, Q-063, Q-066</w:t>
            </w:r>
            <w:r w:rsidR="005A2ED6" w:rsidRPr="005A2ED6">
              <w:rPr>
                <w:color w:val="555555"/>
                <w:sz w:val="16"/>
                <w:szCs w:val="16"/>
              </w:rPr>
              <w:t>, Q-074</w:t>
            </w:r>
          </w:p>
        </w:tc>
      </w:tr>
    </w:tbl>
    <w:p w14:paraId="212AF133" w14:textId="77777777" w:rsidR="00B9461A" w:rsidRDefault="00B9461A" w:rsidP="00AC706A">
      <w:pPr>
        <w:spacing w:after="80" w:line="276" w:lineRule="auto"/>
      </w:pPr>
    </w:p>
    <w:p w14:paraId="2E702A81" w14:textId="77777777" w:rsidR="00B9461A" w:rsidRDefault="00B9461A" w:rsidP="00AC706A">
      <w:pPr>
        <w:spacing w:after="80" w:line="276" w:lineRule="auto"/>
      </w:pPr>
    </w:p>
    <w:p w14:paraId="4E27290C" w14:textId="41BD77E4" w:rsidR="002272B5" w:rsidRDefault="001946D1" w:rsidP="00AC706A">
      <w:pPr>
        <w:pStyle w:val="berschrift2"/>
        <w:spacing w:line="276" w:lineRule="auto"/>
      </w:pPr>
      <w:r w:rsidRPr="001946D1">
        <w:t>3.2</w:t>
      </w:r>
      <w:r w:rsidRPr="001946D1">
        <w:tab/>
        <w:t>Rahmen, Infrastruktur und Zwischenspeicherbedarf</w:t>
      </w:r>
    </w:p>
    <w:p w14:paraId="2BE2409E" w14:textId="77777777" w:rsidR="00237FA2" w:rsidRDefault="001946D1" w:rsidP="002272B5">
      <w:pPr>
        <w:spacing w:after="80" w:line="276" w:lineRule="auto"/>
      </w:pPr>
      <w:r w:rsidRPr="001946D1">
        <w:t xml:space="preserve">Die politischen und rechtlichen Rahmenbedingungen für Abscheidung, Transport und Speicherung von </w:t>
      </w:r>
      <w:r w:rsidR="00D87E99" w:rsidRPr="001946D1">
        <w:t>CO</w:t>
      </w:r>
      <w:r w:rsidR="00D87E99" w:rsidRPr="001946D1">
        <w:rPr>
          <w:rFonts w:ascii="Cambria Math" w:hAnsi="Cambria Math" w:cs="Cambria Math"/>
        </w:rPr>
        <w:t>₂</w:t>
      </w:r>
      <w:r w:rsidR="00D87E99">
        <w:rPr>
          <w:rFonts w:ascii="Cambria Math" w:hAnsi="Cambria Math" w:cs="Cambria Math"/>
        </w:rPr>
        <w:t xml:space="preserve"> </w:t>
      </w:r>
      <w:r w:rsidRPr="001946D1">
        <w:t xml:space="preserve">sind auf europäischer und nationaler Ebene weitgehend </w:t>
      </w:r>
      <w:r w:rsidR="00A8357D">
        <w:t>festgelegt</w:t>
      </w:r>
      <w:r w:rsidRPr="001946D1">
        <w:t xml:space="preserve">. Das </w:t>
      </w:r>
      <w:r w:rsidRPr="00B77826">
        <w:rPr>
          <w:b/>
          <w:bCs/>
        </w:rPr>
        <w:t>Europäische Klimagesetz</w:t>
      </w:r>
      <w:r w:rsidRPr="001946D1">
        <w:t xml:space="preserve"> verankert die Klimaneutralität bis 2050, die </w:t>
      </w:r>
      <w:r w:rsidRPr="00B77826">
        <w:rPr>
          <w:b/>
          <w:bCs/>
        </w:rPr>
        <w:t>Netto-Null-Industrie-Verordnung</w:t>
      </w:r>
      <w:r w:rsidRPr="001946D1">
        <w:t xml:space="preserve"> gibt für die Europäische Union eine Injektionskapazität von mindestens 50 Millionen Tonnen jährlich bis 2030 vor. </w:t>
      </w:r>
    </w:p>
    <w:p w14:paraId="1CC894B2" w14:textId="732DB683" w:rsidR="00237FA2" w:rsidRDefault="00AB0F1B" w:rsidP="002272B5">
      <w:pPr>
        <w:spacing w:after="80" w:line="276" w:lineRule="auto"/>
      </w:pPr>
      <w:r w:rsidRPr="00AB0F1B">
        <w:t xml:space="preserve">National verpflichtet das </w:t>
      </w:r>
      <w:r w:rsidRPr="00AB0F1B">
        <w:rPr>
          <w:b/>
          <w:bCs/>
        </w:rPr>
        <w:t>Klimaschutzgesetz</w:t>
      </w:r>
      <w:r w:rsidRPr="00AB0F1B">
        <w:t xml:space="preserve"> (§ 3 Abs. 2 KSG) auf Treibhausgasneutralität bis 2045, die </w:t>
      </w:r>
      <w:r w:rsidRPr="00AB0F1B">
        <w:rPr>
          <w:b/>
          <w:bCs/>
        </w:rPr>
        <w:t>Carbon Management-Strategie</w:t>
      </w:r>
      <w:r w:rsidRPr="00AB0F1B">
        <w:t xml:space="preserve"> konkretisiert den Aufbau einer privatwirtschaftlich betriebenen CO</w:t>
      </w:r>
      <w:r w:rsidRPr="00AB0F1B">
        <w:rPr>
          <w:rFonts w:ascii="Cambria Math" w:hAnsi="Cambria Math" w:cs="Cambria Math"/>
        </w:rPr>
        <w:t>₂</w:t>
      </w:r>
      <w:r w:rsidRPr="00AB0F1B">
        <w:t>-Infrastruktur, und das seit dem 28.12.2025 geltende Gesetz zur dauerhaften Speicherung und zum Transport von Kohlendioxid (</w:t>
      </w:r>
      <w:r w:rsidRPr="00AB0F1B">
        <w:rPr>
          <w:b/>
          <w:bCs/>
        </w:rPr>
        <w:t>KSpTG</w:t>
      </w:r>
      <w:r w:rsidRPr="00AB0F1B">
        <w:t xml:space="preserve">) eröffnet die dauerhafte geologische Speicherung in der deutschen ausschließlichen Wirtschaftszone. Die Onshore-Speicherung bleibt ausgeschlossen und kann von den Ländern nur über eine </w:t>
      </w:r>
      <w:r w:rsidRPr="000975AC">
        <w:rPr>
          <w:b/>
          <w:bCs/>
        </w:rPr>
        <w:t>Opt-in-Regelung</w:t>
      </w:r>
      <w:r w:rsidRPr="00AB0F1B">
        <w:t xml:space="preserve"> zugelassen werden (§ 2 Abs. 5 KSpTG). (Q-002)</w:t>
      </w:r>
    </w:p>
    <w:p w14:paraId="6F48AF11" w14:textId="77777777" w:rsidR="001946D1" w:rsidRPr="001946D1" w:rsidRDefault="001946D1" w:rsidP="00AC706A">
      <w:pPr>
        <w:spacing w:after="80" w:line="276" w:lineRule="auto"/>
      </w:pPr>
      <w:r w:rsidRPr="001946D1">
        <w:t xml:space="preserve">Für den Transport liegen Netzentwürfe und Mengengerüste für Deutschland vor. Der Pipelinetransport erfolgt üblicherweise in dichter Phase bei Drücken zwischen 80 und 200 bar, der Schiffstransport dagegen flüssig bei 7 bis 45 bar und tiefen Temperaturen. Der </w:t>
      </w:r>
      <w:r w:rsidRPr="005E4F02">
        <w:rPr>
          <w:b/>
          <w:bCs/>
        </w:rPr>
        <w:t>Zwischenspeicherbedarf</w:t>
      </w:r>
      <w:r w:rsidRPr="001946D1">
        <w:t xml:space="preserve"> des modellierten deutschen Zielnetzes wird orientierend mit 0,21 bis 1,21 Millionen Tonnen beziffert. Offen bleibt, in welcher Form diese Kapazität bereitgestellt wird: Für keines der Netzprojekte besteht bislang eine endgültige Investitionsentscheidung, und die Studien treffen keine Aussage zur technischen Umsetzung der Zwischenspeicherung.</w:t>
      </w:r>
    </w:p>
    <w:p w14:paraId="5D988724" w14:textId="77777777" w:rsidR="007B27E3" w:rsidRDefault="00A4441C">
      <w:pPr>
        <w:spacing w:after="80" w:line="276" w:lineRule="auto"/>
      </w:pPr>
      <w:r w:rsidRPr="001946D1">
        <w:rPr>
          <w:i/>
          <w:iCs/>
        </w:rPr>
        <w:t>Cluster T01, T02, T07, T08 — Q-002, Q-013, Q-020, Q-</w:t>
      </w:r>
      <w:r w:rsidR="008E5C0B" w:rsidRPr="008E5C0B">
        <w:rPr>
          <w:i/>
          <w:iCs/>
        </w:rPr>
        <w:t>032</w:t>
      </w:r>
      <w:r w:rsidRPr="001946D1">
        <w:rPr>
          <w:i/>
          <w:iCs/>
        </w:rPr>
        <w:t>, Q-037, Q-040, Q-041, Q-042, Q-044, Q-046, Q-</w:t>
      </w:r>
      <w:r w:rsidR="008E5C0B" w:rsidRPr="008E5C0B">
        <w:rPr>
          <w:i/>
          <w:iCs/>
        </w:rPr>
        <w:t>078, Q-079</w:t>
      </w:r>
    </w:p>
    <w:p w14:paraId="0B452D7F" w14:textId="77777777" w:rsidR="005F40CE" w:rsidRPr="001946D1" w:rsidRDefault="005F40CE" w:rsidP="00AC706A">
      <w:pPr>
        <w:spacing w:line="276" w:lineRule="auto"/>
      </w:pPr>
    </w:p>
    <w:p w14:paraId="586EC254" w14:textId="77777777" w:rsidR="001946D1" w:rsidRDefault="001946D1" w:rsidP="00AC706A">
      <w:pPr>
        <w:pStyle w:val="berschrift2"/>
        <w:spacing w:line="276" w:lineRule="auto"/>
      </w:pPr>
      <w:r w:rsidRPr="001946D1">
        <w:t>3.3</w:t>
      </w:r>
      <w:r w:rsidRPr="001946D1">
        <w:tab/>
        <w:t>Stoffdaten, Phasenverhalten und Berechnungsgrundlagen</w:t>
      </w:r>
    </w:p>
    <w:p w14:paraId="33D99838" w14:textId="77777777" w:rsidR="00B36C6C" w:rsidRDefault="001946D1" w:rsidP="00AC706A">
      <w:pPr>
        <w:spacing w:after="80" w:line="276" w:lineRule="auto"/>
      </w:pPr>
      <w:r w:rsidRPr="001946D1">
        <w:t xml:space="preserve">Die thermodynamischen Eigenschaften von reinem </w:t>
      </w:r>
      <w:r w:rsidR="005E4F02" w:rsidRPr="001946D1">
        <w:t>CO</w:t>
      </w:r>
      <w:r w:rsidR="005E4F02" w:rsidRPr="001946D1">
        <w:rPr>
          <w:rFonts w:ascii="Cambria Math" w:hAnsi="Cambria Math" w:cs="Cambria Math"/>
        </w:rPr>
        <w:t>₂</w:t>
      </w:r>
      <w:r w:rsidR="005E4F02">
        <w:rPr>
          <w:rFonts w:ascii="Cambria Math" w:hAnsi="Cambria Math" w:cs="Cambria Math"/>
        </w:rPr>
        <w:t xml:space="preserve"> </w:t>
      </w:r>
      <w:r w:rsidRPr="001946D1">
        <w:t xml:space="preserve">sind über die </w:t>
      </w:r>
      <w:r w:rsidRPr="005E4F02">
        <w:rPr>
          <w:b/>
          <w:bCs/>
        </w:rPr>
        <w:t xml:space="preserve">Referenzzustandsgleichung </w:t>
      </w:r>
      <w:r w:rsidRPr="001946D1">
        <w:t xml:space="preserve">nach </w:t>
      </w:r>
      <w:r w:rsidRPr="005E4F02">
        <w:rPr>
          <w:b/>
          <w:bCs/>
        </w:rPr>
        <w:t>Span und Wagner</w:t>
      </w:r>
      <w:r w:rsidRPr="001946D1">
        <w:t xml:space="preserve"> vollständig beschrieben und über die Datenbanken </w:t>
      </w:r>
      <w:r w:rsidRPr="005E4F02">
        <w:rPr>
          <w:b/>
          <w:bCs/>
        </w:rPr>
        <w:t xml:space="preserve">NIST </w:t>
      </w:r>
      <w:r w:rsidRPr="005E4F02">
        <w:t>und</w:t>
      </w:r>
      <w:r w:rsidRPr="005E4F02">
        <w:rPr>
          <w:b/>
          <w:bCs/>
        </w:rPr>
        <w:t xml:space="preserve"> CoolProp</w:t>
      </w:r>
      <w:r w:rsidRPr="001946D1">
        <w:t xml:space="preserve"> zugänglich. </w:t>
      </w:r>
    </w:p>
    <w:p w14:paraId="0E5A24D9" w14:textId="049EFD11" w:rsidR="007B27E3" w:rsidRDefault="003D7344">
      <w:pPr>
        <w:pStyle w:val="Standard1"/>
        <w:spacing w:after="80" w:line="276" w:lineRule="auto"/>
      </w:pPr>
      <w:r w:rsidRPr="001946D1">
        <w:lastRenderedPageBreak/>
        <w:t xml:space="preserve">Der kritische Punkt liegt bei 31,0 </w:t>
      </w:r>
      <w:r w:rsidR="006D3724" w:rsidRPr="006D3724">
        <w:t>°C</w:t>
      </w:r>
      <w:r w:rsidRPr="001946D1">
        <w:t xml:space="preserve"> und 73,8 bar, der Tripelpunkt bei </w:t>
      </w:r>
      <w:r w:rsidR="006D3724" w:rsidRPr="006D3724">
        <w:t>−</w:t>
      </w:r>
      <w:r w:rsidRPr="001946D1">
        <w:t xml:space="preserve">56,6 </w:t>
      </w:r>
      <w:r w:rsidR="006D3724" w:rsidRPr="006D3724">
        <w:t>°C</w:t>
      </w:r>
      <w:r w:rsidRPr="001946D1">
        <w:t xml:space="preserve"> und 5,18 bar. Charakteristisch für die Anwendung ist das ausgeprägte Realgasverhalten: Im Speicherzustand um 210 bar und 50 </w:t>
      </w:r>
      <w:r w:rsidR="006D3724" w:rsidRPr="006D3724">
        <w:t>°C</w:t>
      </w:r>
      <w:r w:rsidRPr="001946D1">
        <w:t xml:space="preserve"> liegt der Realgasfaktor bei etwa 0,43, die Dichte bei rund 796 </w:t>
      </w:r>
      <w:r w:rsidRPr="00227CE5">
        <w:rPr>
          <w:rFonts w:ascii="Cambria Math" w:hAnsi="Cambria Math"/>
        </w:rPr>
        <w:t>kg/m</w:t>
      </w:r>
      <w:r w:rsidRPr="00227CE5">
        <w:rPr>
          <w:rFonts w:ascii="Cambria Math" w:hAnsi="Cambria Math"/>
          <w:vertAlign w:val="superscript"/>
        </w:rPr>
        <w:t>3</w:t>
      </w:r>
      <w:r w:rsidRPr="001946D1">
        <w:t xml:space="preserve">. Der positive Joule-Thomson-Koeffizient führt bei isenthalper Drosselung zu einer deutlichen Abkühlung, was </w:t>
      </w:r>
      <w:r w:rsidR="000B64DA">
        <w:t>bei der Druckreduzierung in der</w:t>
      </w:r>
      <w:r w:rsidRPr="001946D1">
        <w:t xml:space="preserve"> Ausspeicherung </w:t>
      </w:r>
      <w:r w:rsidR="006007E4">
        <w:t>berücksichtigt werden muss</w:t>
      </w:r>
      <w:r w:rsidRPr="001946D1">
        <w:t>.</w:t>
      </w:r>
    </w:p>
    <w:p w14:paraId="2B901D96" w14:textId="23AE4056" w:rsidR="001946D1" w:rsidRPr="001946D1" w:rsidRDefault="001946D1" w:rsidP="00AC706A">
      <w:pPr>
        <w:spacing w:after="80" w:line="276" w:lineRule="auto"/>
      </w:pPr>
      <w:r w:rsidRPr="001946D1">
        <w:t xml:space="preserve">Während Erdgas den gesamten Speicherzyklus gasförmig durchläuft, wechselt </w:t>
      </w:r>
      <w:r w:rsidR="008F7CF9" w:rsidRPr="001946D1">
        <w:t>CO</w:t>
      </w:r>
      <w:r w:rsidR="008F7CF9" w:rsidRPr="001946D1">
        <w:rPr>
          <w:rFonts w:ascii="Cambria Math" w:hAnsi="Cambria Math" w:cs="Cambria Math"/>
        </w:rPr>
        <w:t>₂</w:t>
      </w:r>
      <w:r w:rsidR="008F7CF9">
        <w:rPr>
          <w:rFonts w:ascii="Cambria Math" w:hAnsi="Cambria Math" w:cs="Cambria Math"/>
        </w:rPr>
        <w:t xml:space="preserve"> </w:t>
      </w:r>
      <w:r w:rsidRPr="001946D1">
        <w:t>im gleichen Druckbereich zwischen flüssiger, überkritischer und gasförmiger Phase. Jeder Wechsel verändert Dichte, Enthalpie und Schallgeschwindigkeit sprunghaft. Belastbare Stoffdaten für Gemische mit Begleitstoffen sind demgegenüber deutlich schlechter verfügbar als für den Reinstoff, obwohl bereits geringe Konzentrationen das Phasenverhalten verschieben.</w:t>
      </w:r>
    </w:p>
    <w:p w14:paraId="2E6109F8" w14:textId="77777777" w:rsidR="007B27E3" w:rsidRDefault="00A4441C">
      <w:pPr>
        <w:spacing w:after="80" w:line="276" w:lineRule="auto"/>
      </w:pPr>
      <w:r w:rsidRPr="001946D1">
        <w:rPr>
          <w:i/>
          <w:iCs/>
        </w:rPr>
        <w:t>Cluster T03, T15 — Q-001, Q-007, Q-009, Q-010, Q-024, Q-028, Q-044, Q-059</w:t>
      </w:r>
    </w:p>
    <w:p w14:paraId="52FEF071" w14:textId="77777777" w:rsidR="005F40CE" w:rsidRPr="001946D1" w:rsidRDefault="005F40CE" w:rsidP="00AC706A">
      <w:pPr>
        <w:spacing w:after="80" w:line="276" w:lineRule="auto"/>
      </w:pPr>
    </w:p>
    <w:p w14:paraId="70224CA1" w14:textId="77777777" w:rsidR="001946D1" w:rsidRDefault="001946D1" w:rsidP="00AC706A">
      <w:pPr>
        <w:pStyle w:val="berschrift2"/>
        <w:spacing w:line="276" w:lineRule="auto"/>
      </w:pPr>
      <w:r w:rsidRPr="001946D1">
        <w:t>3.4</w:t>
      </w:r>
      <w:r w:rsidRPr="001946D1">
        <w:tab/>
        <w:t>CO₂-Qualität und Begleitstoffe</w:t>
      </w:r>
    </w:p>
    <w:p w14:paraId="44CD2E66" w14:textId="64E75D21" w:rsidR="007B27E3" w:rsidRDefault="00114241" w:rsidP="00AC706A">
      <w:pPr>
        <w:spacing w:after="80" w:line="276" w:lineRule="auto"/>
      </w:pPr>
      <w:r w:rsidRPr="001946D1">
        <w:t xml:space="preserve">Anforderungen an die Transportqualität sind normativ in </w:t>
      </w:r>
      <w:r w:rsidRPr="00D541BD">
        <w:rPr>
          <w:b/>
          <w:bCs/>
        </w:rPr>
        <w:t>DIN EN ISO 27913</w:t>
      </w:r>
      <w:r w:rsidRPr="001946D1">
        <w:t xml:space="preserve"> und im </w:t>
      </w:r>
      <w:r w:rsidRPr="00D541BD">
        <w:rPr>
          <w:b/>
          <w:bCs/>
        </w:rPr>
        <w:t>DVGW-Regelwerk C 260</w:t>
      </w:r>
      <w:r w:rsidRPr="001946D1">
        <w:t xml:space="preserve"> gefasst</w:t>
      </w:r>
      <w:r w:rsidR="00DB49AE">
        <w:t xml:space="preserve">. In diesen Regelwerken </w:t>
      </w:r>
      <w:r w:rsidR="00DB3EE0">
        <w:t>wird eine Reinheit von</w:t>
      </w:r>
      <w:r w:rsidRPr="001946D1">
        <w:t xml:space="preserve"> mindestens CO</w:t>
      </w:r>
      <w:r w:rsidRPr="00372099">
        <w:rPr>
          <w:rFonts w:ascii="Cambria Math" w:hAnsi="Cambria Math"/>
        </w:rPr>
        <w:t>₂</w:t>
      </w:r>
      <w:r w:rsidRPr="00372099">
        <w:t xml:space="preserve"> </w:t>
      </w:r>
      <w:r w:rsidR="00372099" w:rsidRPr="00372099">
        <w:t xml:space="preserve">≥ 95 Vol.-% </w:t>
      </w:r>
      <w:r w:rsidRPr="001946D1">
        <w:t>sowie die Abwesenheit freien Wassers</w:t>
      </w:r>
      <w:r w:rsidR="00DB3EE0">
        <w:t xml:space="preserve"> gefordert</w:t>
      </w:r>
      <w:r w:rsidRPr="001946D1">
        <w:t xml:space="preserve">. Die Grenzwerte der Netzbetreiber sind bislang primär korrosionsschutzgetrieben und befinden sich noch in Diskussion. Kritisch sind einerseits reaktive </w:t>
      </w:r>
      <w:r w:rsidRPr="00EB2682">
        <w:rPr>
          <w:b/>
          <w:bCs/>
        </w:rPr>
        <w:t>Spurenstoffe</w:t>
      </w:r>
      <w:r w:rsidRPr="001946D1">
        <w:t xml:space="preserve"> wie Sauerstoff, Stickoxide, Schwefeloxide und Schwefelwasserstoff, die in Verbindung mit Wasser Säuren bilden, andererseits Wasser und Glykole sowie inerte Komponenten wie Stickstoff und Methan, die den Siedepunktdruck und die Phasengrenzen verschieben.</w:t>
      </w:r>
    </w:p>
    <w:p w14:paraId="088AE55D" w14:textId="420EA503" w:rsidR="001946D1" w:rsidRPr="001946D1" w:rsidRDefault="001946D1" w:rsidP="00AC706A">
      <w:pPr>
        <w:spacing w:after="80" w:line="276" w:lineRule="auto"/>
      </w:pPr>
      <w:r w:rsidRPr="001946D1">
        <w:t xml:space="preserve">Für die Zwischenspeicherung kommt eine speicherspezifische Fragestellung hinzu: Sole, Blanketmedien und Rückstände aus der Speicherhistorie können die Zusammensetzung des </w:t>
      </w:r>
      <w:r w:rsidR="00090580" w:rsidRPr="001946D1">
        <w:t>CO</w:t>
      </w:r>
      <w:r w:rsidR="00090580" w:rsidRPr="00372099">
        <w:rPr>
          <w:rFonts w:ascii="Cambria Math" w:hAnsi="Cambria Math"/>
        </w:rPr>
        <w:t>₂</w:t>
      </w:r>
      <w:r w:rsidR="00090580">
        <w:rPr>
          <w:rFonts w:ascii="Cambria Math" w:hAnsi="Cambria Math"/>
        </w:rPr>
        <w:t xml:space="preserve"> </w:t>
      </w:r>
      <w:r w:rsidRPr="001946D1">
        <w:t>während der Speicherung verändern. Welche Stoffeinträge dabei in welcher Größenordnung auftreten und welche Aufbereitung vor der Rückgabe in das Transportnetz erforderlich ist, ist Gegenstand laufender Forschungsvorhaben und bislang nicht belastbar quantifiziert.</w:t>
      </w:r>
    </w:p>
    <w:p w14:paraId="430D3287" w14:textId="77777777" w:rsidR="007B27E3" w:rsidRDefault="00A4441C">
      <w:pPr>
        <w:spacing w:after="80" w:line="276" w:lineRule="auto"/>
      </w:pPr>
      <w:r w:rsidRPr="001946D1">
        <w:rPr>
          <w:i/>
          <w:iCs/>
        </w:rPr>
        <w:t>Cluster T04 — Q-001, Q-002, Q-005, Q-006, Q-019, Q-030, Q-031, Q-040, Q-045</w:t>
      </w:r>
    </w:p>
    <w:p w14:paraId="27FF9357" w14:textId="77777777" w:rsidR="005F40CE" w:rsidRPr="001946D1" w:rsidRDefault="005F40CE" w:rsidP="00AC706A">
      <w:pPr>
        <w:spacing w:after="80" w:line="276" w:lineRule="auto"/>
      </w:pPr>
    </w:p>
    <w:p w14:paraId="02DB629A" w14:textId="77777777" w:rsidR="001946D1" w:rsidRDefault="001946D1" w:rsidP="00AC706A">
      <w:pPr>
        <w:pStyle w:val="berschrift2"/>
        <w:spacing w:line="276" w:lineRule="auto"/>
      </w:pPr>
      <w:r w:rsidRPr="001946D1">
        <w:t>3.5</w:t>
      </w:r>
      <w:r w:rsidRPr="001946D1">
        <w:tab/>
        <w:t>Salzkavernen als Speicher</w:t>
      </w:r>
    </w:p>
    <w:p w14:paraId="0B6E3B66" w14:textId="77777777" w:rsidR="007B27E3" w:rsidRDefault="003D7344">
      <w:pPr>
        <w:pStyle w:val="Standard1"/>
        <w:spacing w:after="80" w:line="276" w:lineRule="auto"/>
      </w:pPr>
      <w:r w:rsidRPr="001946D1">
        <w:t xml:space="preserve">Herstellung, Auslegung und Betrieb von Salzkavernen sind aus der Erdgas- und Erdölspeicherung umfassend etabliert. Kavernen werden durch Aussolung erstellt und erreichen geometrische Volumina bis rund </w:t>
      </w:r>
      <w:r w:rsidRPr="009362C2">
        <w:t xml:space="preserve">1 Mio. </w:t>
      </w:r>
      <w:r w:rsidRPr="00FF273B">
        <w:rPr>
          <w:rFonts w:ascii="Cambria Math" w:hAnsi="Cambria Math"/>
        </w:rPr>
        <w:t>m</w:t>
      </w:r>
      <w:r w:rsidRPr="00FF273B">
        <w:rPr>
          <w:rFonts w:ascii="Cambria Math" w:hAnsi="Cambria Math"/>
          <w:vertAlign w:val="superscript"/>
        </w:rPr>
        <w:t>3</w:t>
      </w:r>
      <w:r w:rsidRPr="001946D1">
        <w:t xml:space="preserve"> bei Durchmessern bis 90 </w:t>
      </w:r>
      <w:r w:rsidRPr="009362C2">
        <w:t>m</w:t>
      </w:r>
      <w:r w:rsidRPr="001946D1">
        <w:t xml:space="preserve"> und Höhen bis 500 </w:t>
      </w:r>
      <w:r w:rsidRPr="009362C2">
        <w:t>m</w:t>
      </w:r>
      <w:r w:rsidRPr="001946D1">
        <w:t>. Für den CO</w:t>
      </w:r>
      <w:r w:rsidRPr="009362C2">
        <w:rPr>
          <w:rFonts w:ascii="Cambria Math" w:hAnsi="Cambria Math"/>
        </w:rPr>
        <w:t>₂</w:t>
      </w:r>
      <w:r w:rsidRPr="001946D1">
        <w:t>-Betrieb liegen thermodynamische Analysen und Simulationen vor, die das Phasenverhalten unter Kavernenbedingungen, das zulässige Betriebsdruckfenster und den Kissengasanteil beschreiben. Letzterer liegt mit etwa 68 bis 78 Prozent deutlich über dem Wert für Erdgas von etwa 41 bis 43 Prozent.</w:t>
      </w:r>
    </w:p>
    <w:p w14:paraId="1B0974DC" w14:textId="2F81136A" w:rsidR="001946D1" w:rsidRPr="001946D1" w:rsidRDefault="009734D4" w:rsidP="00AC706A">
      <w:pPr>
        <w:spacing w:after="80" w:line="276" w:lineRule="auto"/>
      </w:pPr>
      <w:r>
        <w:t>Bei dieser Arbeit hand</w:t>
      </w:r>
      <w:r w:rsidR="003C1F16">
        <w:t xml:space="preserve">elt es sich jedoch ausschließlich um theoretische Berechnungen. </w:t>
      </w:r>
      <w:r w:rsidR="001946D1" w:rsidRPr="001946D1">
        <w:t>Weltweit ist kein Kavernenspeicher in Betrieb, in dem Kohlenstoffdioxid zwischengespeichert wird</w:t>
      </w:r>
      <w:r w:rsidR="00684306">
        <w:t xml:space="preserve">. </w:t>
      </w:r>
      <w:r w:rsidR="001946D1" w:rsidRPr="001946D1">
        <w:t>Als offene Punkte werden insbesondere die Mehrphasenströmung im Bohrloch, die Lage des Phasenübergangs im verrohrten Bereich sowie die Wechselwirkungen im System aus Kohlenstoffdioxid, Sole und Kohlenwasserstoffen benannt.</w:t>
      </w:r>
    </w:p>
    <w:p w14:paraId="5B7AAEF0" w14:textId="77777777" w:rsidR="007B27E3" w:rsidRDefault="00A4441C">
      <w:pPr>
        <w:spacing w:after="80" w:line="276" w:lineRule="auto"/>
      </w:pPr>
      <w:r w:rsidRPr="001946D1">
        <w:rPr>
          <w:i/>
          <w:iCs/>
        </w:rPr>
        <w:lastRenderedPageBreak/>
        <w:t>Cluster T11 — Q-003, Q-012, Q-019, Q-028, Q-029, Q-030, Q-031, Q-033, Q-035, Q-036, Q-038, Q-039, Q-043, Q-</w:t>
      </w:r>
      <w:r w:rsidR="0077264D" w:rsidRPr="0077264D">
        <w:rPr>
          <w:i/>
          <w:iCs/>
        </w:rPr>
        <w:t>059</w:t>
      </w:r>
    </w:p>
    <w:p w14:paraId="26186C2F" w14:textId="77777777" w:rsidR="00A63CCC" w:rsidRPr="001946D1" w:rsidRDefault="00A63CCC" w:rsidP="00AC706A">
      <w:pPr>
        <w:spacing w:after="80" w:line="276" w:lineRule="auto"/>
      </w:pPr>
    </w:p>
    <w:p w14:paraId="0389E934" w14:textId="77777777" w:rsidR="001946D1" w:rsidRDefault="001946D1" w:rsidP="00AC706A">
      <w:pPr>
        <w:pStyle w:val="berschrift2"/>
        <w:spacing w:line="276" w:lineRule="auto"/>
      </w:pPr>
      <w:r w:rsidRPr="001946D1">
        <w:t>3.6</w:t>
      </w:r>
      <w:r w:rsidRPr="001946D1">
        <w:tab/>
        <w:t>Einspeicherung: Verdichtung, Kühlung und Trocknung</w:t>
      </w:r>
    </w:p>
    <w:p w14:paraId="5CC42C22" w14:textId="6AEF7121" w:rsidR="001946D1" w:rsidRPr="001946D1" w:rsidRDefault="001946D1" w:rsidP="00AC706A">
      <w:pPr>
        <w:spacing w:after="80" w:line="276" w:lineRule="auto"/>
      </w:pPr>
      <w:r w:rsidRPr="001946D1">
        <w:t xml:space="preserve">Die mehrstufige Verdichtung mit Zwischenkühlung ist für </w:t>
      </w:r>
      <w:r w:rsidR="00D90DCA" w:rsidRPr="001946D1">
        <w:t>CO</w:t>
      </w:r>
      <w:r w:rsidR="00D90DCA" w:rsidRPr="009362C2">
        <w:rPr>
          <w:rFonts w:ascii="Cambria Math" w:hAnsi="Cambria Math"/>
        </w:rPr>
        <w:t>₂</w:t>
      </w:r>
      <w:r w:rsidR="00D90DCA">
        <w:rPr>
          <w:rFonts w:ascii="Cambria Math" w:hAnsi="Cambria Math"/>
        </w:rPr>
        <w:t xml:space="preserve"> </w:t>
      </w:r>
      <w:r w:rsidRPr="001946D1">
        <w:t>Stand der Technik und industriell erprobt</w:t>
      </w:r>
      <w:r w:rsidR="00484A30">
        <w:t xml:space="preserve"> s</w:t>
      </w:r>
      <w:r w:rsidR="00484A30" w:rsidRPr="00484A30">
        <w:t>owohl in der Prozessindustrie als auch in CCS- und CCU-Anwendungen</w:t>
      </w:r>
      <w:r w:rsidRPr="001946D1">
        <w:t xml:space="preserve">; herstellerseitig werden insbesondere </w:t>
      </w:r>
      <w:r w:rsidRPr="00484A30">
        <w:rPr>
          <w:b/>
          <w:bCs/>
        </w:rPr>
        <w:t>Getriebeverdichter</w:t>
      </w:r>
      <w:r w:rsidRPr="001946D1">
        <w:t xml:space="preserve"> für diesen Anwendungsfall angeboten. Oberhalb des kritischen Drucks lässt sich die erforderliche Dichte alternativ über Kühlung und anschließende </w:t>
      </w:r>
      <w:r w:rsidRPr="00BC7CA4">
        <w:rPr>
          <w:b/>
          <w:bCs/>
        </w:rPr>
        <w:t>Verpump</w:t>
      </w:r>
      <w:r w:rsidR="00684306">
        <w:rPr>
          <w:b/>
          <w:bCs/>
        </w:rPr>
        <w:t>en</w:t>
      </w:r>
      <w:r w:rsidRPr="001946D1">
        <w:t xml:space="preserve"> erreichen, was den Leistungsbedarf und den Platzbedarf gegenüber einer reinen Verdichtung verringert.</w:t>
      </w:r>
    </w:p>
    <w:p w14:paraId="6CDDEFB0" w14:textId="04A46F0F" w:rsidR="001946D1" w:rsidRPr="001946D1" w:rsidRDefault="001946D1" w:rsidP="00AC706A">
      <w:pPr>
        <w:spacing w:after="80" w:line="276" w:lineRule="auto"/>
      </w:pPr>
      <w:r w:rsidRPr="001946D1">
        <w:t xml:space="preserve">Für die </w:t>
      </w:r>
      <w:r w:rsidRPr="00BC7CA4">
        <w:rPr>
          <w:b/>
          <w:bCs/>
        </w:rPr>
        <w:t>Trocknung</w:t>
      </w:r>
      <w:r w:rsidRPr="001946D1">
        <w:t xml:space="preserve"> stehen die Absorption mit </w:t>
      </w:r>
      <w:r w:rsidRPr="00BC7CA4">
        <w:rPr>
          <w:b/>
          <w:bCs/>
        </w:rPr>
        <w:t>Triethylenglykol</w:t>
      </w:r>
      <w:r w:rsidRPr="001946D1">
        <w:t xml:space="preserve"> und die Adsorption an </w:t>
      </w:r>
      <w:r w:rsidRPr="00BC7CA4">
        <w:rPr>
          <w:b/>
          <w:bCs/>
        </w:rPr>
        <w:t>Molekularsieben</w:t>
      </w:r>
      <w:r w:rsidRPr="001946D1">
        <w:t xml:space="preserve"> zur Verfügung</w:t>
      </w:r>
      <w:r w:rsidR="000D6695">
        <w:t xml:space="preserve">. </w:t>
      </w:r>
      <w:r w:rsidR="004D5C5A" w:rsidRPr="004D5C5A">
        <w:t>Unpolare Adsorbentien wie Aktivkohle sind hierfür ungeeignet, da sie Wasser nur schwach und gegenüber CO</w:t>
      </w:r>
      <w:r w:rsidR="004D5C5A" w:rsidRPr="004D5C5A">
        <w:rPr>
          <w:rFonts w:ascii="Cambria Math" w:hAnsi="Cambria Math" w:cs="Cambria Math"/>
        </w:rPr>
        <w:t>₂</w:t>
      </w:r>
      <w:r w:rsidR="004D5C5A" w:rsidRPr="004D5C5A">
        <w:t xml:space="preserve"> unselektiv binden und die geforderten Taupunkte nicht sicher erreichen; sie kommen aber für die Abtrennung von Kohlenwasserstoffen in Frage (</w:t>
      </w:r>
      <w:r w:rsidR="00530907">
        <w:t>Q-081</w:t>
      </w:r>
      <w:r w:rsidR="004D5C5A" w:rsidRPr="004D5C5A">
        <w:t>).</w:t>
      </w:r>
      <w:r w:rsidR="004D5C5A">
        <w:t xml:space="preserve"> </w:t>
      </w:r>
      <w:r w:rsidRPr="001946D1">
        <w:t xml:space="preserve">Die </w:t>
      </w:r>
      <w:r w:rsidRPr="00214337">
        <w:rPr>
          <w:b/>
          <w:bCs/>
        </w:rPr>
        <w:t>Glykoltrocknung</w:t>
      </w:r>
      <w:r w:rsidRPr="001946D1">
        <w:t xml:space="preserve"> wird für den Kavernenbetrieb allerdings wegen eines möglichen </w:t>
      </w:r>
      <w:r w:rsidRPr="004B5888">
        <w:rPr>
          <w:b/>
          <w:bCs/>
        </w:rPr>
        <w:t>Glykolaustrags</w:t>
      </w:r>
      <w:r w:rsidRPr="001946D1">
        <w:t xml:space="preserve"> in den Speicher in Frage gestellt. Zur </w:t>
      </w:r>
      <w:r w:rsidRPr="004B5888">
        <w:rPr>
          <w:b/>
          <w:bCs/>
        </w:rPr>
        <w:t>Filtration</w:t>
      </w:r>
      <w:r w:rsidRPr="001946D1">
        <w:t xml:space="preserve"> und </w:t>
      </w:r>
      <w:r w:rsidRPr="004B5888">
        <w:rPr>
          <w:b/>
          <w:bCs/>
        </w:rPr>
        <w:t>Flüssigkeitsabscheidung</w:t>
      </w:r>
      <w:r w:rsidRPr="001946D1">
        <w:t xml:space="preserve"> existieren herstellerseitige Auslegungsunterlagen. Welche Verfahrenskombination für einen CO</w:t>
      </w:r>
      <w:r w:rsidRPr="001946D1">
        <w:rPr>
          <w:rFonts w:ascii="Cambria Math" w:hAnsi="Cambria Math" w:cs="Cambria Math"/>
        </w:rPr>
        <w:t>₂</w:t>
      </w:r>
      <w:r w:rsidRPr="001946D1">
        <w:t xml:space="preserve">-Kavernenspeicher geeignet ist, ist in der Literatur </w:t>
      </w:r>
      <w:r w:rsidR="004B5888">
        <w:t xml:space="preserve">noch </w:t>
      </w:r>
      <w:r w:rsidRPr="001946D1">
        <w:t xml:space="preserve">nicht </w:t>
      </w:r>
      <w:r w:rsidR="004B5888">
        <w:t xml:space="preserve">konkret </w:t>
      </w:r>
      <w:r w:rsidR="000B56B2">
        <w:t>beschrieben</w:t>
      </w:r>
      <w:r w:rsidRPr="001946D1">
        <w:t>.</w:t>
      </w:r>
    </w:p>
    <w:p w14:paraId="161A7815" w14:textId="77777777" w:rsidR="007B27E3" w:rsidRDefault="00A4441C">
      <w:pPr>
        <w:spacing w:after="80" w:line="276" w:lineRule="auto"/>
      </w:pPr>
      <w:r w:rsidRPr="001946D1">
        <w:rPr>
          <w:i/>
          <w:iCs/>
        </w:rPr>
        <w:t>Cluster T05, T09 — Q-016, Q-017, Q-018, Q-029, Q-035, Q-036, Q-047, Q-048, Q-049, Q-050, Q-051, Q-063</w:t>
      </w:r>
      <w:r w:rsidR="0061199A" w:rsidRPr="0061199A">
        <w:rPr>
          <w:i/>
          <w:iCs/>
        </w:rPr>
        <w:t>, Q-077</w:t>
      </w:r>
    </w:p>
    <w:p w14:paraId="5DEFE9ED" w14:textId="77777777" w:rsidR="005F40CE" w:rsidRPr="001946D1" w:rsidRDefault="005F40CE" w:rsidP="00AC706A">
      <w:pPr>
        <w:spacing w:after="80" w:line="276" w:lineRule="auto"/>
      </w:pPr>
    </w:p>
    <w:p w14:paraId="64185EA5" w14:textId="1EBDC8BF" w:rsidR="005F40CE" w:rsidRPr="001946D1" w:rsidRDefault="001946D1" w:rsidP="00C81963">
      <w:pPr>
        <w:pStyle w:val="berschrift2"/>
        <w:spacing w:line="276" w:lineRule="auto"/>
      </w:pPr>
      <w:r w:rsidRPr="001946D1">
        <w:t>3.7</w:t>
      </w:r>
      <w:r w:rsidRPr="001946D1">
        <w:tab/>
        <w:t>Ausspeicherung: Entspannung und Vorwärmung</w:t>
      </w:r>
    </w:p>
    <w:p w14:paraId="38F82E5B" w14:textId="3F3C0FBB" w:rsidR="001946D1" w:rsidRPr="001946D1" w:rsidRDefault="001946D1" w:rsidP="00AC706A">
      <w:pPr>
        <w:spacing w:after="80" w:line="276" w:lineRule="auto"/>
      </w:pPr>
      <w:r w:rsidRPr="001946D1">
        <w:t>Die Ausspeicherung ist d</w:t>
      </w:r>
      <w:r w:rsidR="000B56B2">
        <w:t xml:space="preserve">er am wenigsten </w:t>
      </w:r>
      <w:r w:rsidR="00160ABF">
        <w:t xml:space="preserve">dokumentierte Teil </w:t>
      </w:r>
      <w:r w:rsidRPr="001946D1">
        <w:t xml:space="preserve">der </w:t>
      </w:r>
      <w:r w:rsidR="00160ABF">
        <w:t>Prozessk</w:t>
      </w:r>
      <w:r w:rsidRPr="001946D1">
        <w:t xml:space="preserve">ette, da es bisher noch keine spezifischen Dokumentationen von Ausspeicherungen von CO₂ aus Salzkaverne gibt. Aufgrund des positiven Joule-Thomson-Koeffizienten kühlt der CO₂-Strom bei der Druckreduzierung stark ab, wodurch Vereisung und Hydratbildung möglich werden und eine aktive Vorwärmung erforderlich </w:t>
      </w:r>
      <w:r w:rsidR="00160ABF">
        <w:t>ist</w:t>
      </w:r>
      <w:r w:rsidRPr="001946D1">
        <w:t>. Hydratbildung und ihre Auswirkungen auf die Injektivität sind in der Literatur beschrieben, ebenso die grundsätzliche Notwendigkeit einer Temperierung.</w:t>
      </w:r>
    </w:p>
    <w:p w14:paraId="641C0E8A" w14:textId="4F65E252" w:rsidR="001B3B13" w:rsidRDefault="002C1A0D">
      <w:pPr>
        <w:spacing w:after="80" w:line="276" w:lineRule="auto"/>
      </w:pPr>
      <w:r w:rsidRPr="002C1A0D">
        <w:t>Quantitative Auslegungsdaten zur erforderlichen Vorwärmeleistung bei der Druckreduzierung während der Ausspeicherung aus einem CO</w:t>
      </w:r>
      <w:r w:rsidRPr="002C1A0D">
        <w:rPr>
          <w:rFonts w:ascii="Cambria Math" w:hAnsi="Cambria Math" w:cs="Cambria Math"/>
        </w:rPr>
        <w:t>₂</w:t>
      </w:r>
      <w:r w:rsidRPr="002C1A0D">
        <w:t>-Zwischenspeicher liegen bislang nicht vor.</w:t>
      </w:r>
      <w:r w:rsidR="00001960">
        <w:t xml:space="preserve"> E</w:t>
      </w:r>
      <w:r w:rsidR="001B3B13" w:rsidRPr="001B3B13">
        <w:t>benso wenig belastbare Angaben zum Zustandsverlauf entlang der Ausspeicherstrecke. Hinzu kommt der Phasenübergang mit der damit einhergehenden Volumenänderung, der zusätzliche Anforderungen an die Auslegung stellt. Dieser Teil der Prozesskette bildet den Schwerpunkt der eigenen Berechnungen.</w:t>
      </w:r>
    </w:p>
    <w:p w14:paraId="5BA9FEED" w14:textId="5F3A8C0F" w:rsidR="007B27E3" w:rsidRDefault="00A4441C">
      <w:pPr>
        <w:spacing w:after="80" w:line="276" w:lineRule="auto"/>
      </w:pPr>
      <w:r w:rsidRPr="001946D1">
        <w:rPr>
          <w:i/>
          <w:iCs/>
        </w:rPr>
        <w:t>Cluster T10 — Q-011, Q-012, Q-015, Q-028, Q-029, Q-035, Q-036, Q-050, Q-051, Q-058, Q-059</w:t>
      </w:r>
    </w:p>
    <w:p w14:paraId="28EB080A" w14:textId="77777777" w:rsidR="00C81963" w:rsidRPr="001946D1" w:rsidRDefault="00C81963" w:rsidP="00AC706A">
      <w:pPr>
        <w:spacing w:after="80" w:line="276" w:lineRule="auto"/>
      </w:pPr>
    </w:p>
    <w:p w14:paraId="71E9A0A3" w14:textId="77777777" w:rsidR="001946D1" w:rsidRDefault="001946D1" w:rsidP="00AC706A">
      <w:pPr>
        <w:pStyle w:val="berschrift2"/>
        <w:spacing w:line="276" w:lineRule="auto"/>
      </w:pPr>
      <w:r w:rsidRPr="001946D1">
        <w:t>3.8</w:t>
      </w:r>
      <w:r w:rsidRPr="001946D1">
        <w:tab/>
        <w:t>Werkstoffe und Korrosion</w:t>
      </w:r>
    </w:p>
    <w:p w14:paraId="2AC47F1C" w14:textId="757D6020" w:rsidR="001946D1" w:rsidRPr="001946D1" w:rsidRDefault="001946D1" w:rsidP="00AC706A">
      <w:pPr>
        <w:spacing w:after="80" w:line="276" w:lineRule="auto"/>
      </w:pPr>
      <w:r w:rsidRPr="001946D1">
        <w:t xml:space="preserve">Die </w:t>
      </w:r>
      <w:r w:rsidRPr="00532BA8">
        <w:rPr>
          <w:b/>
          <w:bCs/>
        </w:rPr>
        <w:t>Korrosionsmechanismen</w:t>
      </w:r>
      <w:r w:rsidRPr="001946D1">
        <w:t xml:space="preserve"> von Kohlenstoffdioxid in Anwesenheit von </w:t>
      </w:r>
      <w:r w:rsidRPr="00532BA8">
        <w:t>Wasser</w:t>
      </w:r>
      <w:r w:rsidRPr="001946D1">
        <w:t xml:space="preserve"> sind </w:t>
      </w:r>
      <w:r w:rsidR="001A4D7B">
        <w:t xml:space="preserve">in der Literatur </w:t>
      </w:r>
      <w:r w:rsidRPr="001946D1">
        <w:t xml:space="preserve">untersucht. Entscheidend ist nicht der Wassergehalt, sondern das </w:t>
      </w:r>
      <w:r w:rsidRPr="00532BA8">
        <w:rPr>
          <w:b/>
          <w:bCs/>
        </w:rPr>
        <w:t>Ausfallen</w:t>
      </w:r>
      <w:r w:rsidRPr="001946D1">
        <w:t xml:space="preserve"> einer freien Wasserphase an der Stahloberfläche</w:t>
      </w:r>
      <w:r w:rsidR="001A4D7B">
        <w:t xml:space="preserve"> der z.B. Rohrleitungen</w:t>
      </w:r>
      <w:r w:rsidR="00316AA0">
        <w:t>. Gelöst</w:t>
      </w:r>
      <w:r w:rsidRPr="001946D1">
        <w:t>es Wasser in dichter Phase wirkt</w:t>
      </w:r>
      <w:r w:rsidR="00316AA0">
        <w:t xml:space="preserve"> hingegen</w:t>
      </w:r>
      <w:r w:rsidRPr="001946D1">
        <w:t xml:space="preserve"> nicht korrosiv. </w:t>
      </w:r>
      <w:r w:rsidR="007C310C" w:rsidRPr="001946D1">
        <w:t xml:space="preserve">Da die </w:t>
      </w:r>
      <w:r w:rsidR="007C310C" w:rsidRPr="00532BA8">
        <w:rPr>
          <w:b/>
          <w:bCs/>
        </w:rPr>
        <w:t>Löslichkeitsgrenze</w:t>
      </w:r>
      <w:r w:rsidR="007C310C" w:rsidRPr="001946D1">
        <w:t xml:space="preserve"> am Phasenwechsel springt, </w:t>
      </w:r>
      <w:r w:rsidR="007C310C" w:rsidRPr="001946D1">
        <w:lastRenderedPageBreak/>
        <w:t xml:space="preserve">sind gerade Druck- und Temperaturänderungen </w:t>
      </w:r>
      <w:r w:rsidR="007042E6">
        <w:t xml:space="preserve">im Prozess </w:t>
      </w:r>
      <w:r w:rsidR="007C310C" w:rsidRPr="001946D1">
        <w:t>kritisch</w:t>
      </w:r>
      <w:r w:rsidR="007042E6">
        <w:t xml:space="preserve"> zu betrachten</w:t>
      </w:r>
      <w:r w:rsidR="007C310C" w:rsidRPr="001946D1">
        <w:t xml:space="preserve">. </w:t>
      </w:r>
      <w:r w:rsidR="007C310C" w:rsidRPr="007C310C">
        <w:t>Auf der Ausspeicherseite ist der Strom durch den Kontakt mit Sole jedoch gesättigt und führt freies Wasser mit, sodass dort von einer wasserführenden Strömung auszugehen ist.</w:t>
      </w:r>
      <w:r w:rsidR="007C310C">
        <w:t xml:space="preserve"> </w:t>
      </w:r>
      <w:r w:rsidR="00B57F0C" w:rsidRPr="00B57F0C">
        <w:t xml:space="preserve">Für </w:t>
      </w:r>
      <w:r w:rsidR="00B57F0C" w:rsidRPr="008F04E6">
        <w:rPr>
          <w:b/>
          <w:bCs/>
        </w:rPr>
        <w:t>Elastomerdichtungen</w:t>
      </w:r>
      <w:r w:rsidR="00B57F0C" w:rsidRPr="00B57F0C">
        <w:t xml:space="preserve"> ist zusätzlich die schnelle Gasdekompression relevant, die allerdings spontane Entspannungsvorgänge voraussetzt und im Kavernenbetrieb daher </w:t>
      </w:r>
      <w:r w:rsidR="008F04E6" w:rsidRPr="008F04E6">
        <w:t>nicht vorgesehen sind.</w:t>
      </w:r>
    </w:p>
    <w:p w14:paraId="4F4D0C3E" w14:textId="77777777" w:rsidR="001946D1" w:rsidRPr="001946D1" w:rsidRDefault="001946D1" w:rsidP="00AC706A">
      <w:pPr>
        <w:spacing w:after="80" w:line="276" w:lineRule="auto"/>
      </w:pPr>
      <w:r w:rsidRPr="0054028A">
        <w:rPr>
          <w:b/>
          <w:bCs/>
        </w:rPr>
        <w:t>Werkstoffempfehlungen</w:t>
      </w:r>
      <w:r w:rsidRPr="001946D1">
        <w:t xml:space="preserve"> für Transportsysteme sind dokumentiert und sehen Kohlenstoffstahl als Regelwerkstoff mit gezielter Aufwertung auf höherlegierte Werkstoffe an kritischen Stellen vor. Eine Übertragung auf die Obertageanlage eines Kavernenspeichers steht aus. Offen ist insbesondere die Eignung von Bestandskomponenten bestehender Erdgasstationen sowie der Nachweis der Tieftemperaturzähigkeit für die durch Drosselung beanspruchten Anlagenteile.</w:t>
      </w:r>
    </w:p>
    <w:p w14:paraId="681687EE" w14:textId="77777777" w:rsidR="007B27E3" w:rsidRDefault="00A4441C">
      <w:pPr>
        <w:spacing w:after="80" w:line="276" w:lineRule="auto"/>
      </w:pPr>
      <w:r w:rsidRPr="001946D1">
        <w:rPr>
          <w:i/>
          <w:iCs/>
        </w:rPr>
        <w:t>Cluster T06 — Q-003, Q-004, Q-029, Q-031, Q-039, Q-045, Q-071</w:t>
      </w:r>
      <w:r w:rsidR="00F41B93" w:rsidRPr="00F41B93">
        <w:rPr>
          <w:i/>
          <w:iCs/>
        </w:rPr>
        <w:t>, Q-074, Q-075</w:t>
      </w:r>
    </w:p>
    <w:p w14:paraId="1DC79990" w14:textId="77777777" w:rsidR="00A63CCC" w:rsidRPr="001946D1" w:rsidRDefault="00A63CCC" w:rsidP="00AC706A">
      <w:pPr>
        <w:spacing w:after="80" w:line="276" w:lineRule="auto"/>
      </w:pPr>
    </w:p>
    <w:p w14:paraId="57C0BFF6" w14:textId="77777777" w:rsidR="001946D1" w:rsidRDefault="001946D1" w:rsidP="00AC706A">
      <w:pPr>
        <w:pStyle w:val="berschrift2"/>
        <w:spacing w:line="276" w:lineRule="auto"/>
      </w:pPr>
      <w:r w:rsidRPr="001946D1">
        <w:t>3.9</w:t>
      </w:r>
      <w:r w:rsidRPr="001946D1">
        <w:tab/>
        <w:t>Messtechnik und Monitoring</w:t>
      </w:r>
    </w:p>
    <w:p w14:paraId="18912094" w14:textId="77777777" w:rsidR="001946D1" w:rsidRPr="001946D1" w:rsidRDefault="001946D1" w:rsidP="00AC706A">
      <w:pPr>
        <w:spacing w:after="80" w:line="276" w:lineRule="auto"/>
      </w:pPr>
      <w:r w:rsidRPr="001946D1">
        <w:t xml:space="preserve">Für die </w:t>
      </w:r>
      <w:r w:rsidRPr="0054028A">
        <w:rPr>
          <w:b/>
          <w:bCs/>
        </w:rPr>
        <w:t>Mengenmessung</w:t>
      </w:r>
      <w:r w:rsidRPr="001946D1">
        <w:t xml:space="preserve"> im CO</w:t>
      </w:r>
      <w:r w:rsidRPr="001946D1">
        <w:rPr>
          <w:rFonts w:ascii="Cambria Math" w:hAnsi="Cambria Math" w:cs="Cambria Math"/>
        </w:rPr>
        <w:t>₂</w:t>
      </w:r>
      <w:r w:rsidRPr="001946D1">
        <w:t xml:space="preserve">-Transport sind </w:t>
      </w:r>
      <w:r w:rsidRPr="0054028A">
        <w:rPr>
          <w:b/>
          <w:bCs/>
        </w:rPr>
        <w:t>Coriolis</w:t>
      </w:r>
      <w:r w:rsidRPr="001946D1">
        <w:t xml:space="preserve">- und </w:t>
      </w:r>
      <w:r w:rsidRPr="0054028A">
        <w:rPr>
          <w:b/>
          <w:bCs/>
        </w:rPr>
        <w:t>Ultraschallverfahren</w:t>
      </w:r>
      <w:r w:rsidRPr="001946D1">
        <w:t xml:space="preserve"> erprobt; Übersichtsarbeiten und Herstellerangaben liegen vor, ebenso Untersuchungen zur Messgenauigkeit in mehrkomponentigen Gemischen. Die </w:t>
      </w:r>
      <w:r w:rsidRPr="0054028A">
        <w:rPr>
          <w:b/>
          <w:bCs/>
        </w:rPr>
        <w:t>Abrechnung</w:t>
      </w:r>
      <w:r w:rsidRPr="001946D1">
        <w:t xml:space="preserve"> erfolgt </w:t>
      </w:r>
      <w:r w:rsidRPr="0054028A">
        <w:rPr>
          <w:b/>
          <w:bCs/>
        </w:rPr>
        <w:t>massenbezogen</w:t>
      </w:r>
      <w:r w:rsidRPr="001946D1">
        <w:t>. Bekannt ist, dass die Messunsicherheit in dichter Phase und bei schwankender Zusammensetzung deutlich höher liegt als im Erdgasbetrieb, was im Hinblick auf die emissionshandelsrechtliche Nachweispflicht relevant ist.</w:t>
      </w:r>
    </w:p>
    <w:p w14:paraId="129B89F0" w14:textId="77777777" w:rsidR="001946D1" w:rsidRPr="001946D1" w:rsidRDefault="001946D1" w:rsidP="00AC706A">
      <w:pPr>
        <w:spacing w:after="80" w:line="276" w:lineRule="auto"/>
      </w:pPr>
      <w:r w:rsidRPr="001946D1">
        <w:t>Für die Überwachung im Bohrloch stehen Druck- und Temperaturaufnehmer sowie faseroptische Verfahren zur verteilten Temperaturmessung zur Verfügung, die in CO</w:t>
      </w:r>
      <w:r w:rsidRPr="001946D1">
        <w:rPr>
          <w:rFonts w:ascii="Cambria Math" w:hAnsi="Cambria Math" w:cs="Cambria Math"/>
        </w:rPr>
        <w:t>₂</w:t>
      </w:r>
      <w:r w:rsidRPr="001946D1">
        <w:t>-Speicherprojekten bereits eingesetzt wurden. Welche Messgrößen im Kavernenbetrieb dauerhaft erfassbar sind, ist noch zu klären.</w:t>
      </w:r>
    </w:p>
    <w:p w14:paraId="20487911" w14:textId="77777777" w:rsidR="007B27E3" w:rsidRDefault="00A4441C">
      <w:pPr>
        <w:spacing w:after="80" w:line="276" w:lineRule="auto"/>
      </w:pPr>
      <w:r w:rsidRPr="001946D1">
        <w:rPr>
          <w:i/>
          <w:iCs/>
        </w:rPr>
        <w:t>Cluster T12 — Q-021, Q-022, Q-023, Q-025, Q-026, Q-027, Q-052, Q-053, Q-054, Q-055, Q-056, Q-057</w:t>
      </w:r>
      <w:r w:rsidR="00C9336C" w:rsidRPr="00C9336C">
        <w:rPr>
          <w:i/>
          <w:iCs/>
        </w:rPr>
        <w:t>, Q-077</w:t>
      </w:r>
    </w:p>
    <w:p w14:paraId="261111AC" w14:textId="77777777" w:rsidR="00A63CCC" w:rsidRPr="001946D1" w:rsidRDefault="00A63CCC" w:rsidP="00AC706A">
      <w:pPr>
        <w:spacing w:after="80" w:line="276" w:lineRule="auto"/>
      </w:pPr>
    </w:p>
    <w:p w14:paraId="5B81C7DE" w14:textId="77777777" w:rsidR="001946D1" w:rsidRDefault="001946D1" w:rsidP="00AC706A">
      <w:pPr>
        <w:pStyle w:val="berschrift2"/>
        <w:spacing w:line="276" w:lineRule="auto"/>
      </w:pPr>
      <w:r w:rsidRPr="001946D1">
        <w:t>3.10</w:t>
      </w:r>
      <w:r w:rsidRPr="001946D1">
        <w:tab/>
        <w:t>Sicherheit und Risikobewertung</w:t>
      </w:r>
    </w:p>
    <w:p w14:paraId="1CDD8969" w14:textId="692C7193" w:rsidR="001946D1" w:rsidRPr="001946D1" w:rsidRDefault="001946D1" w:rsidP="00AC706A">
      <w:pPr>
        <w:spacing w:after="80" w:line="276" w:lineRule="auto"/>
      </w:pPr>
      <w:r w:rsidRPr="001946D1">
        <w:t xml:space="preserve">Das </w:t>
      </w:r>
      <w:r w:rsidRPr="0054028A">
        <w:rPr>
          <w:b/>
          <w:bCs/>
        </w:rPr>
        <w:t>Gefährdungsbild</w:t>
      </w:r>
      <w:r w:rsidRPr="001946D1">
        <w:t xml:space="preserve"> von Kohlenstoffdioxid unterscheidet sich grundlegend von dem des Erdgases. </w:t>
      </w:r>
      <w:r w:rsidR="0054028A" w:rsidRPr="001946D1">
        <w:t>CO</w:t>
      </w:r>
      <w:r w:rsidR="0054028A" w:rsidRPr="001946D1">
        <w:rPr>
          <w:rFonts w:ascii="Cambria Math" w:hAnsi="Cambria Math" w:cs="Cambria Math"/>
        </w:rPr>
        <w:t>₂</w:t>
      </w:r>
      <w:r w:rsidR="0054028A">
        <w:rPr>
          <w:rFonts w:ascii="Cambria Math" w:hAnsi="Cambria Math" w:cs="Cambria Math"/>
        </w:rPr>
        <w:t xml:space="preserve"> </w:t>
      </w:r>
      <w:r w:rsidRPr="001946D1">
        <w:t xml:space="preserve">ist nicht brennbar, wirkt jedoch als </w:t>
      </w:r>
      <w:r w:rsidRPr="0054028A">
        <w:rPr>
          <w:b/>
          <w:bCs/>
        </w:rPr>
        <w:t>Stickgas</w:t>
      </w:r>
      <w:r w:rsidRPr="001946D1">
        <w:t xml:space="preserve"> und ist schwerer als Luft, sodass es sich in Senken sammelt. Bei einer Freisetzung aus dichter Phase erfolgt die Entspannung zweiphasig unter Bildung sehr tiefer Temperaturen bis hin zu </w:t>
      </w:r>
      <w:r w:rsidRPr="0054028A">
        <w:rPr>
          <w:b/>
          <w:bCs/>
        </w:rPr>
        <w:t>Trockeneis</w:t>
      </w:r>
      <w:r w:rsidRPr="001946D1">
        <w:t>. Methodische Ansätze zur Berechnung von Zweiphasen-Ausströmvorgängen stehen zur Verfügung.</w:t>
      </w:r>
    </w:p>
    <w:p w14:paraId="79ED3AFC" w14:textId="1D26D28B" w:rsidR="001946D1" w:rsidRPr="001946D1" w:rsidRDefault="001946D1" w:rsidP="00AC706A">
      <w:pPr>
        <w:spacing w:after="80" w:line="276" w:lineRule="auto"/>
      </w:pPr>
      <w:r w:rsidRPr="001946D1">
        <w:t>Eine Gefährdungsbeurteilung für den Betrieb eines CO</w:t>
      </w:r>
      <w:r w:rsidRPr="001946D1">
        <w:rPr>
          <w:rFonts w:ascii="Cambria Math" w:hAnsi="Cambria Math" w:cs="Cambria Math"/>
        </w:rPr>
        <w:t>₂</w:t>
      </w:r>
      <w:r w:rsidRPr="001946D1">
        <w:t>-Kavernenspeichers liegt nicht vor. Im Quellenbestand fehlen zudem die einschlägigen sicherheitsrechtlichen Grundlagen sowie Verfahren zur Ausbreitungsrechnung schwerer Gase</w:t>
      </w:r>
      <w:r w:rsidR="000D47EC">
        <w:t>. D</w:t>
      </w:r>
      <w:r w:rsidRPr="001946D1">
        <w:t>iese sind im Verlauf der Arbeit zu ergänzen.</w:t>
      </w:r>
    </w:p>
    <w:p w14:paraId="7707D28B" w14:textId="77777777" w:rsidR="007B27E3" w:rsidRDefault="00A4441C">
      <w:pPr>
        <w:spacing w:after="80" w:line="276" w:lineRule="auto"/>
      </w:pPr>
      <w:r w:rsidRPr="001946D1">
        <w:rPr>
          <w:i/>
          <w:iCs/>
        </w:rPr>
        <w:t>Cluster T13 — Q-015, Q-028, Q-043, Q-044, Q-058, Q-059, Q-062, Q-064, Q-065</w:t>
      </w:r>
    </w:p>
    <w:p w14:paraId="275009FB" w14:textId="77777777" w:rsidR="00C81963" w:rsidRPr="001946D1" w:rsidRDefault="00C81963" w:rsidP="00AC706A">
      <w:pPr>
        <w:spacing w:after="80" w:line="276" w:lineRule="auto"/>
      </w:pPr>
    </w:p>
    <w:p w14:paraId="648C84A8" w14:textId="1F1F32FA" w:rsidR="00A63CCC" w:rsidRPr="001946D1" w:rsidRDefault="001946D1" w:rsidP="00C81963">
      <w:pPr>
        <w:pStyle w:val="berschrift2"/>
        <w:spacing w:line="276" w:lineRule="auto"/>
      </w:pPr>
      <w:r w:rsidRPr="001946D1">
        <w:t>3.11</w:t>
      </w:r>
      <w:r w:rsidRPr="001946D1">
        <w:tab/>
        <w:t>Wirtschaftliche Einordnung</w:t>
      </w:r>
    </w:p>
    <w:p w14:paraId="7451FBCF" w14:textId="2004461A" w:rsidR="001946D1" w:rsidRPr="001946D1" w:rsidRDefault="001946D1" w:rsidP="00AC706A">
      <w:pPr>
        <w:spacing w:after="80" w:line="276" w:lineRule="auto"/>
      </w:pPr>
      <w:r w:rsidRPr="0054028A">
        <w:rPr>
          <w:b/>
          <w:bCs/>
        </w:rPr>
        <w:t>Kostenkennwerte</w:t>
      </w:r>
      <w:r w:rsidRPr="001946D1">
        <w:t xml:space="preserve"> für CO</w:t>
      </w:r>
      <w:r w:rsidRPr="001946D1">
        <w:rPr>
          <w:rFonts w:ascii="Cambria Math" w:hAnsi="Cambria Math" w:cs="Cambria Math"/>
        </w:rPr>
        <w:t>₂</w:t>
      </w:r>
      <w:r w:rsidRPr="001946D1">
        <w:t>-Transport und -Speicherung liegen aus älteren Übersichtsarbeiten sowie aus projektbezogenen Kosten</w:t>
      </w:r>
      <w:r w:rsidRPr="001946D1">
        <w:softHyphen/>
        <w:t xml:space="preserve">schätzungen vor. Die untertägige Zwischenspeicherung gilt gegenüber zylindrischen </w:t>
      </w:r>
      <w:r w:rsidR="000D47EC">
        <w:t>Obertage</w:t>
      </w:r>
      <w:r w:rsidR="00B01E74">
        <w:t>speicher</w:t>
      </w:r>
      <w:r w:rsidRPr="001946D1">
        <w:t xml:space="preserve"> bei großen Volumina als kostengünstiger. Eine </w:t>
      </w:r>
      <w:r w:rsidRPr="001946D1">
        <w:lastRenderedPageBreak/>
        <w:t>belastbare Gegenüberstellung der Investitions- und Betriebskosten für einen CO</w:t>
      </w:r>
      <w:r w:rsidRPr="001946D1">
        <w:rPr>
          <w:rFonts w:ascii="Cambria Math" w:hAnsi="Cambria Math" w:cs="Cambria Math"/>
        </w:rPr>
        <w:t>₂</w:t>
      </w:r>
      <w:r w:rsidRPr="001946D1">
        <w:t xml:space="preserve">-Kavernenspeicher gegenüber einer </w:t>
      </w:r>
      <w:r w:rsidR="00B01E74">
        <w:t>obertägigen</w:t>
      </w:r>
      <w:r w:rsidRPr="001946D1">
        <w:t xml:space="preserve"> Tanklösung fehlt. Im Rahmen dieser Arbeit erfolgt lediglich eine qualitative Einordnung auf Basis vorliegender Kennwerte.</w:t>
      </w:r>
    </w:p>
    <w:p w14:paraId="0EBE1529" w14:textId="77777777" w:rsidR="007B27E3" w:rsidRDefault="00A4441C">
      <w:pPr>
        <w:spacing w:after="80" w:line="276" w:lineRule="auto"/>
      </w:pPr>
      <w:r w:rsidRPr="001946D1">
        <w:rPr>
          <w:i/>
          <w:iCs/>
        </w:rPr>
        <w:t>Cluster T14 — Q-018, Q-020, Q-029, Q-032, Q-034, Q-060, Q-063, Q-066</w:t>
      </w:r>
      <w:r w:rsidR="00E403CB" w:rsidRPr="00E403CB">
        <w:rPr>
          <w:i/>
          <w:iCs/>
        </w:rPr>
        <w:t>, Q-074</w:t>
      </w:r>
    </w:p>
    <w:p w14:paraId="4A47FC0F" w14:textId="469DB95E" w:rsidR="00A63CCC" w:rsidRDefault="00A63CCC" w:rsidP="00AC706A">
      <w:pPr>
        <w:spacing w:line="276" w:lineRule="auto"/>
        <w:jc w:val="left"/>
        <w:rPr>
          <w:i/>
          <w:iCs/>
        </w:rPr>
      </w:pPr>
      <w:r>
        <w:rPr>
          <w:i/>
          <w:iCs/>
        </w:rPr>
        <w:br w:type="page"/>
      </w:r>
    </w:p>
    <w:p w14:paraId="278F1F5E" w14:textId="77777777" w:rsidR="00552D94" w:rsidRDefault="00F56203" w:rsidP="00AC706A">
      <w:pPr>
        <w:pStyle w:val="berschrift2"/>
        <w:spacing w:before="220" w:after="100" w:line="276" w:lineRule="auto"/>
      </w:pPr>
      <w:r>
        <w:rPr>
          <w:b/>
          <w:bCs/>
          <w:sz w:val="22"/>
          <w:szCs w:val="22"/>
        </w:rPr>
        <w:lastRenderedPageBreak/>
        <w:t>3.12</w:t>
      </w:r>
      <w:r>
        <w:rPr>
          <w:b/>
          <w:bCs/>
          <w:sz w:val="22"/>
          <w:szCs w:val="22"/>
        </w:rPr>
        <w:tab/>
        <w:t>Zentrale Begriffe</w:t>
      </w:r>
    </w:p>
    <w:p w14:paraId="278F1F5F" w14:textId="77777777" w:rsidR="00552D94" w:rsidRDefault="00F56203" w:rsidP="00AC706A">
      <w:pPr>
        <w:spacing w:after="100" w:line="276" w:lineRule="auto"/>
      </w:pPr>
      <w:r>
        <w:rPr>
          <w:b/>
          <w:bCs/>
        </w:rPr>
        <w:t xml:space="preserve">Dichte bzw. überkritische Phase – </w:t>
      </w:r>
      <w:r w:rsidRPr="00054E50">
        <w:t>Oberhalb des kritischen Punktes (ca. 31,0 °C / 73,8 bar; Q-001) liegt CO₂ überkritisch vor. Als dichte Phase wird ein flüssigkeitsähnlich dichter Zustand ohne ausgeprägte Phasengrenze bezeichnet, der für Transport und Speicherung angestrebt wird.</w:t>
      </w:r>
    </w:p>
    <w:p w14:paraId="278F1F60" w14:textId="77777777" w:rsidR="00552D94" w:rsidRDefault="00F56203" w:rsidP="00AC706A">
      <w:pPr>
        <w:spacing w:after="100" w:line="276" w:lineRule="auto"/>
      </w:pPr>
      <w:r>
        <w:rPr>
          <w:b/>
          <w:bCs/>
        </w:rPr>
        <w:t xml:space="preserve">Joule-Thomson-Effekt – </w:t>
      </w:r>
      <w:r w:rsidRPr="00054E50">
        <w:t>Temperaturänderung eines realen Gases bei isenthalper Drosselung. CO₂ besitzt einen positiven Joule-Thomson-Koeffizienten und kühlt beim Entspannen ab. Dies ist für die Druckreduzierung sowie das Vereisungs- und Hydratrisiko bei der Ausspeicherung maßgeblich (Q-010, Q-015).</w:t>
      </w:r>
    </w:p>
    <w:p w14:paraId="722FAEE1" w14:textId="77777777" w:rsidR="00E47A7E" w:rsidRDefault="00E47A7E" w:rsidP="00AC706A">
      <w:pPr>
        <w:spacing w:after="140" w:line="276" w:lineRule="auto"/>
      </w:pPr>
      <w:r>
        <w:rPr>
          <w:b/>
          <w:bCs/>
        </w:rPr>
        <w:t xml:space="preserve">Zwischenspeicherung — </w:t>
      </w:r>
      <w:r>
        <w:t>Temporäre Speicherung zur betrieblichen Entkopplung von Quellen, Transportinfrastruktur und Senken. Abzugrenzen von der dauerhaften geologischen Speicherung, die auf die endgültige Abtrennung vom atmosphärischen Kreislauf zielt (Q-002).</w:t>
      </w:r>
    </w:p>
    <w:p w14:paraId="14C0A4C1" w14:textId="77777777" w:rsidR="00E47A7E" w:rsidRDefault="00E47A7E" w:rsidP="00AC706A">
      <w:pPr>
        <w:spacing w:after="140" w:line="276" w:lineRule="auto"/>
      </w:pPr>
      <w:r>
        <w:rPr>
          <w:b/>
          <w:bCs/>
        </w:rPr>
        <w:t xml:space="preserve">Kissengas und Arbeitsgas — </w:t>
      </w:r>
      <w:r>
        <w:t>Das Kissengas verbleibt zur Aufrechterhaltung des Mindestdrucks dauerhaft im Speicher, das Arbeitsgas ist der nutzbare Anteil. Bei CO</w:t>
      </w:r>
      <w:r>
        <w:rPr>
          <w:rFonts w:ascii="Cambria Math" w:hAnsi="Cambria Math" w:cs="Cambria Math"/>
        </w:rPr>
        <w:t>₂</w:t>
      </w:r>
      <w:r>
        <w:t xml:space="preserve"> liegt der Kissengasanteil mit etwa 68 bis 78 Prozent deutlich über dem von Erdgas mit etwa 41 bis 43 Prozent (Q-028).</w:t>
      </w:r>
    </w:p>
    <w:p w14:paraId="3D7D2C06" w14:textId="1E4C18FB" w:rsidR="00E47A7E" w:rsidRDefault="00E47A7E" w:rsidP="00AC706A">
      <w:pPr>
        <w:spacing w:after="140" w:line="276" w:lineRule="auto"/>
      </w:pPr>
      <w:r>
        <w:rPr>
          <w:b/>
          <w:bCs/>
        </w:rPr>
        <w:t xml:space="preserve">Obertageanlage — </w:t>
      </w:r>
      <w:r>
        <w:t xml:space="preserve">Gesamtheit der </w:t>
      </w:r>
      <w:r w:rsidR="00C66841">
        <w:t>obertägigen</w:t>
      </w:r>
      <w:r>
        <w:t xml:space="preserve"> verfahrenstechnischen Einrichtungen zwischen Netzanbindung und Kavernenkopf, die den CO</w:t>
      </w:r>
      <w:r>
        <w:rPr>
          <w:rFonts w:ascii="Cambria Math" w:hAnsi="Cambria Math" w:cs="Cambria Math"/>
        </w:rPr>
        <w:t>₂</w:t>
      </w:r>
      <w:r>
        <w:t>-Strom für die Ein- und Ausspeicherung konditioniert. Bildet die Systemgrenze dieser Arbeit.</w:t>
      </w:r>
    </w:p>
    <w:p w14:paraId="23482790" w14:textId="22228740" w:rsidR="008E28F6" w:rsidRDefault="008E28F6" w:rsidP="00AC706A">
      <w:pPr>
        <w:spacing w:line="276" w:lineRule="auto"/>
        <w:jc w:val="left"/>
      </w:pPr>
      <w:r>
        <w:br w:type="page"/>
      </w:r>
    </w:p>
    <w:p w14:paraId="278F1F66" w14:textId="77777777" w:rsidR="00552D94" w:rsidRPr="00B36C6C" w:rsidRDefault="00F56203" w:rsidP="00AC706A">
      <w:pPr>
        <w:pStyle w:val="berschrift1"/>
        <w:tabs>
          <w:tab w:val="left" w:pos="420"/>
        </w:tabs>
        <w:spacing w:before="320" w:after="160" w:line="276" w:lineRule="auto"/>
        <w:rPr>
          <w:b/>
          <w:bCs/>
          <w:color w:val="000000"/>
          <w:sz w:val="28"/>
          <w:szCs w:val="28"/>
        </w:rPr>
      </w:pPr>
      <w:r w:rsidRPr="00B36C6C">
        <w:rPr>
          <w:b/>
          <w:bCs/>
          <w:color w:val="000000"/>
          <w:sz w:val="28"/>
          <w:szCs w:val="28"/>
        </w:rPr>
        <w:lastRenderedPageBreak/>
        <w:t>4</w:t>
      </w:r>
      <w:r w:rsidRPr="00B36C6C">
        <w:rPr>
          <w:b/>
          <w:bCs/>
          <w:color w:val="000000"/>
          <w:sz w:val="28"/>
          <w:szCs w:val="28"/>
        </w:rPr>
        <w:tab/>
        <w:t>Eigene Vorgehensweise / Methoden</w:t>
      </w:r>
    </w:p>
    <w:p w14:paraId="1396B666" w14:textId="0F9D2352" w:rsidR="00970986" w:rsidRDefault="004F1889" w:rsidP="00AC706A">
      <w:pPr>
        <w:spacing w:line="276" w:lineRule="auto"/>
      </w:pPr>
      <w:r w:rsidRPr="004F1889">
        <w:t xml:space="preserve">Die Bearbeitung erfolgt entlang der Prozesskette der Ein- und Ausspeicherung. Methodisch verbindet die Arbeit eine strukturierte Literatur- und Regelwerksrecherche mit eigenen thermodynamischen Berechnungen sowie einer Abstimmung technischer Randbedingungen mit </w:t>
      </w:r>
      <w:r w:rsidR="00C66841">
        <w:t>Fernleitungsn</w:t>
      </w:r>
      <w:r w:rsidRPr="004F1889">
        <w:t>etzbetreiber</w:t>
      </w:r>
      <w:r w:rsidR="00C66841">
        <w:t>n</w:t>
      </w:r>
      <w:r w:rsidRPr="004F1889">
        <w:t xml:space="preserve"> und Komponentenherstellern. Die Arbeitsschritte bauen aufeinander auf: Jeder Schritt liefert die Eingangsgrößen des folgenden.</w:t>
      </w:r>
    </w:p>
    <w:p w14:paraId="7DF846D8" w14:textId="77777777" w:rsidR="004F1889" w:rsidRDefault="004F1889" w:rsidP="00AC706A">
      <w:pPr>
        <w:spacing w:line="276" w:lineRule="auto"/>
      </w:pPr>
    </w:p>
    <w:p w14:paraId="35C3A13F" w14:textId="10657DCB" w:rsidR="0054028A" w:rsidRPr="00C81963" w:rsidRDefault="00970986" w:rsidP="00C81963">
      <w:pPr>
        <w:pStyle w:val="berschrift2"/>
      </w:pPr>
      <w:r w:rsidRPr="00C81963">
        <w:rPr>
          <w:rStyle w:val="Fett"/>
        </w:rPr>
        <w:t>4.1</w:t>
      </w:r>
      <w:r w:rsidRPr="00C81963">
        <w:rPr>
          <w:rStyle w:val="Fett"/>
        </w:rPr>
        <w:tab/>
        <w:t>Literaturrecherche und Strukturierung</w:t>
      </w:r>
    </w:p>
    <w:p w14:paraId="2E819CE4" w14:textId="35CCEC4D" w:rsidR="005D708B" w:rsidRDefault="00B7199A" w:rsidP="00AC706A">
      <w:pPr>
        <w:spacing w:line="276" w:lineRule="auto"/>
      </w:pPr>
      <w:r w:rsidRPr="00B7199A">
        <w:t>Fortführung und Pflege der bestehenden</w:t>
      </w:r>
      <w:r>
        <w:t xml:space="preserve"> </w:t>
      </w:r>
      <w:r w:rsidR="005D708B" w:rsidRPr="005D708B">
        <w:t>Quellen- und Wissensmatrix</w:t>
      </w:r>
      <w:r w:rsidR="00046A23">
        <w:t xml:space="preserve"> in Excel</w:t>
      </w:r>
      <w:r w:rsidR="005D708B" w:rsidRPr="005D708B">
        <w:t xml:space="preserve">, in der die Quellen nach Themenclustern geordnet und hinsichtlich Relevanz und Belastbarkeit bewertet werden. </w:t>
      </w:r>
      <w:r>
        <w:br/>
      </w:r>
      <w:r w:rsidR="005D708B" w:rsidRPr="005D708B">
        <w:t xml:space="preserve">Einbezogen werden Normen und Regelwerke, wissenschaftliche Publikationen, Forschungs- und Projektberichte sowie Herstellerunterlagen. Ergänzt wird die Recherche durch Anfragen an </w:t>
      </w:r>
      <w:r w:rsidR="00C66841">
        <w:t>Fernleitungsn</w:t>
      </w:r>
      <w:r w:rsidR="00C66841" w:rsidRPr="004F1889">
        <w:t>etzbetreiber</w:t>
      </w:r>
      <w:r w:rsidR="00C66841">
        <w:t xml:space="preserve"> </w:t>
      </w:r>
      <w:r w:rsidR="005D708B" w:rsidRPr="005D708B">
        <w:t xml:space="preserve">und Komponentenhersteller, um Randbedingungen zu </w:t>
      </w:r>
      <w:r w:rsidR="00C66841">
        <w:t>definieren</w:t>
      </w:r>
      <w:r w:rsidR="005D708B" w:rsidRPr="005D708B">
        <w:t>, die nicht öffentlich dokumentiert sind.</w:t>
      </w:r>
    </w:p>
    <w:p w14:paraId="2DCF7521" w14:textId="77777777" w:rsidR="009A586E" w:rsidRDefault="009A586E" w:rsidP="00AC706A">
      <w:pPr>
        <w:spacing w:line="276" w:lineRule="auto"/>
      </w:pPr>
    </w:p>
    <w:p w14:paraId="581FBE60" w14:textId="0F923C09" w:rsidR="00970986" w:rsidRDefault="00970986" w:rsidP="00AC706A">
      <w:pPr>
        <w:spacing w:line="276" w:lineRule="auto"/>
        <w:rPr>
          <w:rStyle w:val="Hervorhebung"/>
        </w:rPr>
      </w:pPr>
      <w:r>
        <w:rPr>
          <w:rStyle w:val="Hervorhebung"/>
        </w:rPr>
        <w:t>Ergebnis: Stand der Technik je Themenfeld und Eingrenzung der Forschungslücke</w:t>
      </w:r>
      <w:r w:rsidR="00B7199A">
        <w:rPr>
          <w:rStyle w:val="Hervorhebung"/>
        </w:rPr>
        <w:t>n</w:t>
      </w:r>
      <w:r>
        <w:rPr>
          <w:rStyle w:val="Hervorhebung"/>
        </w:rPr>
        <w:t>.</w:t>
      </w:r>
    </w:p>
    <w:p w14:paraId="44AD7F80" w14:textId="77777777" w:rsidR="00970986" w:rsidRPr="00970986" w:rsidRDefault="00970986" w:rsidP="00AC706A">
      <w:pPr>
        <w:spacing w:line="276" w:lineRule="auto"/>
        <w:rPr>
          <w:i/>
          <w:iCs/>
        </w:rPr>
      </w:pPr>
    </w:p>
    <w:p w14:paraId="694863B3" w14:textId="56FD58C4" w:rsidR="00970986" w:rsidRPr="00C81963" w:rsidRDefault="00970986" w:rsidP="00C81963">
      <w:pPr>
        <w:pStyle w:val="berschrift2"/>
      </w:pPr>
      <w:r w:rsidRPr="00C81963">
        <w:rPr>
          <w:rStyle w:val="Fett"/>
        </w:rPr>
        <w:t>4.2</w:t>
      </w:r>
      <w:r w:rsidRPr="00C81963">
        <w:rPr>
          <w:rStyle w:val="Fett"/>
        </w:rPr>
        <w:tab/>
        <w:t>Systemabgrenzung, Randbedingungen und Szenarienbildung</w:t>
      </w:r>
    </w:p>
    <w:p w14:paraId="70E1B8C3" w14:textId="2E42C15D" w:rsidR="00FA4DA5" w:rsidRDefault="00FA4DA5" w:rsidP="00AC706A">
      <w:pPr>
        <w:spacing w:line="276" w:lineRule="auto"/>
      </w:pPr>
      <w:r w:rsidRPr="00FA4DA5">
        <w:t>Festlegung der Bilanzgrenze sowie der prozesstechnischen Ein- und Austrittszustände. Da der Anlieferzustand die erforderliche Anlagentechnik bestimmt, werden mehrere Anlieferszenarien definiert und je Szenario als Grundfließschema nach DIN EN ISO 10628-1 abgebildet. Die Szenarien legen fest, welche Prozessschritte im Weiteren zu betrachten sind.</w:t>
      </w:r>
    </w:p>
    <w:p w14:paraId="1DEAD730" w14:textId="77777777" w:rsidR="009A586E" w:rsidRDefault="009A586E" w:rsidP="00AC706A">
      <w:pPr>
        <w:spacing w:line="276" w:lineRule="auto"/>
      </w:pPr>
    </w:p>
    <w:p w14:paraId="4BDD76C0" w14:textId="77777777" w:rsidR="002D2DB6" w:rsidRPr="002D2DB6" w:rsidRDefault="00970986" w:rsidP="002D2DB6">
      <w:pPr>
        <w:spacing w:line="276" w:lineRule="auto"/>
        <w:rPr>
          <w:i/>
          <w:iCs/>
        </w:rPr>
      </w:pPr>
      <w:r>
        <w:rPr>
          <w:rStyle w:val="Hervorhebung"/>
        </w:rPr>
        <w:t xml:space="preserve">Ergebnis: </w:t>
      </w:r>
      <w:r w:rsidR="002D2DB6" w:rsidRPr="002D2DB6">
        <w:rPr>
          <w:i/>
          <w:iCs/>
        </w:rPr>
        <w:t>definierte Zustandspunkte im Grundfließschema.</w:t>
      </w:r>
    </w:p>
    <w:p w14:paraId="07D5A9E7" w14:textId="77777777" w:rsidR="00460863" w:rsidRPr="00C81963" w:rsidRDefault="00460863" w:rsidP="00AC706A">
      <w:pPr>
        <w:spacing w:line="276" w:lineRule="auto"/>
        <w:rPr>
          <w:rStyle w:val="Fett"/>
        </w:rPr>
      </w:pPr>
    </w:p>
    <w:p w14:paraId="11DA99CD" w14:textId="61DFD5E5" w:rsidR="00970986" w:rsidRPr="00C81963" w:rsidRDefault="00970986" w:rsidP="00C81963">
      <w:pPr>
        <w:pStyle w:val="berschrift2"/>
        <w:rPr>
          <w:rStyle w:val="Fett"/>
        </w:rPr>
      </w:pPr>
      <w:r w:rsidRPr="00C81963">
        <w:rPr>
          <w:rStyle w:val="Fett"/>
        </w:rPr>
        <w:t>4.3</w:t>
      </w:r>
      <w:r w:rsidRPr="00C81963">
        <w:rPr>
          <w:rStyle w:val="Fett"/>
        </w:rPr>
        <w:tab/>
        <w:t xml:space="preserve">Zustandsberechnung </w:t>
      </w:r>
      <w:r w:rsidR="00D269A6">
        <w:rPr>
          <w:rStyle w:val="Fett"/>
        </w:rPr>
        <w:t>der</w:t>
      </w:r>
      <w:r w:rsidRPr="00C81963">
        <w:rPr>
          <w:rStyle w:val="Fett"/>
        </w:rPr>
        <w:t xml:space="preserve"> Prozessschritte von CO₂</w:t>
      </w:r>
    </w:p>
    <w:p w14:paraId="1A102ADF" w14:textId="5F313D74" w:rsidR="000934A2" w:rsidRDefault="009A586E" w:rsidP="00AC706A">
      <w:pPr>
        <w:spacing w:line="276" w:lineRule="auto"/>
      </w:pPr>
      <w:r w:rsidRPr="009A586E">
        <w:t xml:space="preserve">Für jeden Prozessschritt werden die Zustandsgrößen Druck, Temperatur, Phase, Dichte, Enthalpie und Joule-Thomson-Koeffizient berechnet. </w:t>
      </w:r>
      <w:r w:rsidR="000934A2" w:rsidRPr="000934A2">
        <w:t xml:space="preserve">Die Stoffwerte werden </w:t>
      </w:r>
      <w:r w:rsidR="000274D8">
        <w:t xml:space="preserve">bisher </w:t>
      </w:r>
      <w:r w:rsidR="000934A2" w:rsidRPr="000934A2">
        <w:t>mit der Open-Source-Bibliothek CoolProp ermittelt, die für CO</w:t>
      </w:r>
      <w:r w:rsidR="000934A2" w:rsidRPr="000934A2">
        <w:rPr>
          <w:rFonts w:ascii="Cambria Math" w:hAnsi="Cambria Math" w:cs="Cambria Math"/>
        </w:rPr>
        <w:t>₂</w:t>
      </w:r>
      <w:r w:rsidR="000934A2" w:rsidRPr="000934A2">
        <w:t xml:space="preserve"> die Referenzzustandsgleichung nach Span und Wagner (1996) </w:t>
      </w:r>
      <w:r w:rsidR="00DC3E51">
        <w:t>beinhaltet</w:t>
      </w:r>
      <w:r w:rsidR="000934A2" w:rsidRPr="000934A2">
        <w:t>. Der Zugriff erfolgt über Pytho</w:t>
      </w:r>
      <w:r w:rsidR="00E774E9">
        <w:t>n</w:t>
      </w:r>
      <w:r w:rsidR="00207146">
        <w:t>. D</w:t>
      </w:r>
      <w:r w:rsidR="000934A2" w:rsidRPr="000934A2">
        <w:t xml:space="preserve">ie Gleichung ist identisch </w:t>
      </w:r>
      <w:r w:rsidR="00207146">
        <w:t xml:space="preserve">zu </w:t>
      </w:r>
      <w:r w:rsidR="000934A2" w:rsidRPr="000934A2">
        <w:t>der in NIST REFPROP hinterlegten</w:t>
      </w:r>
      <w:r w:rsidR="00DC3E51">
        <w:t xml:space="preserve"> Gleichungen.</w:t>
      </w:r>
    </w:p>
    <w:p w14:paraId="70B17CBE" w14:textId="77777777" w:rsidR="005674BA" w:rsidRDefault="005674BA" w:rsidP="00AC706A">
      <w:pPr>
        <w:spacing w:line="276" w:lineRule="auto"/>
      </w:pPr>
    </w:p>
    <w:p w14:paraId="1FFA810A" w14:textId="77777777" w:rsidR="000274D8" w:rsidRDefault="005674BA" w:rsidP="000274D8">
      <w:pPr>
        <w:spacing w:line="276" w:lineRule="auto"/>
      </w:pPr>
      <w:r w:rsidRPr="005674BA">
        <w:t>Je Prozessschritt wird die zugehörige Zustandsänderung als eigene Berechnungsfunktion modelliert, etwa die isentrope Verdichtung mit Wirkungsgrad für Pumpe und Verdichter, die isenthalpe Drosselung, die Enthalpiebilanz für Wärmeübertrager oder die schrittweise Integration der hydrostatischen Grundgleichung für die Gassäule im Bohrloch. Die Komponenten werden anschließend in der Reihenfolge des Grundfließschemas verkettet.</w:t>
      </w:r>
      <w:r w:rsidR="000274D8">
        <w:t xml:space="preserve"> </w:t>
      </w:r>
      <w:r w:rsidR="000274D8" w:rsidRPr="009C43F3">
        <w:t>Ergänzende Auswertungen erfolgen in Excel. Die Zustandsverläufe werden zusätzlich im p-T-Diagramm dargestellt, um das Verhalten des CO</w:t>
      </w:r>
      <w:r w:rsidR="000274D8" w:rsidRPr="009C43F3">
        <w:rPr>
          <w:rFonts w:ascii="Cambria Math" w:hAnsi="Cambria Math" w:cs="Cambria Math"/>
        </w:rPr>
        <w:t>₂</w:t>
      </w:r>
      <w:r w:rsidR="000274D8" w:rsidRPr="009C43F3">
        <w:t>-Stroms entlang der Prozesskette nachvollziehbar zu machen.</w:t>
      </w:r>
    </w:p>
    <w:p w14:paraId="62514377" w14:textId="77777777" w:rsidR="00720E6C" w:rsidRDefault="00720E6C" w:rsidP="00AC706A">
      <w:pPr>
        <w:spacing w:line="276" w:lineRule="auto"/>
      </w:pPr>
    </w:p>
    <w:p w14:paraId="5C801989" w14:textId="4E73CEAE" w:rsidR="00970986" w:rsidRDefault="00D9316E" w:rsidP="00AC706A">
      <w:pPr>
        <w:spacing w:line="276" w:lineRule="auto"/>
      </w:pPr>
      <w:r w:rsidRPr="00D9316E">
        <w:t>Für diesen ersten Berechnungsansatz ist anzumerken, dass die Zustandsgleichung nach Span und Wagner für reines CO</w:t>
      </w:r>
      <w:r w:rsidRPr="00D9316E">
        <w:rPr>
          <w:rFonts w:ascii="Cambria Math" w:hAnsi="Cambria Math" w:cs="Cambria Math"/>
        </w:rPr>
        <w:t>₂</w:t>
      </w:r>
      <w:r w:rsidRPr="00D9316E">
        <w:t xml:space="preserve"> gilt</w:t>
      </w:r>
      <w:r>
        <w:t>. D</w:t>
      </w:r>
      <w:r w:rsidR="00657623" w:rsidRPr="00657623">
        <w:t xml:space="preserve">ie Berechnungen setzen daher einen Reinstoff als Basisfall voraus. </w:t>
      </w:r>
      <w:r w:rsidR="00171275" w:rsidRPr="00171275">
        <w:t>Für Mehrkomponentengemische sind eigene Mischungs-Zustandsgleichungen wie GERG-2008 oder EOS-CG erforderlich, die in CoolProp nicht hinterlegt sind</w:t>
      </w:r>
      <w:r w:rsidR="00657623" w:rsidRPr="00657623">
        <w:t xml:space="preserve">. Bei verfügbarer Lizenz </w:t>
      </w:r>
      <w:r w:rsidR="00573DB9">
        <w:t>könnte</w:t>
      </w:r>
      <w:r w:rsidR="00657623" w:rsidRPr="00657623">
        <w:t xml:space="preserve"> daher ergänzend der Prozesssimulator Aspen </w:t>
      </w:r>
      <w:r w:rsidR="00657623" w:rsidRPr="00657623">
        <w:lastRenderedPageBreak/>
        <w:t>HYSYS herangezogen werden, um den Einfluss von Begleitstoffen auf Phasenlage und Zustandsverlauf entspreche</w:t>
      </w:r>
      <w:r w:rsidR="000274D8">
        <w:t xml:space="preserve">nd </w:t>
      </w:r>
      <w:r w:rsidR="00573DB9">
        <w:t xml:space="preserve">Forschungsfrage </w:t>
      </w:r>
      <w:r w:rsidR="00657623" w:rsidRPr="000274D8">
        <w:rPr>
          <w:b/>
          <w:bCs/>
        </w:rPr>
        <w:t>F3</w:t>
      </w:r>
      <w:r w:rsidR="00657623" w:rsidRPr="00657623">
        <w:t xml:space="preserve"> abzubilden sowie Apparate zu modellieren, die sich mit der Eigenimplementierung nicht sinnvoll erfassen lassen</w:t>
      </w:r>
      <w:r w:rsidR="00573DB9">
        <w:t>.</w:t>
      </w:r>
      <w:r w:rsidR="00657623" w:rsidRPr="00657623">
        <w:t xml:space="preserve"> Andernfalls wird der Einfluss der Verunreinigungen qualitativ auf Basis </w:t>
      </w:r>
      <w:r w:rsidR="00E0056C" w:rsidRPr="00E0056C">
        <w:t>von Literaturwerten abgeschätzt und als Sicherheitszuschlag auf die Auslegung berücksichtigt.</w:t>
      </w:r>
    </w:p>
    <w:p w14:paraId="08371D3A" w14:textId="77777777" w:rsidR="009C43F3" w:rsidRPr="009C43F3" w:rsidRDefault="009C43F3" w:rsidP="009C43F3">
      <w:pPr>
        <w:spacing w:line="276" w:lineRule="auto"/>
      </w:pPr>
    </w:p>
    <w:p w14:paraId="36CD6174" w14:textId="77777777" w:rsidR="009C43F3" w:rsidRPr="009C43F3" w:rsidRDefault="009C43F3" w:rsidP="009C43F3">
      <w:pPr>
        <w:spacing w:line="276" w:lineRule="auto"/>
      </w:pPr>
      <w:r w:rsidRPr="009C43F3">
        <w:rPr>
          <w:i/>
          <w:iCs/>
        </w:rPr>
        <w:t>Ergebnis:</w:t>
      </w:r>
      <w:r w:rsidRPr="009C43F3">
        <w:t xml:space="preserve"> Zustandspunkte entlang beider Prozesspfade.</w:t>
      </w:r>
    </w:p>
    <w:p w14:paraId="38A63F28" w14:textId="77777777" w:rsidR="008E761D" w:rsidRDefault="008E761D" w:rsidP="00AC706A">
      <w:pPr>
        <w:spacing w:line="276" w:lineRule="auto"/>
      </w:pPr>
    </w:p>
    <w:p w14:paraId="4B3F1C70" w14:textId="52DA99E7" w:rsidR="00E40023" w:rsidRPr="00C81963" w:rsidRDefault="00E40023" w:rsidP="00E40023">
      <w:pPr>
        <w:pStyle w:val="berschrift2"/>
        <w:rPr>
          <w:rStyle w:val="Fett"/>
        </w:rPr>
      </w:pPr>
      <w:r w:rsidRPr="00C81963">
        <w:rPr>
          <w:rStyle w:val="Fett"/>
        </w:rPr>
        <w:t>4.4</w:t>
      </w:r>
      <w:r w:rsidRPr="00C81963">
        <w:rPr>
          <w:rStyle w:val="Fett"/>
        </w:rPr>
        <w:tab/>
        <w:t>Vergleich der Prozessketten von CO₂, Erdgas und Wasserstoff</w:t>
      </w:r>
    </w:p>
    <w:p w14:paraId="64BBE368" w14:textId="7F0F7875" w:rsidR="00E40023" w:rsidRDefault="00237911" w:rsidP="00E40023">
      <w:pPr>
        <w:spacing w:line="276" w:lineRule="auto"/>
      </w:pPr>
      <w:r w:rsidRPr="00237911">
        <w:t>Die für CO</w:t>
      </w:r>
      <w:r w:rsidRPr="00237911">
        <w:rPr>
          <w:rFonts w:ascii="Cambria Math" w:hAnsi="Cambria Math" w:cs="Cambria Math"/>
        </w:rPr>
        <w:t>₂</w:t>
      </w:r>
      <w:r w:rsidRPr="00237911">
        <w:t xml:space="preserve"> erstellten Grundfließschemata werden den Prozessketten der Erdgas- und der Wasserstoffspeicherung gegenübergestellt. Verglichen werden die erforderlichen Prozessschritte sowie die Auslegung einzelner Komponenten unter jeweils gleichen Randbedingungen</w:t>
      </w:r>
      <w:r>
        <w:t>.</w:t>
      </w:r>
      <w:r w:rsidR="00100E51">
        <w:t xml:space="preserve"> </w:t>
      </w:r>
      <w:r w:rsidR="00100E51" w:rsidRPr="00100E51">
        <w:t>Herausgearbeitet wird, welche Anlagenteile bei CO</w:t>
      </w:r>
      <w:r w:rsidR="00100E51" w:rsidRPr="00100E51">
        <w:rPr>
          <w:rFonts w:ascii="Cambria Math" w:hAnsi="Cambria Math" w:cs="Cambria Math"/>
        </w:rPr>
        <w:t>₂</w:t>
      </w:r>
      <w:r w:rsidR="00100E51" w:rsidRPr="00100E51">
        <w:t xml:space="preserve"> zusätzlich erforderlich sind, welche entfallen und welche abweichend auszulegen sind. Grundlage sind die eigenen Berechnungen für CO</w:t>
      </w:r>
      <w:r w:rsidR="00100E51" w:rsidRPr="00100E51">
        <w:rPr>
          <w:rFonts w:ascii="Cambria Math" w:hAnsi="Cambria Math" w:cs="Cambria Math"/>
        </w:rPr>
        <w:t>₂</w:t>
      </w:r>
      <w:r w:rsidR="00100E51" w:rsidRPr="00100E51">
        <w:t xml:space="preserve"> sowie Literatur- und Regelwerksangaben für Erdgas und Wasserstoff.</w:t>
      </w:r>
    </w:p>
    <w:p w14:paraId="17D47C2A" w14:textId="77777777" w:rsidR="00100E51" w:rsidRDefault="00100E51" w:rsidP="00E40023">
      <w:pPr>
        <w:spacing w:line="276" w:lineRule="auto"/>
      </w:pPr>
    </w:p>
    <w:p w14:paraId="1710044B" w14:textId="7CCA37F0" w:rsidR="00E40023" w:rsidRDefault="00100E51" w:rsidP="00E40023">
      <w:pPr>
        <w:spacing w:line="276" w:lineRule="auto"/>
        <w:rPr>
          <w:rStyle w:val="Hervorhebung"/>
        </w:rPr>
      </w:pPr>
      <w:r w:rsidRPr="00100E51">
        <w:rPr>
          <w:i/>
          <w:iCs/>
        </w:rPr>
        <w:t>Ergebnis: Einordnung des Mediums CO</w:t>
      </w:r>
      <w:r w:rsidRPr="00100E51">
        <w:rPr>
          <w:rFonts w:ascii="Cambria Math" w:hAnsi="Cambria Math" w:cs="Cambria Math"/>
          <w:i/>
          <w:iCs/>
        </w:rPr>
        <w:t>₂</w:t>
      </w:r>
      <w:r w:rsidRPr="00100E51">
        <w:rPr>
          <w:i/>
          <w:iCs/>
        </w:rPr>
        <w:t xml:space="preserve"> gegenüber dem etablierten Anlagenkonzept der Untertagespeicherung</w:t>
      </w:r>
      <w:r w:rsidR="00DC3E51">
        <w:rPr>
          <w:i/>
          <w:iCs/>
        </w:rPr>
        <w:t xml:space="preserve"> in Salzkavernen.</w:t>
      </w:r>
    </w:p>
    <w:p w14:paraId="5C818038" w14:textId="77777777" w:rsidR="00E40023" w:rsidRPr="00970986" w:rsidRDefault="00E40023" w:rsidP="00E40023">
      <w:pPr>
        <w:spacing w:line="276" w:lineRule="auto"/>
        <w:rPr>
          <w:b/>
          <w:bCs/>
        </w:rPr>
      </w:pPr>
    </w:p>
    <w:p w14:paraId="491F9D64" w14:textId="59FBDD55" w:rsidR="00970986" w:rsidRPr="00C81963" w:rsidRDefault="00970986" w:rsidP="00C81963">
      <w:pPr>
        <w:pStyle w:val="berschrift2"/>
      </w:pPr>
      <w:r w:rsidRPr="00C81963">
        <w:rPr>
          <w:rStyle w:val="Fett"/>
        </w:rPr>
        <w:t>4.5</w:t>
      </w:r>
      <w:r w:rsidRPr="00C81963">
        <w:rPr>
          <w:rStyle w:val="Fett"/>
        </w:rPr>
        <w:tab/>
        <w:t>Validierung</w:t>
      </w:r>
    </w:p>
    <w:p w14:paraId="6CBC1D58" w14:textId="5A5E9934" w:rsidR="00EF0BED" w:rsidRDefault="00EF0BED" w:rsidP="00EF0BED">
      <w:pPr>
        <w:spacing w:line="276" w:lineRule="auto"/>
      </w:pPr>
      <w:r w:rsidRPr="00EF0BED">
        <w:t>Abgleich des Rechenmodells mit veröffentlichten Ergebnissen einer vergleichbaren thermodynamischen Untersuchung, um die Belastbarkeit der eigenen Berechnungen nachzuweisen. Modell, Rechenwege und Versionsstand der verwendeten Stoffdatenbibliothek werden dokumentiert, um die Nachvollziehbarkeit sicherzustellen.</w:t>
      </w:r>
    </w:p>
    <w:p w14:paraId="78F2D649" w14:textId="77777777" w:rsidR="00EF0BED" w:rsidRPr="00EF0BED" w:rsidRDefault="00EF0BED" w:rsidP="00EF0BED">
      <w:pPr>
        <w:spacing w:line="276" w:lineRule="auto"/>
      </w:pPr>
    </w:p>
    <w:p w14:paraId="07BEABB0" w14:textId="77777777" w:rsidR="00EF0BED" w:rsidRPr="00EF0BED" w:rsidRDefault="00EF0BED" w:rsidP="00EF0BED">
      <w:pPr>
        <w:spacing w:line="276" w:lineRule="auto"/>
      </w:pPr>
      <w:r w:rsidRPr="00EF0BED">
        <w:rPr>
          <w:i/>
          <w:iCs/>
        </w:rPr>
        <w:t>Ergebnis:</w:t>
      </w:r>
      <w:r w:rsidRPr="00EF0BED">
        <w:t xml:space="preserve"> validiertes Rechenmodell.</w:t>
      </w:r>
    </w:p>
    <w:p w14:paraId="008AB965" w14:textId="24E647A7" w:rsidR="001846EC" w:rsidRDefault="001846EC">
      <w:pPr>
        <w:jc w:val="left"/>
        <w:rPr>
          <w:rStyle w:val="Hervorhebung"/>
        </w:rPr>
      </w:pPr>
      <w:r>
        <w:rPr>
          <w:rStyle w:val="Hervorhebung"/>
        </w:rPr>
        <w:br w:type="page"/>
      </w:r>
    </w:p>
    <w:p w14:paraId="278F1F6F" w14:textId="77777777" w:rsidR="00552D94" w:rsidRPr="00B36C6C" w:rsidRDefault="00F56203" w:rsidP="00AC706A">
      <w:pPr>
        <w:pStyle w:val="berschrift1"/>
        <w:tabs>
          <w:tab w:val="left" w:pos="420"/>
        </w:tabs>
        <w:spacing w:before="320" w:after="160" w:line="276" w:lineRule="auto"/>
        <w:rPr>
          <w:b/>
          <w:bCs/>
          <w:color w:val="000000"/>
          <w:sz w:val="28"/>
          <w:szCs w:val="28"/>
        </w:rPr>
      </w:pPr>
      <w:r w:rsidRPr="00B36C6C">
        <w:rPr>
          <w:b/>
          <w:bCs/>
          <w:color w:val="000000"/>
          <w:sz w:val="28"/>
          <w:szCs w:val="28"/>
        </w:rPr>
        <w:lastRenderedPageBreak/>
        <w:t>5</w:t>
      </w:r>
      <w:r w:rsidRPr="00B36C6C">
        <w:rPr>
          <w:b/>
          <w:bCs/>
          <w:color w:val="000000"/>
          <w:sz w:val="28"/>
          <w:szCs w:val="28"/>
        </w:rPr>
        <w:tab/>
        <w:t>Vorläufige Gliederung und Zeitplanung</w:t>
      </w:r>
    </w:p>
    <w:p w14:paraId="42E64A7A" w14:textId="1E22B5E7" w:rsidR="001F4D3E" w:rsidRPr="001F4D3E" w:rsidRDefault="001F4D3E" w:rsidP="00AC706A">
      <w:pPr>
        <w:spacing w:line="276" w:lineRule="auto"/>
      </w:pPr>
      <w:r w:rsidRPr="001F4D3E">
        <w:t>Die Gliederung folgt dem Aufbau aus dem Merkblatt für Abschlussarbeiten: Grundlagen ohne Berechnungen, anschließend Methodik, Hauptteil, Diskussion, Fazit und Ausblick.</w:t>
      </w:r>
    </w:p>
    <w:p w14:paraId="5B2EC4B1" w14:textId="17C40F2D" w:rsidR="00494BE9" w:rsidRPr="00997538" w:rsidRDefault="00494BE9" w:rsidP="00AC706A">
      <w:pPr>
        <w:spacing w:line="276" w:lineRule="auto"/>
        <w:rPr>
          <w:i/>
          <w:iCs/>
          <w:color w:val="FF0000"/>
        </w:rPr>
      </w:pPr>
    </w:p>
    <w:p w14:paraId="278F1F70" w14:textId="3B42A3B1" w:rsidR="00552D94" w:rsidRDefault="00494BE9" w:rsidP="00AC706A">
      <w:pPr>
        <w:pStyle w:val="berschrift2"/>
      </w:pPr>
      <w:r>
        <w:t>5.1</w:t>
      </w:r>
      <w:r>
        <w:tab/>
        <w:t>Vorläufige Gliederung</w:t>
      </w:r>
    </w:p>
    <w:p w14:paraId="2AFD9B66" w14:textId="77777777" w:rsidR="00494BE9" w:rsidRDefault="00494BE9" w:rsidP="00AC706A"/>
    <w:p w14:paraId="7C05D2E1" w14:textId="2F966386" w:rsidR="000327EE" w:rsidRPr="000327EE" w:rsidRDefault="000327EE" w:rsidP="00AC706A">
      <w:pPr>
        <w:pStyle w:val="Listenabsatz"/>
        <w:numPr>
          <w:ilvl w:val="0"/>
          <w:numId w:val="7"/>
        </w:numPr>
      </w:pPr>
      <w:r w:rsidRPr="00C85A6C">
        <w:rPr>
          <w:b/>
          <w:bCs/>
        </w:rPr>
        <w:t>Einleitung</w:t>
      </w:r>
    </w:p>
    <w:p w14:paraId="06780A1D" w14:textId="718F9CEB" w:rsidR="000327EE" w:rsidRPr="000327EE" w:rsidRDefault="000327EE" w:rsidP="00AC706A">
      <w:pPr>
        <w:pStyle w:val="Listenabsatz"/>
        <w:numPr>
          <w:ilvl w:val="1"/>
          <w:numId w:val="7"/>
        </w:numPr>
      </w:pPr>
      <w:r w:rsidRPr="000327EE">
        <w:t>Hintergrund und Motivation</w:t>
      </w:r>
    </w:p>
    <w:p w14:paraId="46289E20" w14:textId="723C819A" w:rsidR="000327EE" w:rsidRPr="000327EE" w:rsidRDefault="000327EE" w:rsidP="00AC706A">
      <w:pPr>
        <w:pStyle w:val="Listenabsatz"/>
        <w:numPr>
          <w:ilvl w:val="1"/>
          <w:numId w:val="7"/>
        </w:numPr>
        <w:spacing w:after="160"/>
      </w:pPr>
      <w:r w:rsidRPr="000327EE">
        <w:t>Zielsetzung, Problemstellung und Forschungsfragen</w:t>
      </w:r>
    </w:p>
    <w:p w14:paraId="52318EAC" w14:textId="6B1146D3" w:rsidR="000327EE" w:rsidRPr="000327EE" w:rsidRDefault="000327EE" w:rsidP="00AC706A">
      <w:pPr>
        <w:pStyle w:val="Listenabsatz"/>
        <w:numPr>
          <w:ilvl w:val="0"/>
          <w:numId w:val="7"/>
        </w:numPr>
      </w:pPr>
      <w:r w:rsidRPr="00C85A6C">
        <w:rPr>
          <w:b/>
          <w:bCs/>
        </w:rPr>
        <w:t>Grundlagen und Stand der Technik</w:t>
      </w:r>
    </w:p>
    <w:p w14:paraId="523B39EB" w14:textId="70F587BF" w:rsidR="000327EE" w:rsidRPr="000327EE" w:rsidRDefault="000327EE" w:rsidP="00AC706A">
      <w:pPr>
        <w:pStyle w:val="Listenabsatz"/>
        <w:numPr>
          <w:ilvl w:val="1"/>
          <w:numId w:val="7"/>
        </w:numPr>
      </w:pPr>
      <w:r w:rsidRPr="000327EE">
        <w:t>CO</w:t>
      </w:r>
      <w:r w:rsidRPr="00C85A6C">
        <w:rPr>
          <w:rFonts w:ascii="Cambria Math" w:hAnsi="Cambria Math" w:cs="Cambria Math"/>
        </w:rPr>
        <w:t>₂</w:t>
      </w:r>
      <w:r w:rsidRPr="000327EE">
        <w:t>-Infrastruktur und Zwischenspeicherbedarf in Deutschland</w:t>
      </w:r>
    </w:p>
    <w:p w14:paraId="4529D99E" w14:textId="0C101ED7" w:rsidR="000327EE" w:rsidRPr="000327EE" w:rsidRDefault="000327EE" w:rsidP="00AC706A">
      <w:pPr>
        <w:pStyle w:val="Listenabsatz"/>
        <w:numPr>
          <w:ilvl w:val="1"/>
          <w:numId w:val="7"/>
        </w:numPr>
      </w:pPr>
      <w:r w:rsidRPr="000327EE">
        <w:t>Rechtlicher und regulatorischer Rahmen</w:t>
      </w:r>
    </w:p>
    <w:p w14:paraId="718E55CA" w14:textId="7E049356" w:rsidR="000327EE" w:rsidRPr="000327EE" w:rsidRDefault="000327EE" w:rsidP="00AC706A">
      <w:pPr>
        <w:pStyle w:val="Listenabsatz"/>
        <w:numPr>
          <w:ilvl w:val="1"/>
          <w:numId w:val="7"/>
        </w:numPr>
      </w:pPr>
      <w:r w:rsidRPr="000327EE">
        <w:t>Salzkavernen als Untertagespeicher</w:t>
      </w:r>
    </w:p>
    <w:p w14:paraId="7C7E2CF3" w14:textId="4C31DA93" w:rsidR="000327EE" w:rsidRPr="000327EE" w:rsidRDefault="000327EE" w:rsidP="00AC706A">
      <w:pPr>
        <w:pStyle w:val="Listenabsatz"/>
        <w:numPr>
          <w:ilvl w:val="1"/>
          <w:numId w:val="7"/>
        </w:numPr>
      </w:pPr>
      <w:r w:rsidRPr="000327EE">
        <w:t>Nutzungskonkurrenz zwischen CO</w:t>
      </w:r>
      <w:r w:rsidRPr="00C85A6C">
        <w:rPr>
          <w:rFonts w:ascii="Cambria Math" w:hAnsi="Cambria Math" w:cs="Cambria Math"/>
        </w:rPr>
        <w:t>₂</w:t>
      </w:r>
      <w:r w:rsidRPr="000327EE">
        <w:t>, Methan und Wasserstoff</w:t>
      </w:r>
    </w:p>
    <w:p w14:paraId="0F8F6F2D" w14:textId="25F71781" w:rsidR="000327EE" w:rsidRPr="000327EE" w:rsidRDefault="000327EE" w:rsidP="00AC706A">
      <w:pPr>
        <w:pStyle w:val="Listenabsatz"/>
        <w:numPr>
          <w:ilvl w:val="1"/>
          <w:numId w:val="7"/>
        </w:numPr>
        <w:spacing w:after="160"/>
      </w:pPr>
      <w:r w:rsidRPr="000327EE">
        <w:t>Bisherige Untersuchungen zur CO</w:t>
      </w:r>
      <w:r w:rsidRPr="00C85A6C">
        <w:rPr>
          <w:rFonts w:ascii="Cambria Math" w:hAnsi="Cambria Math" w:cs="Cambria Math"/>
        </w:rPr>
        <w:t>₂</w:t>
      </w:r>
      <w:r w:rsidRPr="000327EE">
        <w:t>-Speicherung in Salzkavernen</w:t>
      </w:r>
    </w:p>
    <w:p w14:paraId="0CA8BF6F" w14:textId="37A2A77D" w:rsidR="000327EE" w:rsidRPr="000327EE" w:rsidRDefault="000327EE" w:rsidP="00AC706A">
      <w:pPr>
        <w:pStyle w:val="Listenabsatz"/>
        <w:numPr>
          <w:ilvl w:val="0"/>
          <w:numId w:val="7"/>
        </w:numPr>
      </w:pPr>
      <w:r w:rsidRPr="00C85A6C">
        <w:rPr>
          <w:b/>
          <w:bCs/>
        </w:rPr>
        <w:t>Stoffliche Grundlagen von CO</w:t>
      </w:r>
      <w:r w:rsidRPr="00C85A6C">
        <w:rPr>
          <w:rFonts w:ascii="Cambria Math" w:hAnsi="Cambria Math" w:cs="Cambria Math"/>
          <w:b/>
          <w:bCs/>
        </w:rPr>
        <w:t>₂</w:t>
      </w:r>
    </w:p>
    <w:p w14:paraId="40C4ADA3" w14:textId="46E04795" w:rsidR="000327EE" w:rsidRPr="000327EE" w:rsidRDefault="000327EE" w:rsidP="00AC706A">
      <w:pPr>
        <w:pStyle w:val="Listenabsatz"/>
        <w:numPr>
          <w:ilvl w:val="1"/>
          <w:numId w:val="7"/>
        </w:numPr>
      </w:pPr>
      <w:r w:rsidRPr="000327EE">
        <w:t>Phasenverhalten und thermodynamische Stoffdaten</w:t>
      </w:r>
    </w:p>
    <w:p w14:paraId="5446156A" w14:textId="588B3845" w:rsidR="000327EE" w:rsidRPr="000327EE" w:rsidRDefault="000327EE" w:rsidP="00AC706A">
      <w:pPr>
        <w:pStyle w:val="Listenabsatz"/>
        <w:numPr>
          <w:ilvl w:val="1"/>
          <w:numId w:val="7"/>
        </w:numPr>
      </w:pPr>
      <w:r w:rsidRPr="000327EE">
        <w:t>Realgasverhalten und Joule-Thomson-Effekt</w:t>
      </w:r>
    </w:p>
    <w:p w14:paraId="1FB05D20" w14:textId="18638249" w:rsidR="000327EE" w:rsidRPr="000327EE" w:rsidRDefault="000327EE" w:rsidP="00AC706A">
      <w:pPr>
        <w:pStyle w:val="Listenabsatz"/>
        <w:numPr>
          <w:ilvl w:val="1"/>
          <w:numId w:val="7"/>
        </w:numPr>
      </w:pPr>
      <w:r w:rsidRPr="000327EE">
        <w:t>CO</w:t>
      </w:r>
      <w:r w:rsidRPr="00C85A6C">
        <w:rPr>
          <w:rFonts w:ascii="Cambria Math" w:hAnsi="Cambria Math" w:cs="Cambria Math"/>
        </w:rPr>
        <w:t>₂</w:t>
      </w:r>
      <w:r w:rsidRPr="000327EE">
        <w:t>-Qualität und Begleitstoffe</w:t>
      </w:r>
    </w:p>
    <w:p w14:paraId="4BF15164" w14:textId="7AFF5BA0" w:rsidR="000327EE" w:rsidRPr="000327EE" w:rsidRDefault="000327EE" w:rsidP="00AC706A">
      <w:pPr>
        <w:pStyle w:val="Listenabsatz"/>
        <w:numPr>
          <w:ilvl w:val="1"/>
          <w:numId w:val="7"/>
        </w:numPr>
      </w:pPr>
      <w:r w:rsidRPr="000327EE">
        <w:t>Wasser, Hydratbildung und Trocknung</w:t>
      </w:r>
    </w:p>
    <w:p w14:paraId="03CC4F16" w14:textId="3C8FC31A" w:rsidR="000327EE" w:rsidRPr="000327EE" w:rsidRDefault="000327EE" w:rsidP="00AC706A">
      <w:pPr>
        <w:pStyle w:val="Listenabsatz"/>
        <w:numPr>
          <w:ilvl w:val="1"/>
          <w:numId w:val="7"/>
        </w:numPr>
        <w:spacing w:after="160"/>
      </w:pPr>
      <w:r w:rsidRPr="000327EE">
        <w:t>Werkstoffverhalten und Korrosion</w:t>
      </w:r>
    </w:p>
    <w:p w14:paraId="5002A5BB" w14:textId="434BBFD1" w:rsidR="000327EE" w:rsidRPr="000327EE" w:rsidRDefault="000327EE" w:rsidP="00AC706A">
      <w:pPr>
        <w:pStyle w:val="Listenabsatz"/>
        <w:numPr>
          <w:ilvl w:val="0"/>
          <w:numId w:val="7"/>
        </w:numPr>
      </w:pPr>
      <w:r w:rsidRPr="00C85A6C">
        <w:rPr>
          <w:b/>
          <w:bCs/>
        </w:rPr>
        <w:t>Methodik</w:t>
      </w:r>
    </w:p>
    <w:p w14:paraId="109CCD41" w14:textId="3B2438B8" w:rsidR="000327EE" w:rsidRPr="000327EE" w:rsidRDefault="000327EE" w:rsidP="00AC706A">
      <w:pPr>
        <w:pStyle w:val="Listenabsatz"/>
        <w:numPr>
          <w:ilvl w:val="1"/>
          <w:numId w:val="7"/>
        </w:numPr>
      </w:pPr>
      <w:r w:rsidRPr="000327EE">
        <w:t>Systemabgrenzung und Referenzbedingungen</w:t>
      </w:r>
    </w:p>
    <w:p w14:paraId="6A7AF3AD" w14:textId="345AF283" w:rsidR="000327EE" w:rsidRPr="000327EE" w:rsidRDefault="000327EE" w:rsidP="00AC706A">
      <w:pPr>
        <w:pStyle w:val="Listenabsatz"/>
        <w:numPr>
          <w:ilvl w:val="1"/>
          <w:numId w:val="7"/>
        </w:numPr>
      </w:pPr>
      <w:r w:rsidRPr="000327EE">
        <w:t>Szenarienbildung und Grundfließschemata</w:t>
      </w:r>
    </w:p>
    <w:p w14:paraId="09E3357A" w14:textId="40E8C0DF" w:rsidR="000327EE" w:rsidRPr="000327EE" w:rsidRDefault="000327EE" w:rsidP="00AC706A">
      <w:pPr>
        <w:pStyle w:val="Listenabsatz"/>
        <w:numPr>
          <w:ilvl w:val="1"/>
          <w:numId w:val="7"/>
        </w:numPr>
      </w:pPr>
      <w:r w:rsidRPr="000327EE">
        <w:t>Berechnungsmodell und Stoffwertermittlung</w:t>
      </w:r>
    </w:p>
    <w:p w14:paraId="6C8745EF" w14:textId="1644E3E3" w:rsidR="000327EE" w:rsidRPr="000327EE" w:rsidRDefault="000327EE" w:rsidP="00AC706A">
      <w:pPr>
        <w:pStyle w:val="Listenabsatz"/>
        <w:numPr>
          <w:ilvl w:val="1"/>
          <w:numId w:val="7"/>
        </w:numPr>
        <w:spacing w:after="160"/>
      </w:pPr>
      <w:r w:rsidRPr="000327EE">
        <w:t>Validierung des Rechenmodells</w:t>
      </w:r>
    </w:p>
    <w:p w14:paraId="207B6EBF" w14:textId="622EE839" w:rsidR="00F05829" w:rsidRPr="000327EE" w:rsidRDefault="000327EE" w:rsidP="00AC706A">
      <w:pPr>
        <w:pStyle w:val="Listenabsatz"/>
        <w:numPr>
          <w:ilvl w:val="0"/>
          <w:numId w:val="7"/>
        </w:numPr>
      </w:pPr>
      <w:r w:rsidRPr="00C85A6C">
        <w:rPr>
          <w:b/>
          <w:bCs/>
        </w:rPr>
        <w:t>Prozesskette und Anlagenauslegung</w:t>
      </w:r>
    </w:p>
    <w:p w14:paraId="49A85BB5" w14:textId="6BAC3E6E" w:rsidR="000327EE" w:rsidRPr="000327EE" w:rsidRDefault="000327EE" w:rsidP="00AC706A">
      <w:pPr>
        <w:pStyle w:val="Listenabsatz"/>
        <w:numPr>
          <w:ilvl w:val="1"/>
          <w:numId w:val="7"/>
        </w:numPr>
      </w:pPr>
      <w:r w:rsidRPr="000327EE">
        <w:t>Übergabe, Filtration und Messtechnik</w:t>
      </w:r>
    </w:p>
    <w:p w14:paraId="5AD30452" w14:textId="69652F83" w:rsidR="000327EE" w:rsidRPr="000327EE" w:rsidRDefault="000327EE" w:rsidP="00AC706A">
      <w:pPr>
        <w:pStyle w:val="Listenabsatz"/>
        <w:numPr>
          <w:ilvl w:val="1"/>
          <w:numId w:val="7"/>
        </w:numPr>
      </w:pPr>
      <w:r w:rsidRPr="000327EE">
        <w:t>Einspeicherung — Szenario 1: Anlieferung in dichter Phase</w:t>
      </w:r>
    </w:p>
    <w:p w14:paraId="6C59A843" w14:textId="46A6B7AF" w:rsidR="000327EE" w:rsidRDefault="000327EE" w:rsidP="00AC706A">
      <w:pPr>
        <w:pStyle w:val="Listenabsatz"/>
        <w:numPr>
          <w:ilvl w:val="1"/>
          <w:numId w:val="7"/>
        </w:numPr>
      </w:pPr>
      <w:r w:rsidRPr="000327EE">
        <w:t>Einspeicherung — Szenario 2: Gasförmige Anlieferung</w:t>
      </w:r>
    </w:p>
    <w:p w14:paraId="4E3913CA" w14:textId="406C237F" w:rsidR="003912C4" w:rsidRPr="000327EE" w:rsidRDefault="00AF599D" w:rsidP="00AC706A">
      <w:pPr>
        <w:pStyle w:val="Listenabsatz"/>
        <w:numPr>
          <w:ilvl w:val="1"/>
          <w:numId w:val="7"/>
        </w:numPr>
      </w:pPr>
      <w:r w:rsidRPr="00AF599D">
        <w:t>Kavernenbetrieb und Rückwirkung auf die Anlage</w:t>
      </w:r>
    </w:p>
    <w:p w14:paraId="4698F073" w14:textId="3679FC7C" w:rsidR="000327EE" w:rsidRDefault="000327EE" w:rsidP="00AC706A">
      <w:pPr>
        <w:pStyle w:val="Listenabsatz"/>
        <w:numPr>
          <w:ilvl w:val="1"/>
          <w:numId w:val="7"/>
        </w:numPr>
      </w:pPr>
      <w:r w:rsidRPr="000327EE">
        <w:t xml:space="preserve">Ausspeicherung: Druckreduzierung, Vorwärmung </w:t>
      </w:r>
      <w:r w:rsidR="003D0BF5" w:rsidRPr="003D0BF5">
        <w:t>und Aufbereitung auf Rückgabequalität</w:t>
      </w:r>
      <w:r w:rsidR="001E65AC">
        <w:t xml:space="preserve"> </w:t>
      </w:r>
      <w:r w:rsidR="001E65AC" w:rsidRPr="001E65AC">
        <w:t>— Szenario 1: Rückgabe in dichter Phase</w:t>
      </w:r>
    </w:p>
    <w:p w14:paraId="1C393F69" w14:textId="1C2C5F4A" w:rsidR="001E65AC" w:rsidRPr="000327EE" w:rsidRDefault="001E65AC" w:rsidP="001E65AC">
      <w:pPr>
        <w:pStyle w:val="Listenabsatz"/>
        <w:numPr>
          <w:ilvl w:val="1"/>
          <w:numId w:val="7"/>
        </w:numPr>
      </w:pPr>
      <w:r w:rsidRPr="000327EE">
        <w:t xml:space="preserve">Ausspeicherung: Druckreduzierung, Vorwärmung </w:t>
      </w:r>
      <w:r w:rsidRPr="003D0BF5">
        <w:t>und Aufbereitung auf Rückgabequalität</w:t>
      </w:r>
      <w:r>
        <w:t xml:space="preserve"> </w:t>
      </w:r>
      <w:r w:rsidRPr="001E65AC">
        <w:t xml:space="preserve">— Szenario </w:t>
      </w:r>
      <w:r>
        <w:t>2</w:t>
      </w:r>
      <w:r w:rsidRPr="001E65AC">
        <w:t xml:space="preserve">: Rückgabe in </w:t>
      </w:r>
      <w:r>
        <w:t>gas</w:t>
      </w:r>
      <w:r w:rsidR="006B3762">
        <w:t>förmiger</w:t>
      </w:r>
      <w:r w:rsidRPr="001E65AC">
        <w:t xml:space="preserve"> Phase</w:t>
      </w:r>
    </w:p>
    <w:p w14:paraId="34D3C8C5" w14:textId="77777777" w:rsidR="00A20596" w:rsidRDefault="000327EE" w:rsidP="00A20596">
      <w:pPr>
        <w:pStyle w:val="Listenabsatz"/>
        <w:numPr>
          <w:ilvl w:val="1"/>
          <w:numId w:val="7"/>
        </w:numPr>
        <w:spacing w:after="160"/>
      </w:pPr>
      <w:r w:rsidRPr="000327EE">
        <w:t>Komponentenauswahl und Auslegungsparameter</w:t>
      </w:r>
    </w:p>
    <w:p w14:paraId="1F63D677" w14:textId="77777777" w:rsidR="00A20596" w:rsidRDefault="00A20596" w:rsidP="00A20596">
      <w:pPr>
        <w:pStyle w:val="Listenabsatz"/>
        <w:numPr>
          <w:ilvl w:val="0"/>
          <w:numId w:val="7"/>
        </w:numPr>
      </w:pPr>
      <w:r w:rsidRPr="00A20596">
        <w:rPr>
          <w:b/>
        </w:rPr>
        <w:t>Vergleich mit der Erdgas- und Wasserstoffspeicherung</w:t>
      </w:r>
    </w:p>
    <w:p w14:paraId="407504BF" w14:textId="77777777" w:rsidR="00F766E2" w:rsidRDefault="00A20596" w:rsidP="00F766E2">
      <w:pPr>
        <w:pStyle w:val="Listenabsatz"/>
        <w:numPr>
          <w:ilvl w:val="1"/>
          <w:numId w:val="7"/>
        </w:numPr>
      </w:pPr>
      <w:r w:rsidRPr="00A20596">
        <w:t>Unterschiede im Stoffverhalten unter Kavernenbedingungen</w:t>
      </w:r>
    </w:p>
    <w:p w14:paraId="695338B1" w14:textId="01FDF4AB" w:rsidR="00F766E2" w:rsidRDefault="00A20596" w:rsidP="00F766E2">
      <w:pPr>
        <w:pStyle w:val="Listenabsatz"/>
        <w:numPr>
          <w:ilvl w:val="1"/>
          <w:numId w:val="7"/>
        </w:numPr>
      </w:pPr>
      <w:r w:rsidRPr="00A20596">
        <w:t>Gegenüberstellung der Prozessketten</w:t>
      </w:r>
    </w:p>
    <w:p w14:paraId="244842DC" w14:textId="24E14579" w:rsidR="00F766E2" w:rsidRPr="00F766E2" w:rsidRDefault="00A20596" w:rsidP="00F766E2">
      <w:pPr>
        <w:pStyle w:val="Listenabsatz"/>
        <w:numPr>
          <w:ilvl w:val="1"/>
          <w:numId w:val="7"/>
        </w:numPr>
        <w:spacing w:after="160"/>
      </w:pPr>
      <w:r w:rsidRPr="00A20596">
        <w:t>Auslegungsrelevante Abweichungen am Beispiel der Vorwärmleistung</w:t>
      </w:r>
    </w:p>
    <w:p w14:paraId="06F7CDA6" w14:textId="41B3A831" w:rsidR="000327EE" w:rsidRPr="000327EE" w:rsidRDefault="000327EE" w:rsidP="00AC706A">
      <w:pPr>
        <w:pStyle w:val="Listenabsatz"/>
        <w:numPr>
          <w:ilvl w:val="0"/>
          <w:numId w:val="7"/>
        </w:numPr>
      </w:pPr>
      <w:r w:rsidRPr="00A20596">
        <w:rPr>
          <w:b/>
          <w:bCs/>
        </w:rPr>
        <w:t>Diskussion</w:t>
      </w:r>
    </w:p>
    <w:p w14:paraId="6B98FE8B" w14:textId="1A9F4EC0" w:rsidR="000327EE" w:rsidRDefault="000327EE" w:rsidP="00AC706A">
      <w:pPr>
        <w:pStyle w:val="Listenabsatz"/>
        <w:numPr>
          <w:ilvl w:val="1"/>
          <w:numId w:val="7"/>
        </w:numPr>
      </w:pPr>
      <w:r w:rsidRPr="000327EE">
        <w:t>Gegenüberstellung der Szenarien</w:t>
      </w:r>
    </w:p>
    <w:p w14:paraId="6769FEE6" w14:textId="05355D44" w:rsidR="000327EE" w:rsidRPr="000327EE" w:rsidRDefault="000327EE" w:rsidP="00AC706A">
      <w:pPr>
        <w:pStyle w:val="Listenabsatz"/>
        <w:numPr>
          <w:ilvl w:val="1"/>
          <w:numId w:val="7"/>
        </w:numPr>
        <w:spacing w:after="160"/>
      </w:pPr>
      <w:r w:rsidRPr="000327EE">
        <w:t>Kritische Bewertung der Methodik und Ergebnisse</w:t>
      </w:r>
    </w:p>
    <w:p w14:paraId="6864A6AD" w14:textId="6B47BFD5" w:rsidR="000327EE" w:rsidRPr="000327EE" w:rsidRDefault="000327EE" w:rsidP="00AC706A">
      <w:pPr>
        <w:pStyle w:val="Listenabsatz"/>
        <w:numPr>
          <w:ilvl w:val="0"/>
          <w:numId w:val="7"/>
        </w:numPr>
        <w:spacing w:after="160"/>
      </w:pPr>
      <w:r w:rsidRPr="00C85A6C">
        <w:rPr>
          <w:b/>
          <w:bCs/>
        </w:rPr>
        <w:t>Fazit</w:t>
      </w:r>
    </w:p>
    <w:p w14:paraId="098F3D38" w14:textId="77777777" w:rsidR="003B1B6A" w:rsidRPr="003B1B6A" w:rsidRDefault="000327EE" w:rsidP="00AC706A">
      <w:pPr>
        <w:pStyle w:val="Listenabsatz"/>
        <w:numPr>
          <w:ilvl w:val="0"/>
          <w:numId w:val="7"/>
        </w:numPr>
        <w:spacing w:line="276" w:lineRule="auto"/>
      </w:pPr>
      <w:r w:rsidRPr="00AC706A">
        <w:rPr>
          <w:b/>
          <w:bCs/>
        </w:rPr>
        <w:t>Ausblick</w:t>
      </w:r>
    </w:p>
    <w:p w14:paraId="7638E0B1" w14:textId="77777777" w:rsidR="003B1B6A" w:rsidRDefault="003B1B6A" w:rsidP="003B1B6A">
      <w:pPr>
        <w:pStyle w:val="Listenabsatz"/>
        <w:numPr>
          <w:ilvl w:val="1"/>
          <w:numId w:val="7"/>
        </w:numPr>
        <w:spacing w:line="276" w:lineRule="auto"/>
      </w:pPr>
      <w:r w:rsidRPr="003B1B6A">
        <w:t>Werkstoff- und Korrosionsanforderungen</w:t>
      </w:r>
    </w:p>
    <w:p w14:paraId="7CF0313E" w14:textId="77777777" w:rsidR="003B1B6A" w:rsidRDefault="003B1B6A" w:rsidP="003B1B6A">
      <w:pPr>
        <w:pStyle w:val="Listenabsatz"/>
        <w:numPr>
          <w:ilvl w:val="1"/>
          <w:numId w:val="7"/>
        </w:numPr>
        <w:spacing w:line="276" w:lineRule="auto"/>
      </w:pPr>
      <w:r w:rsidRPr="003B1B6A">
        <w:t>Sicherheits- und Risikobetrachtung</w:t>
      </w:r>
    </w:p>
    <w:p w14:paraId="37214EAC" w14:textId="60DC4281" w:rsidR="00F05829" w:rsidRDefault="003B1B6A" w:rsidP="003B1B6A">
      <w:pPr>
        <w:pStyle w:val="Listenabsatz"/>
        <w:numPr>
          <w:ilvl w:val="1"/>
          <w:numId w:val="7"/>
        </w:numPr>
        <w:spacing w:line="276" w:lineRule="auto"/>
      </w:pPr>
      <w:r w:rsidRPr="003B1B6A">
        <w:t>Weiterer Untersuchungsbedarf</w:t>
      </w:r>
      <w:r w:rsidR="00F05829">
        <w:br w:type="page"/>
      </w:r>
    </w:p>
    <w:p w14:paraId="278F1F85" w14:textId="3971A19C" w:rsidR="00552D94" w:rsidRDefault="001F4D3E" w:rsidP="00AC706A">
      <w:pPr>
        <w:pStyle w:val="berschrift2"/>
        <w:spacing w:line="276" w:lineRule="auto"/>
      </w:pPr>
      <w:r>
        <w:lastRenderedPageBreak/>
        <w:t>5.2</w:t>
      </w:r>
      <w:r>
        <w:tab/>
        <w:t>Zeitplanung</w:t>
      </w:r>
    </w:p>
    <w:p w14:paraId="74676052" w14:textId="77777777" w:rsidR="001F4D3E" w:rsidRDefault="001F4D3E" w:rsidP="00AC706A">
      <w:pPr>
        <w:spacing w:line="276" w:lineRule="auto"/>
      </w:pPr>
    </w:p>
    <w:p w14:paraId="403DA4FF" w14:textId="4C223E56" w:rsidR="00E17485" w:rsidRDefault="00E17485" w:rsidP="00AC706A">
      <w:pPr>
        <w:spacing w:after="140" w:line="276" w:lineRule="auto"/>
      </w:pPr>
      <w:r w:rsidRPr="00E17485">
        <w:t xml:space="preserve">Das Zeitgerüst bezieht sich auf die 19-wöchige Bearbeitungszeit der Masterarbeit. Die konkreten Kalenderdaten werden nach Festlegung des Startdatums im Anmeldegespräch ergänzt. Während der gesamten Bearbeitungszeit erfolgt ein zweiwöchentliches Reporting an die Betreuenden; zusätzlich sind Zwischenstandspräsentationen beim Kooperationspartner </w:t>
      </w:r>
      <w:r>
        <w:t xml:space="preserve">und der TH Köln </w:t>
      </w:r>
      <w:r w:rsidRPr="00E17485">
        <w:t>vorgesehen.</w:t>
      </w:r>
    </w:p>
    <w:tbl>
      <w:tblPr>
        <w:tblW w:w="9355" w:type="dxa"/>
        <w:tblBorders>
          <w:top w:val="single" w:sz="4" w:space="0" w:color="888888"/>
          <w:left w:val="single" w:sz="4" w:space="0" w:color="888888"/>
          <w:bottom w:val="single" w:sz="4" w:space="0" w:color="888888"/>
          <w:right w:val="single" w:sz="4" w:space="0" w:color="888888"/>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1117"/>
        <w:gridCol w:w="5763"/>
        <w:gridCol w:w="2475"/>
      </w:tblGrid>
      <w:tr w:rsidR="005C5691" w:rsidRPr="005C5691" w14:paraId="64F8BDCF" w14:textId="77777777">
        <w:trPr>
          <w:tblHeader/>
        </w:trPr>
        <w:tc>
          <w:tcPr>
            <w:tcW w:w="1150" w:type="dxa"/>
            <w:tcBorders>
              <w:top w:val="single" w:sz="4" w:space="0" w:color="888888"/>
              <w:left w:val="single" w:sz="4" w:space="0" w:color="888888"/>
              <w:bottom w:val="single" w:sz="4" w:space="0" w:color="BBBBBB"/>
              <w:right w:val="single" w:sz="4" w:space="0" w:color="BBBBBB"/>
            </w:tcBorders>
            <w:shd w:val="clear" w:color="auto" w:fill="E8E8E8"/>
            <w:tcMar>
              <w:top w:w="60" w:type="dxa"/>
              <w:left w:w="100" w:type="dxa"/>
              <w:bottom w:w="60" w:type="dxa"/>
              <w:right w:w="100" w:type="dxa"/>
            </w:tcMar>
            <w:hideMark/>
          </w:tcPr>
          <w:p w14:paraId="43E27760" w14:textId="77777777" w:rsidR="005C5691" w:rsidRPr="005C5691" w:rsidRDefault="005C5691" w:rsidP="00AC706A">
            <w:pPr>
              <w:spacing w:after="140" w:line="276" w:lineRule="auto"/>
            </w:pPr>
            <w:r w:rsidRPr="005C5691">
              <w:rPr>
                <w:b/>
                <w:bCs/>
              </w:rPr>
              <w:t>Woche</w:t>
            </w:r>
          </w:p>
        </w:tc>
        <w:tc>
          <w:tcPr>
            <w:tcW w:w="6300" w:type="dxa"/>
            <w:tcBorders>
              <w:top w:val="single" w:sz="4" w:space="0" w:color="888888"/>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hideMark/>
          </w:tcPr>
          <w:p w14:paraId="620A7DB5" w14:textId="77777777" w:rsidR="005C5691" w:rsidRPr="005C5691" w:rsidRDefault="005C5691" w:rsidP="00AC706A">
            <w:pPr>
              <w:spacing w:after="140" w:line="276" w:lineRule="auto"/>
            </w:pPr>
            <w:r w:rsidRPr="005C5691">
              <w:rPr>
                <w:b/>
                <w:bCs/>
              </w:rPr>
              <w:t>Arbeitspaket</w:t>
            </w:r>
          </w:p>
        </w:tc>
        <w:tc>
          <w:tcPr>
            <w:tcW w:w="1905" w:type="dxa"/>
            <w:tcBorders>
              <w:top w:val="single" w:sz="4" w:space="0" w:color="888888"/>
              <w:left w:val="single" w:sz="4" w:space="0" w:color="BBBBBB"/>
              <w:bottom w:val="single" w:sz="4" w:space="0" w:color="BBBBBB"/>
              <w:right w:val="single" w:sz="4" w:space="0" w:color="888888"/>
            </w:tcBorders>
            <w:shd w:val="clear" w:color="auto" w:fill="E8E8E8"/>
            <w:tcMar>
              <w:top w:w="60" w:type="dxa"/>
              <w:left w:w="100" w:type="dxa"/>
              <w:bottom w:w="60" w:type="dxa"/>
              <w:right w:w="100" w:type="dxa"/>
            </w:tcMar>
            <w:hideMark/>
          </w:tcPr>
          <w:p w14:paraId="47856ECE" w14:textId="77777777" w:rsidR="005C5691" w:rsidRPr="005C5691" w:rsidRDefault="005C5691" w:rsidP="00AC706A">
            <w:pPr>
              <w:spacing w:after="140" w:line="276" w:lineRule="auto"/>
            </w:pPr>
            <w:r w:rsidRPr="005C5691">
              <w:rPr>
                <w:b/>
                <w:bCs/>
              </w:rPr>
              <w:t>Meilenstein</w:t>
            </w:r>
          </w:p>
        </w:tc>
      </w:tr>
      <w:tr w:rsidR="005C5691" w:rsidRPr="005C5691" w14:paraId="3CAC75A0" w14:textId="77777777">
        <w:tc>
          <w:tcPr>
            <w:tcW w:w="1150" w:type="dxa"/>
            <w:tcBorders>
              <w:top w:val="single" w:sz="4" w:space="0" w:color="BBBBBB"/>
              <w:left w:val="single" w:sz="4" w:space="0" w:color="888888"/>
              <w:bottom w:val="single" w:sz="4" w:space="0" w:color="BBBBBB"/>
              <w:right w:val="single" w:sz="4" w:space="0" w:color="BBBBBB"/>
            </w:tcBorders>
            <w:tcMar>
              <w:top w:w="60" w:type="dxa"/>
              <w:left w:w="100" w:type="dxa"/>
              <w:bottom w:w="60" w:type="dxa"/>
              <w:right w:w="100" w:type="dxa"/>
            </w:tcMar>
            <w:hideMark/>
          </w:tcPr>
          <w:p w14:paraId="35969A66" w14:textId="77777777" w:rsidR="005C5691" w:rsidRPr="005C5691" w:rsidRDefault="005C5691" w:rsidP="00AC706A">
            <w:pPr>
              <w:spacing w:after="140" w:line="276" w:lineRule="auto"/>
              <w:jc w:val="left"/>
            </w:pPr>
            <w:r w:rsidRPr="005C5691">
              <w:rPr>
                <w:b/>
                <w:bCs/>
              </w:rPr>
              <w:t>1–3</w:t>
            </w:r>
          </w:p>
        </w:tc>
        <w:tc>
          <w:tcPr>
            <w:tcW w:w="6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hideMark/>
          </w:tcPr>
          <w:p w14:paraId="6DADF99E" w14:textId="463C61F1" w:rsidR="005C5691" w:rsidRPr="005C5691" w:rsidRDefault="00426611" w:rsidP="00AC706A">
            <w:pPr>
              <w:spacing w:after="140" w:line="276" w:lineRule="auto"/>
              <w:jc w:val="left"/>
            </w:pPr>
            <w:r>
              <w:t>Einleitung, Grundlagen:</w:t>
            </w:r>
            <w:r>
              <w:br/>
            </w:r>
            <w:r w:rsidR="00AF09E1" w:rsidRPr="00AF09E1">
              <w:t>Quellen- und Wissensmatrix finalisieren, unvollständige Literaturangaben vervollständigen und ergänzen</w:t>
            </w:r>
            <w:r>
              <w:t xml:space="preserve">, Stand der Technik erfassen. </w:t>
            </w:r>
          </w:p>
        </w:tc>
        <w:tc>
          <w:tcPr>
            <w:tcW w:w="1905" w:type="dxa"/>
            <w:tcBorders>
              <w:top w:val="single" w:sz="4" w:space="0" w:color="BBBBBB"/>
              <w:left w:val="single" w:sz="4" w:space="0" w:color="BBBBBB"/>
              <w:bottom w:val="single" w:sz="4" w:space="0" w:color="BBBBBB"/>
              <w:right w:val="single" w:sz="4" w:space="0" w:color="888888"/>
            </w:tcBorders>
            <w:tcMar>
              <w:top w:w="60" w:type="dxa"/>
              <w:left w:w="100" w:type="dxa"/>
              <w:bottom w:w="60" w:type="dxa"/>
              <w:right w:w="100" w:type="dxa"/>
            </w:tcMar>
            <w:hideMark/>
          </w:tcPr>
          <w:p w14:paraId="464E15F0" w14:textId="58303B9A" w:rsidR="005C5691" w:rsidRPr="005C5691" w:rsidRDefault="005C5691" w:rsidP="00AC706A">
            <w:pPr>
              <w:spacing w:after="140" w:line="276" w:lineRule="auto"/>
              <w:jc w:val="left"/>
            </w:pPr>
            <w:r w:rsidRPr="005C5691">
              <w:t xml:space="preserve">Kapitel 2 und 3 </w:t>
            </w:r>
          </w:p>
        </w:tc>
      </w:tr>
      <w:tr w:rsidR="005C5691" w:rsidRPr="005C5691" w14:paraId="35869920" w14:textId="77777777">
        <w:tc>
          <w:tcPr>
            <w:tcW w:w="1150" w:type="dxa"/>
            <w:tcBorders>
              <w:top w:val="single" w:sz="4" w:space="0" w:color="BBBBBB"/>
              <w:left w:val="single" w:sz="4" w:space="0" w:color="888888"/>
              <w:bottom w:val="single" w:sz="4" w:space="0" w:color="BBBBBB"/>
              <w:right w:val="single" w:sz="4" w:space="0" w:color="BBBBBB"/>
            </w:tcBorders>
            <w:tcMar>
              <w:top w:w="60" w:type="dxa"/>
              <w:left w:w="100" w:type="dxa"/>
              <w:bottom w:w="60" w:type="dxa"/>
              <w:right w:w="100" w:type="dxa"/>
            </w:tcMar>
            <w:hideMark/>
          </w:tcPr>
          <w:p w14:paraId="3F294202" w14:textId="77777777" w:rsidR="005C5691" w:rsidRPr="005C5691" w:rsidRDefault="005C5691" w:rsidP="00AC706A">
            <w:pPr>
              <w:spacing w:after="140" w:line="276" w:lineRule="auto"/>
              <w:jc w:val="left"/>
            </w:pPr>
            <w:r w:rsidRPr="005C5691">
              <w:rPr>
                <w:b/>
                <w:bCs/>
              </w:rPr>
              <w:t>3–5</w:t>
            </w:r>
          </w:p>
        </w:tc>
        <w:tc>
          <w:tcPr>
            <w:tcW w:w="6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hideMark/>
          </w:tcPr>
          <w:p w14:paraId="2CD61A20" w14:textId="15A8F40C" w:rsidR="005C5691" w:rsidRPr="005C5691" w:rsidRDefault="00426611" w:rsidP="00AC706A">
            <w:pPr>
              <w:spacing w:after="140" w:line="276" w:lineRule="auto"/>
              <w:jc w:val="left"/>
            </w:pPr>
            <w:r>
              <w:t>Methodik:</w:t>
            </w:r>
            <w:r>
              <w:br/>
            </w:r>
            <w:r w:rsidR="005C5691" w:rsidRPr="005C5691">
              <w:t>Systemabgrenzung und Referenzbedingungen festlegen; Rechenmodell aufsetzen und gegen Literaturwerte validieren</w:t>
            </w:r>
          </w:p>
        </w:tc>
        <w:tc>
          <w:tcPr>
            <w:tcW w:w="1905" w:type="dxa"/>
            <w:tcBorders>
              <w:top w:val="single" w:sz="4" w:space="0" w:color="BBBBBB"/>
              <w:left w:val="single" w:sz="4" w:space="0" w:color="BBBBBB"/>
              <w:bottom w:val="single" w:sz="4" w:space="0" w:color="BBBBBB"/>
              <w:right w:val="single" w:sz="4" w:space="0" w:color="888888"/>
            </w:tcBorders>
            <w:tcMar>
              <w:top w:w="60" w:type="dxa"/>
              <w:left w:w="100" w:type="dxa"/>
              <w:bottom w:w="60" w:type="dxa"/>
              <w:right w:w="100" w:type="dxa"/>
            </w:tcMar>
            <w:hideMark/>
          </w:tcPr>
          <w:p w14:paraId="2CB4F779" w14:textId="2A32DBA6" w:rsidR="005C5691" w:rsidRPr="005C5691" w:rsidRDefault="005C5691" w:rsidP="00AC706A">
            <w:pPr>
              <w:spacing w:after="140" w:line="276" w:lineRule="auto"/>
              <w:jc w:val="left"/>
            </w:pPr>
            <w:r w:rsidRPr="005C5691">
              <w:t>Validiertes Rechenmodell</w:t>
            </w:r>
            <w:r w:rsidR="00F12AFF">
              <w:br/>
              <w:t>(Kapitel 4)</w:t>
            </w:r>
          </w:p>
        </w:tc>
      </w:tr>
      <w:tr w:rsidR="005C5691" w:rsidRPr="005C5691" w14:paraId="258E7920" w14:textId="77777777">
        <w:tc>
          <w:tcPr>
            <w:tcW w:w="1150" w:type="dxa"/>
            <w:tcBorders>
              <w:top w:val="single" w:sz="4" w:space="0" w:color="BBBBBB"/>
              <w:left w:val="single" w:sz="4" w:space="0" w:color="888888"/>
              <w:bottom w:val="single" w:sz="4" w:space="0" w:color="BBBBBB"/>
              <w:right w:val="single" w:sz="4" w:space="0" w:color="BBBBBB"/>
            </w:tcBorders>
            <w:tcMar>
              <w:top w:w="60" w:type="dxa"/>
              <w:left w:w="100" w:type="dxa"/>
              <w:bottom w:w="60" w:type="dxa"/>
              <w:right w:w="100" w:type="dxa"/>
            </w:tcMar>
            <w:hideMark/>
          </w:tcPr>
          <w:p w14:paraId="07AD34FF" w14:textId="77777777" w:rsidR="005C5691" w:rsidRPr="005C5691" w:rsidRDefault="005C5691" w:rsidP="00AC706A">
            <w:pPr>
              <w:spacing w:after="140" w:line="276" w:lineRule="auto"/>
              <w:jc w:val="left"/>
            </w:pPr>
            <w:r w:rsidRPr="005C5691">
              <w:rPr>
                <w:b/>
                <w:bCs/>
              </w:rPr>
              <w:t>5–8</w:t>
            </w:r>
          </w:p>
        </w:tc>
        <w:tc>
          <w:tcPr>
            <w:tcW w:w="6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hideMark/>
          </w:tcPr>
          <w:p w14:paraId="1AD6E258" w14:textId="09ACCE24" w:rsidR="005C5691" w:rsidRPr="005C5691" w:rsidRDefault="00426611" w:rsidP="00AC706A">
            <w:pPr>
              <w:spacing w:after="140" w:line="276" w:lineRule="auto"/>
              <w:jc w:val="left"/>
            </w:pPr>
            <w:r>
              <w:t>Hauptteil:</w:t>
            </w:r>
            <w:r>
              <w:br/>
              <w:t>Einspeicherung: Zustandsberechnung entlang der zu untersuchenden Szenarien</w:t>
            </w:r>
          </w:p>
        </w:tc>
        <w:tc>
          <w:tcPr>
            <w:tcW w:w="1905" w:type="dxa"/>
            <w:tcBorders>
              <w:top w:val="single" w:sz="4" w:space="0" w:color="BBBBBB"/>
              <w:left w:val="single" w:sz="4" w:space="0" w:color="BBBBBB"/>
              <w:bottom w:val="single" w:sz="4" w:space="0" w:color="BBBBBB"/>
              <w:right w:val="single" w:sz="4" w:space="0" w:color="888888"/>
            </w:tcBorders>
            <w:tcMar>
              <w:top w:w="60" w:type="dxa"/>
              <w:left w:w="100" w:type="dxa"/>
              <w:bottom w:w="60" w:type="dxa"/>
              <w:right w:w="100" w:type="dxa"/>
            </w:tcMar>
            <w:hideMark/>
          </w:tcPr>
          <w:p w14:paraId="40B61D4A" w14:textId="132B3B07" w:rsidR="005C5691" w:rsidRPr="005C5691" w:rsidRDefault="00F50CE8" w:rsidP="00AC706A">
            <w:pPr>
              <w:spacing w:after="140" w:line="276" w:lineRule="auto"/>
              <w:jc w:val="left"/>
            </w:pPr>
            <w:r w:rsidRPr="00F50CE8">
              <w:t xml:space="preserve">Zustandspunkte je Prozessschritt </w:t>
            </w:r>
            <w:r>
              <w:br/>
            </w:r>
            <w:r w:rsidRPr="00F50CE8">
              <w:t>(Kap. 5.1–5.3)</w:t>
            </w:r>
          </w:p>
        </w:tc>
      </w:tr>
      <w:tr w:rsidR="005C5691" w:rsidRPr="005C5691" w14:paraId="533862C8" w14:textId="77777777">
        <w:tc>
          <w:tcPr>
            <w:tcW w:w="1150" w:type="dxa"/>
            <w:tcBorders>
              <w:top w:val="single" w:sz="4" w:space="0" w:color="BBBBBB"/>
              <w:left w:val="single" w:sz="4" w:space="0" w:color="888888"/>
              <w:bottom w:val="single" w:sz="4" w:space="0" w:color="BBBBBB"/>
              <w:right w:val="single" w:sz="4" w:space="0" w:color="BBBBBB"/>
            </w:tcBorders>
            <w:tcMar>
              <w:top w:w="60" w:type="dxa"/>
              <w:left w:w="100" w:type="dxa"/>
              <w:bottom w:w="60" w:type="dxa"/>
              <w:right w:w="100" w:type="dxa"/>
            </w:tcMar>
            <w:hideMark/>
          </w:tcPr>
          <w:p w14:paraId="65C980E9" w14:textId="3E153934" w:rsidR="005C5691" w:rsidRPr="005C5691" w:rsidRDefault="005C5691" w:rsidP="00AC706A">
            <w:pPr>
              <w:spacing w:after="140" w:line="276" w:lineRule="auto"/>
              <w:jc w:val="left"/>
            </w:pPr>
            <w:r w:rsidRPr="005C5691">
              <w:rPr>
                <w:b/>
                <w:bCs/>
              </w:rPr>
              <w:t>8–1</w:t>
            </w:r>
            <w:r w:rsidR="003F2B3D">
              <w:rPr>
                <w:b/>
                <w:bCs/>
              </w:rPr>
              <w:t>0</w:t>
            </w:r>
          </w:p>
        </w:tc>
        <w:tc>
          <w:tcPr>
            <w:tcW w:w="6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hideMark/>
          </w:tcPr>
          <w:p w14:paraId="7E636500" w14:textId="426569DE" w:rsidR="005C5691" w:rsidRPr="005C5691" w:rsidRDefault="00426611" w:rsidP="00AC706A">
            <w:pPr>
              <w:spacing w:after="140" w:line="276" w:lineRule="auto"/>
              <w:jc w:val="left"/>
            </w:pPr>
            <w:r>
              <w:t>Hauptteil:</w:t>
            </w:r>
            <w:r>
              <w:br/>
            </w:r>
            <w:r w:rsidR="0050669B" w:rsidRPr="0050669B">
              <w:t>Kavernenbetrieb: Gassäule, zyklischer Betrieb und Rückwirkung auf die Anlagenauslegung</w:t>
            </w:r>
          </w:p>
        </w:tc>
        <w:tc>
          <w:tcPr>
            <w:tcW w:w="1905" w:type="dxa"/>
            <w:tcBorders>
              <w:top w:val="single" w:sz="4" w:space="0" w:color="BBBBBB"/>
              <w:left w:val="single" w:sz="4" w:space="0" w:color="BBBBBB"/>
              <w:bottom w:val="single" w:sz="4" w:space="0" w:color="BBBBBB"/>
              <w:right w:val="single" w:sz="4" w:space="0" w:color="888888"/>
            </w:tcBorders>
            <w:tcMar>
              <w:top w:w="60" w:type="dxa"/>
              <w:left w:w="100" w:type="dxa"/>
              <w:bottom w:w="60" w:type="dxa"/>
              <w:right w:w="100" w:type="dxa"/>
            </w:tcMar>
            <w:hideMark/>
          </w:tcPr>
          <w:p w14:paraId="4626A297" w14:textId="59EE61C6" w:rsidR="005C5691" w:rsidRPr="005C5691" w:rsidRDefault="0050669B" w:rsidP="00AC706A">
            <w:pPr>
              <w:spacing w:after="140" w:line="276" w:lineRule="auto"/>
              <w:jc w:val="left"/>
            </w:pPr>
            <w:r w:rsidRPr="00F50CE8">
              <w:t>Kavernenbetrieb ausgewertet (Kap. 5.4)</w:t>
            </w:r>
          </w:p>
        </w:tc>
      </w:tr>
      <w:tr w:rsidR="005C5691" w:rsidRPr="005C5691" w14:paraId="38C33B64" w14:textId="77777777">
        <w:tc>
          <w:tcPr>
            <w:tcW w:w="1150" w:type="dxa"/>
            <w:tcBorders>
              <w:top w:val="single" w:sz="4" w:space="0" w:color="BBBBBB"/>
              <w:left w:val="single" w:sz="4" w:space="0" w:color="888888"/>
              <w:bottom w:val="single" w:sz="4" w:space="0" w:color="BBBBBB"/>
              <w:right w:val="single" w:sz="4" w:space="0" w:color="BBBBBB"/>
            </w:tcBorders>
            <w:tcMar>
              <w:top w:w="60" w:type="dxa"/>
              <w:left w:w="100" w:type="dxa"/>
              <w:bottom w:w="60" w:type="dxa"/>
              <w:right w:w="100" w:type="dxa"/>
            </w:tcMar>
            <w:hideMark/>
          </w:tcPr>
          <w:p w14:paraId="35326A06" w14:textId="1446060C" w:rsidR="005C5691" w:rsidRPr="003F2B3D" w:rsidRDefault="003F2B3D" w:rsidP="00AC706A">
            <w:pPr>
              <w:spacing w:after="140" w:line="276" w:lineRule="auto"/>
              <w:jc w:val="left"/>
              <w:rPr>
                <w:b/>
                <w:bCs/>
              </w:rPr>
            </w:pPr>
            <w:r w:rsidRPr="003F2B3D">
              <w:rPr>
                <w:b/>
                <w:bCs/>
              </w:rPr>
              <w:t>10–12</w:t>
            </w:r>
          </w:p>
        </w:tc>
        <w:tc>
          <w:tcPr>
            <w:tcW w:w="6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hideMark/>
          </w:tcPr>
          <w:p w14:paraId="6A1A3A13" w14:textId="3997B73B" w:rsidR="005C5691" w:rsidRPr="005C5691" w:rsidRDefault="00426611" w:rsidP="00AC706A">
            <w:pPr>
              <w:spacing w:after="140" w:line="276" w:lineRule="auto"/>
              <w:jc w:val="left"/>
            </w:pPr>
            <w:r>
              <w:t>Hauptteil:</w:t>
            </w:r>
            <w:r>
              <w:br/>
            </w:r>
            <w:r w:rsidR="001E14D2" w:rsidRPr="001E14D2">
              <w:t>Ausspeicherung: Druckreduzierung und Vorwärmung; Komponentenauswahl und Auslegung, Rückmeldungen der Hersteller einarbeiten</w:t>
            </w:r>
          </w:p>
        </w:tc>
        <w:tc>
          <w:tcPr>
            <w:tcW w:w="1905" w:type="dxa"/>
            <w:tcBorders>
              <w:top w:val="single" w:sz="4" w:space="0" w:color="BBBBBB"/>
              <w:left w:val="single" w:sz="4" w:space="0" w:color="BBBBBB"/>
              <w:bottom w:val="single" w:sz="4" w:space="0" w:color="BBBBBB"/>
              <w:right w:val="single" w:sz="4" w:space="0" w:color="888888"/>
            </w:tcBorders>
            <w:tcMar>
              <w:top w:w="60" w:type="dxa"/>
              <w:left w:w="100" w:type="dxa"/>
              <w:bottom w:w="60" w:type="dxa"/>
              <w:right w:w="100" w:type="dxa"/>
            </w:tcMar>
            <w:hideMark/>
          </w:tcPr>
          <w:p w14:paraId="0B32D933" w14:textId="5B25E788" w:rsidR="005C5691" w:rsidRPr="005C5691" w:rsidRDefault="00F12AFF" w:rsidP="00AC706A">
            <w:pPr>
              <w:spacing w:after="140" w:line="276" w:lineRule="auto"/>
              <w:jc w:val="left"/>
            </w:pPr>
            <w:r w:rsidRPr="00F12AFF">
              <w:t>Komponentenliste mit Auslegungsparametern (Kap. 5.5, 5.6)</w:t>
            </w:r>
          </w:p>
        </w:tc>
      </w:tr>
      <w:tr w:rsidR="005C5691" w:rsidRPr="005C5691" w14:paraId="3008FA5D" w14:textId="77777777">
        <w:tc>
          <w:tcPr>
            <w:tcW w:w="1150" w:type="dxa"/>
            <w:tcBorders>
              <w:top w:val="single" w:sz="4" w:space="0" w:color="BBBBBB"/>
              <w:left w:val="single" w:sz="4" w:space="0" w:color="888888"/>
              <w:bottom w:val="single" w:sz="4" w:space="0" w:color="BBBBBB"/>
              <w:right w:val="single" w:sz="4" w:space="0" w:color="BBBBBB"/>
            </w:tcBorders>
            <w:tcMar>
              <w:top w:w="60" w:type="dxa"/>
              <w:left w:w="100" w:type="dxa"/>
              <w:bottom w:w="60" w:type="dxa"/>
              <w:right w:w="100" w:type="dxa"/>
            </w:tcMar>
            <w:hideMark/>
          </w:tcPr>
          <w:p w14:paraId="34CA3835" w14:textId="14A6732F" w:rsidR="005C5691" w:rsidRPr="00426611" w:rsidRDefault="005C5691" w:rsidP="00AC706A">
            <w:pPr>
              <w:spacing w:after="140" w:line="276" w:lineRule="auto"/>
              <w:jc w:val="left"/>
            </w:pPr>
            <w:r w:rsidRPr="00426611">
              <w:rPr>
                <w:b/>
                <w:bCs/>
              </w:rPr>
              <w:t>1</w:t>
            </w:r>
            <w:r w:rsidR="00426611">
              <w:rPr>
                <w:b/>
                <w:bCs/>
              </w:rPr>
              <w:t>2</w:t>
            </w:r>
            <w:r w:rsidRPr="00426611">
              <w:rPr>
                <w:b/>
                <w:bCs/>
              </w:rPr>
              <w:t>–1</w:t>
            </w:r>
            <w:r w:rsidR="00426611">
              <w:rPr>
                <w:b/>
                <w:bCs/>
              </w:rPr>
              <w:t>4</w:t>
            </w:r>
          </w:p>
        </w:tc>
        <w:tc>
          <w:tcPr>
            <w:tcW w:w="6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hideMark/>
          </w:tcPr>
          <w:p w14:paraId="4CDB0AAA" w14:textId="0D1B9490" w:rsidR="005C5691" w:rsidRPr="00426611" w:rsidRDefault="00F84FC2" w:rsidP="00AC706A">
            <w:pPr>
              <w:spacing w:after="140" w:line="276" w:lineRule="auto"/>
              <w:jc w:val="left"/>
            </w:pPr>
            <w:r w:rsidRPr="00F84FC2">
              <w:t>Vergleich mit der Erdgas- und Wasserstoffspeicherung</w:t>
            </w:r>
          </w:p>
        </w:tc>
        <w:tc>
          <w:tcPr>
            <w:tcW w:w="1905" w:type="dxa"/>
            <w:tcBorders>
              <w:top w:val="single" w:sz="4" w:space="0" w:color="BBBBBB"/>
              <w:left w:val="single" w:sz="4" w:space="0" w:color="BBBBBB"/>
              <w:bottom w:val="single" w:sz="4" w:space="0" w:color="BBBBBB"/>
              <w:right w:val="single" w:sz="4" w:space="0" w:color="888888"/>
            </w:tcBorders>
            <w:tcMar>
              <w:top w:w="60" w:type="dxa"/>
              <w:left w:w="100" w:type="dxa"/>
              <w:bottom w:w="60" w:type="dxa"/>
              <w:right w:w="100" w:type="dxa"/>
            </w:tcMar>
            <w:hideMark/>
          </w:tcPr>
          <w:p w14:paraId="0A350B8E" w14:textId="6BE44294" w:rsidR="005C5691" w:rsidRPr="00426611" w:rsidRDefault="005C5691" w:rsidP="00AC706A">
            <w:pPr>
              <w:spacing w:after="140" w:line="276" w:lineRule="auto"/>
              <w:jc w:val="left"/>
            </w:pPr>
            <w:r w:rsidRPr="00426611">
              <w:t xml:space="preserve">Kapitel </w:t>
            </w:r>
            <w:r w:rsidR="00F84FC2">
              <w:t>6</w:t>
            </w:r>
          </w:p>
        </w:tc>
      </w:tr>
      <w:tr w:rsidR="005C5691" w:rsidRPr="005C5691" w14:paraId="58C8433C" w14:textId="77777777">
        <w:tc>
          <w:tcPr>
            <w:tcW w:w="1150" w:type="dxa"/>
            <w:tcBorders>
              <w:top w:val="single" w:sz="4" w:space="0" w:color="BBBBBB"/>
              <w:left w:val="single" w:sz="4" w:space="0" w:color="888888"/>
              <w:bottom w:val="single" w:sz="4" w:space="0" w:color="BBBBBB"/>
              <w:right w:val="single" w:sz="4" w:space="0" w:color="BBBBBB"/>
            </w:tcBorders>
            <w:tcMar>
              <w:top w:w="60" w:type="dxa"/>
              <w:left w:w="100" w:type="dxa"/>
              <w:bottom w:w="60" w:type="dxa"/>
              <w:right w:w="100" w:type="dxa"/>
            </w:tcMar>
            <w:hideMark/>
          </w:tcPr>
          <w:p w14:paraId="637988F7" w14:textId="33F6D615" w:rsidR="005C5691" w:rsidRPr="005C5691" w:rsidRDefault="005C5691" w:rsidP="00AC706A">
            <w:pPr>
              <w:spacing w:after="140" w:line="276" w:lineRule="auto"/>
              <w:jc w:val="left"/>
            </w:pPr>
            <w:r w:rsidRPr="005C5691">
              <w:rPr>
                <w:b/>
                <w:bCs/>
              </w:rPr>
              <w:t>1</w:t>
            </w:r>
            <w:r w:rsidR="00F84FC2">
              <w:rPr>
                <w:b/>
                <w:bCs/>
              </w:rPr>
              <w:t>4</w:t>
            </w:r>
            <w:r w:rsidRPr="005C5691">
              <w:rPr>
                <w:b/>
                <w:bCs/>
              </w:rPr>
              <w:t>–1</w:t>
            </w:r>
            <w:r w:rsidR="00F84FC2">
              <w:rPr>
                <w:b/>
                <w:bCs/>
              </w:rPr>
              <w:t>6</w:t>
            </w:r>
          </w:p>
        </w:tc>
        <w:tc>
          <w:tcPr>
            <w:tcW w:w="6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hideMark/>
          </w:tcPr>
          <w:p w14:paraId="48885B00" w14:textId="77777777" w:rsidR="005C5691" w:rsidRPr="005C5691" w:rsidRDefault="005C5691" w:rsidP="00AC706A">
            <w:pPr>
              <w:spacing w:after="140" w:line="276" w:lineRule="auto"/>
              <w:jc w:val="left"/>
            </w:pPr>
            <w:r w:rsidRPr="005C5691">
              <w:t>Diskussion, Fazit und Ausblick; Gesamtkonzept zusammenführen</w:t>
            </w:r>
          </w:p>
        </w:tc>
        <w:tc>
          <w:tcPr>
            <w:tcW w:w="1905" w:type="dxa"/>
            <w:tcBorders>
              <w:top w:val="single" w:sz="4" w:space="0" w:color="BBBBBB"/>
              <w:left w:val="single" w:sz="4" w:space="0" w:color="BBBBBB"/>
              <w:bottom w:val="single" w:sz="4" w:space="0" w:color="BBBBBB"/>
              <w:right w:val="single" w:sz="4" w:space="0" w:color="888888"/>
            </w:tcBorders>
            <w:tcMar>
              <w:top w:w="60" w:type="dxa"/>
              <w:left w:w="100" w:type="dxa"/>
              <w:bottom w:w="60" w:type="dxa"/>
              <w:right w:w="100" w:type="dxa"/>
            </w:tcMar>
            <w:hideMark/>
          </w:tcPr>
          <w:p w14:paraId="3217DEBA" w14:textId="61B1F262" w:rsidR="005C5691" w:rsidRPr="005C5691" w:rsidRDefault="00F84FC2" w:rsidP="00AC706A">
            <w:pPr>
              <w:spacing w:after="140" w:line="276" w:lineRule="auto"/>
              <w:jc w:val="left"/>
            </w:pPr>
            <w:r>
              <w:t>Kapitel 7, 8 und 9</w:t>
            </w:r>
          </w:p>
        </w:tc>
      </w:tr>
      <w:tr w:rsidR="005C5691" w:rsidRPr="005C5691" w14:paraId="77B11FAD" w14:textId="77777777">
        <w:tc>
          <w:tcPr>
            <w:tcW w:w="1150" w:type="dxa"/>
            <w:tcBorders>
              <w:top w:val="single" w:sz="4" w:space="0" w:color="BBBBBB"/>
              <w:left w:val="single" w:sz="4" w:space="0" w:color="888888"/>
              <w:bottom w:val="single" w:sz="4" w:space="0" w:color="888888"/>
              <w:right w:val="single" w:sz="4" w:space="0" w:color="BBBBBB"/>
            </w:tcBorders>
            <w:tcMar>
              <w:top w:w="60" w:type="dxa"/>
              <w:left w:w="100" w:type="dxa"/>
              <w:bottom w:w="60" w:type="dxa"/>
              <w:right w:w="100" w:type="dxa"/>
            </w:tcMar>
            <w:hideMark/>
          </w:tcPr>
          <w:p w14:paraId="15C84172" w14:textId="03982936" w:rsidR="005C5691" w:rsidRPr="005C5691" w:rsidRDefault="005C5691" w:rsidP="00AC706A">
            <w:pPr>
              <w:spacing w:after="140" w:line="276" w:lineRule="auto"/>
              <w:jc w:val="left"/>
            </w:pPr>
            <w:r w:rsidRPr="005C5691">
              <w:rPr>
                <w:b/>
                <w:bCs/>
              </w:rPr>
              <w:t>1</w:t>
            </w:r>
            <w:r w:rsidR="00501675">
              <w:rPr>
                <w:b/>
                <w:bCs/>
              </w:rPr>
              <w:t>6</w:t>
            </w:r>
            <w:r w:rsidRPr="005C5691">
              <w:rPr>
                <w:b/>
                <w:bCs/>
              </w:rPr>
              <w:t>–19</w:t>
            </w:r>
          </w:p>
        </w:tc>
        <w:tc>
          <w:tcPr>
            <w:tcW w:w="6300" w:type="dxa"/>
            <w:tcBorders>
              <w:top w:val="single" w:sz="4" w:space="0" w:color="BBBBBB"/>
              <w:left w:val="single" w:sz="4" w:space="0" w:color="BBBBBB"/>
              <w:bottom w:val="single" w:sz="4" w:space="0" w:color="888888"/>
              <w:right w:val="single" w:sz="4" w:space="0" w:color="BBBBBB"/>
            </w:tcBorders>
            <w:tcMar>
              <w:top w:w="60" w:type="dxa"/>
              <w:left w:w="100" w:type="dxa"/>
              <w:bottom w:w="60" w:type="dxa"/>
              <w:right w:w="100" w:type="dxa"/>
            </w:tcMar>
            <w:hideMark/>
          </w:tcPr>
          <w:p w14:paraId="3E83746D" w14:textId="77777777" w:rsidR="005C5691" w:rsidRPr="005C5691" w:rsidRDefault="005C5691" w:rsidP="00AC706A">
            <w:pPr>
              <w:spacing w:after="140" w:line="276" w:lineRule="auto"/>
              <w:jc w:val="left"/>
            </w:pPr>
            <w:r w:rsidRPr="005C5691">
              <w:t>Korrekturlesen, Formatierung, Abgabe; Vorbereitung des Kolloquiums</w:t>
            </w:r>
          </w:p>
        </w:tc>
        <w:tc>
          <w:tcPr>
            <w:tcW w:w="1905" w:type="dxa"/>
            <w:tcBorders>
              <w:top w:val="single" w:sz="4" w:space="0" w:color="BBBBBB"/>
              <w:left w:val="single" w:sz="4" w:space="0" w:color="BBBBBB"/>
              <w:bottom w:val="single" w:sz="4" w:space="0" w:color="888888"/>
              <w:right w:val="single" w:sz="4" w:space="0" w:color="888888"/>
            </w:tcBorders>
            <w:tcMar>
              <w:top w:w="60" w:type="dxa"/>
              <w:left w:w="100" w:type="dxa"/>
              <w:bottom w:w="60" w:type="dxa"/>
              <w:right w:w="100" w:type="dxa"/>
            </w:tcMar>
            <w:hideMark/>
          </w:tcPr>
          <w:p w14:paraId="54165469" w14:textId="77777777" w:rsidR="005C5691" w:rsidRPr="005C5691" w:rsidRDefault="005C5691" w:rsidP="00AC706A">
            <w:pPr>
              <w:spacing w:after="140" w:line="276" w:lineRule="auto"/>
              <w:jc w:val="left"/>
            </w:pPr>
            <w:r w:rsidRPr="005C5691">
              <w:t>Abgabe</w:t>
            </w:r>
          </w:p>
        </w:tc>
      </w:tr>
    </w:tbl>
    <w:p w14:paraId="4A88F256" w14:textId="77777777" w:rsidR="005C5691" w:rsidRPr="00E17485" w:rsidRDefault="005C5691" w:rsidP="00AC706A">
      <w:pPr>
        <w:spacing w:after="140" w:line="276" w:lineRule="auto"/>
      </w:pPr>
    </w:p>
    <w:p w14:paraId="08CF4D2A" w14:textId="3DB168B3" w:rsidR="009425F8" w:rsidRDefault="00F56203" w:rsidP="00B36C6C">
      <w:pPr>
        <w:spacing w:before="160" w:line="276" w:lineRule="auto"/>
        <w:rPr>
          <w:color w:val="C00000"/>
        </w:rPr>
      </w:pPr>
      <w:r>
        <w:t xml:space="preserve">Geplante Anmeldung: </w:t>
      </w:r>
      <w:r>
        <w:rPr>
          <w:color w:val="C00000"/>
        </w:rPr>
        <w:t>[Datum]</w:t>
      </w:r>
      <w:r>
        <w:t xml:space="preserve">    Geplante Abgabe: </w:t>
      </w:r>
      <w:r>
        <w:rPr>
          <w:color w:val="C00000"/>
        </w:rPr>
        <w:t>[Datum]</w:t>
      </w:r>
    </w:p>
    <w:p w14:paraId="424AF2D6" w14:textId="1686AAA5" w:rsidR="009425F8" w:rsidRPr="009425F8" w:rsidRDefault="009425F8" w:rsidP="00AC706A">
      <w:pPr>
        <w:spacing w:line="276" w:lineRule="auto"/>
      </w:pPr>
      <w:r w:rsidRPr="009425F8">
        <w:t xml:space="preserve">Hinweise </w:t>
      </w:r>
    </w:p>
    <w:p w14:paraId="567D6DD9" w14:textId="77777777" w:rsidR="007F64A3" w:rsidRDefault="009425F8" w:rsidP="00AC706A">
      <w:pPr>
        <w:pStyle w:val="Listenabsatz"/>
        <w:numPr>
          <w:ilvl w:val="0"/>
          <w:numId w:val="9"/>
        </w:numPr>
        <w:spacing w:line="276" w:lineRule="auto"/>
        <w:rPr>
          <w:i/>
          <w:iCs/>
        </w:rPr>
      </w:pPr>
      <w:r w:rsidRPr="007F64A3">
        <w:rPr>
          <w:i/>
          <w:iCs/>
        </w:rPr>
        <w:t>Sperrvermerk</w:t>
      </w:r>
      <w:r w:rsidR="00F84FC2" w:rsidRPr="007F64A3">
        <w:rPr>
          <w:i/>
          <w:iCs/>
        </w:rPr>
        <w:t>?</w:t>
      </w:r>
    </w:p>
    <w:p w14:paraId="16B89135" w14:textId="470EB405" w:rsidR="009425F8" w:rsidRDefault="009425F8" w:rsidP="00AC706A">
      <w:pPr>
        <w:pStyle w:val="Listenabsatz"/>
        <w:numPr>
          <w:ilvl w:val="0"/>
          <w:numId w:val="9"/>
        </w:numPr>
        <w:spacing w:line="276" w:lineRule="auto"/>
        <w:rPr>
          <w:i/>
          <w:iCs/>
        </w:rPr>
      </w:pPr>
      <w:r w:rsidRPr="007F64A3">
        <w:rPr>
          <w:i/>
          <w:iCs/>
        </w:rPr>
        <w:t xml:space="preserve">Reporting: </w:t>
      </w:r>
      <w:r w:rsidR="007F64A3">
        <w:rPr>
          <w:i/>
          <w:iCs/>
        </w:rPr>
        <w:t>Meilensteinpräsentationen, Zwischenstands Besprechungen</w:t>
      </w:r>
    </w:p>
    <w:p w14:paraId="6DD38111" w14:textId="77777777" w:rsidR="00D36E6E" w:rsidRDefault="007F64A3" w:rsidP="00AC706A">
      <w:pPr>
        <w:pStyle w:val="Listenabsatz"/>
        <w:numPr>
          <w:ilvl w:val="0"/>
          <w:numId w:val="9"/>
        </w:numPr>
        <w:spacing w:line="276" w:lineRule="auto"/>
        <w:rPr>
          <w:i/>
          <w:iCs/>
        </w:rPr>
      </w:pPr>
      <w:r>
        <w:rPr>
          <w:i/>
          <w:iCs/>
        </w:rPr>
        <w:t>Antrag für externe PrüferInnen</w:t>
      </w:r>
    </w:p>
    <w:p w14:paraId="3062E79C" w14:textId="1724AC25" w:rsidR="009425F8" w:rsidRPr="00D36E6E" w:rsidRDefault="00524016" w:rsidP="00AC706A">
      <w:pPr>
        <w:pStyle w:val="Listenabsatz"/>
        <w:numPr>
          <w:ilvl w:val="0"/>
          <w:numId w:val="9"/>
        </w:numPr>
        <w:spacing w:line="276" w:lineRule="auto"/>
        <w:rPr>
          <w:i/>
          <w:iCs/>
        </w:rPr>
      </w:pPr>
      <w:r w:rsidRPr="00D36E6E">
        <w:rPr>
          <w:i/>
          <w:iCs/>
        </w:rPr>
        <w:t>Kolloquium</w:t>
      </w:r>
      <w:r w:rsidR="000662D4" w:rsidRPr="00D36E6E">
        <w:rPr>
          <w:i/>
          <w:iCs/>
        </w:rPr>
        <w:t xml:space="preserve"> Ende Februar</w:t>
      </w:r>
      <w:r w:rsidR="00EB7807">
        <w:rPr>
          <w:i/>
          <w:iCs/>
        </w:rPr>
        <w:t>?</w:t>
      </w:r>
      <w:r w:rsidR="000662D4" w:rsidRPr="00D36E6E">
        <w:rPr>
          <w:i/>
          <w:iCs/>
        </w:rPr>
        <w:t xml:space="preserve"> – genaue Anmeldung und Abgabedatum absprechen</w:t>
      </w:r>
      <w:r w:rsidR="00785C35" w:rsidRPr="00D36E6E">
        <w:rPr>
          <w:color w:val="C00000"/>
        </w:rPr>
        <w:br w:type="page"/>
      </w:r>
    </w:p>
    <w:p w14:paraId="278F1FA8" w14:textId="77777777" w:rsidR="00552D94" w:rsidRPr="00B36C6C" w:rsidRDefault="00F56203" w:rsidP="00AC706A">
      <w:pPr>
        <w:pStyle w:val="berschrift1"/>
        <w:tabs>
          <w:tab w:val="left" w:pos="420"/>
        </w:tabs>
        <w:spacing w:before="320" w:after="160" w:line="276" w:lineRule="auto"/>
        <w:rPr>
          <w:b/>
          <w:bCs/>
          <w:color w:val="000000"/>
          <w:sz w:val="28"/>
          <w:szCs w:val="28"/>
        </w:rPr>
      </w:pPr>
      <w:r w:rsidRPr="00B36C6C">
        <w:rPr>
          <w:b/>
          <w:bCs/>
          <w:color w:val="000000"/>
          <w:sz w:val="28"/>
          <w:szCs w:val="28"/>
        </w:rPr>
        <w:lastRenderedPageBreak/>
        <w:t>6</w:t>
      </w:r>
      <w:r w:rsidRPr="00B36C6C">
        <w:rPr>
          <w:b/>
          <w:bCs/>
          <w:color w:val="000000"/>
          <w:sz w:val="28"/>
          <w:szCs w:val="28"/>
        </w:rPr>
        <w:tab/>
        <w:t>Grundlegende Literatur</w:t>
      </w:r>
    </w:p>
    <w:p w14:paraId="00342F55" w14:textId="77777777" w:rsidR="00997538" w:rsidRPr="00997538" w:rsidRDefault="00997538" w:rsidP="00AC706A">
      <w:pPr>
        <w:spacing w:line="276" w:lineRule="auto"/>
        <w:rPr>
          <w:i/>
          <w:iCs/>
          <w:color w:val="FF0000"/>
        </w:rPr>
      </w:pPr>
    </w:p>
    <w:p w14:paraId="3056694D" w14:textId="77777777" w:rsidR="007B27E3" w:rsidRDefault="00A4441C">
      <w:pPr>
        <w:spacing w:after="140" w:line="276" w:lineRule="auto"/>
      </w:pPr>
      <w:r>
        <w:rPr>
          <w:sz w:val="21"/>
          <w:szCs w:val="21"/>
        </w:rPr>
        <w:t xml:space="preserve">Nachfolgend </w:t>
      </w:r>
      <w:r w:rsidR="00D15515" w:rsidRPr="00D15515">
        <w:rPr>
          <w:sz w:val="21"/>
          <w:szCs w:val="21"/>
        </w:rPr>
        <w:t>sind die zentralen</w:t>
      </w:r>
      <w:r>
        <w:rPr>
          <w:sz w:val="21"/>
          <w:szCs w:val="21"/>
        </w:rPr>
        <w:t xml:space="preserve"> Quellen </w:t>
      </w:r>
      <w:r w:rsidR="00D15515" w:rsidRPr="00D15515">
        <w:rPr>
          <w:sz w:val="21"/>
          <w:szCs w:val="21"/>
        </w:rPr>
        <w:t>aufgeführt, auf die im Exposé bereits direkt Bezug genommen wird. Die vollständige</w:t>
      </w:r>
      <w:r>
        <w:rPr>
          <w:sz w:val="21"/>
          <w:szCs w:val="21"/>
        </w:rPr>
        <w:t xml:space="preserve"> Quellen- und Wissensmatrix</w:t>
      </w:r>
      <w:r w:rsidR="00D15515" w:rsidRPr="00D15515">
        <w:rPr>
          <w:sz w:val="21"/>
          <w:szCs w:val="21"/>
        </w:rPr>
        <w:t xml:space="preserve"> ist dem Anhang beigefügt.</w:t>
      </w:r>
    </w:p>
    <w:p w14:paraId="362AD5A4" w14:textId="77777777" w:rsidR="007B27E3" w:rsidRDefault="007A13DE">
      <w:pPr>
        <w:spacing w:after="100" w:line="276" w:lineRule="auto"/>
        <w:ind w:left="400" w:hanging="400"/>
      </w:pPr>
      <w:r w:rsidRPr="007A13DE">
        <w:rPr>
          <w:b/>
          <w:bCs/>
        </w:rPr>
        <w:t>[Q-001]</w:t>
      </w:r>
      <w:r w:rsidRPr="007A13DE">
        <w:t xml:space="preserve"> DVGW Deutscher Verein des Gas- und Wasserfaches e. V. (2024): </w:t>
      </w:r>
      <w:r w:rsidRPr="007A13DE">
        <w:rPr>
          <w:i/>
          <w:iCs/>
        </w:rPr>
        <w:t>DVGW C 260 (A) – Properties of Carbon Dioxide and Carbon Dioxide Streams.</w:t>
      </w:r>
      <w:r w:rsidRPr="007A13DE">
        <w:t xml:space="preserve"> Technische Regel / Code of Practice, Entwurf.</w:t>
      </w:r>
    </w:p>
    <w:p w14:paraId="0AE543CB" w14:textId="77777777" w:rsidR="007B27E3" w:rsidRDefault="00181106">
      <w:pPr>
        <w:spacing w:after="100" w:line="276" w:lineRule="auto"/>
        <w:ind w:left="400" w:hanging="400"/>
      </w:pPr>
      <w:r w:rsidRPr="00181106">
        <w:rPr>
          <w:b/>
          <w:bCs/>
        </w:rPr>
        <w:t>[Q-002]</w:t>
      </w:r>
      <w:r w:rsidRPr="00181106">
        <w:t xml:space="preserve"> DBI Gas- und Umwelttechnik GmbH; DVGW-Forschungsstelle am Engler-Bunte-Institut des KIT; Gas- und Wärme-Institut Essen e. V.; DVGW-Forschung</w:t>
      </w:r>
      <w:r w:rsidR="00A4441C">
        <w:t xml:space="preserve"> (2026): </w:t>
      </w:r>
      <w:r w:rsidR="00A4441C" w:rsidRPr="00181106">
        <w:rPr>
          <w:i/>
        </w:rPr>
        <w:t>CO</w:t>
      </w:r>
      <w:r w:rsidR="00A4441C">
        <w:rPr>
          <w:sz w:val="21"/>
          <w:szCs w:val="21"/>
        </w:rPr>
        <w:t>₂</w:t>
      </w:r>
      <w:r w:rsidR="00A4441C" w:rsidRPr="00181106">
        <w:rPr>
          <w:i/>
        </w:rPr>
        <w:t xml:space="preserve">-Management – Phase I: Grundlagenermittlung </w:t>
      </w:r>
      <w:r w:rsidRPr="00181106">
        <w:rPr>
          <w:i/>
          <w:iCs/>
        </w:rPr>
        <w:t xml:space="preserve">/ </w:t>
      </w:r>
      <w:r w:rsidR="00A4441C" w:rsidRPr="00181106">
        <w:rPr>
          <w:i/>
        </w:rPr>
        <w:t>CO</w:t>
      </w:r>
      <w:r w:rsidR="00A4441C">
        <w:rPr>
          <w:sz w:val="21"/>
          <w:szCs w:val="21"/>
        </w:rPr>
        <w:t>₂</w:t>
      </w:r>
      <w:r w:rsidR="00A4441C" w:rsidRPr="00181106">
        <w:rPr>
          <w:i/>
        </w:rPr>
        <w:t>START</w:t>
      </w:r>
      <w:r w:rsidRPr="00181106">
        <w:rPr>
          <w:i/>
          <w:iCs/>
        </w:rPr>
        <w:t>.</w:t>
      </w:r>
      <w:r w:rsidR="00A4441C" w:rsidRPr="00181106">
        <w:t xml:space="preserve"> DVGW-Forschungsbericht G 202434.</w:t>
      </w:r>
    </w:p>
    <w:p w14:paraId="2AFBACE0" w14:textId="77777777" w:rsidR="007B27E3" w:rsidRDefault="00FB10F9">
      <w:pPr>
        <w:spacing w:after="100" w:line="276" w:lineRule="auto"/>
        <w:ind w:left="400" w:hanging="400"/>
      </w:pPr>
      <w:r w:rsidRPr="00FB10F9">
        <w:rPr>
          <w:b/>
          <w:bCs/>
        </w:rPr>
        <w:t>[Q-003]</w:t>
      </w:r>
      <w:r w:rsidRPr="00FB10F9">
        <w:t xml:space="preserve"> IfG – Institut für Gebirgsmechanik GmbH; UGS Untergrundspeicher- und Geotechnologie-Systeme GmbH; CTU Prague u. a. (2022): </w:t>
      </w:r>
      <w:r w:rsidRPr="00FB10F9">
        <w:rPr>
          <w:i/>
          <w:iCs/>
        </w:rPr>
        <w:t>Energiespeicherung in Salzkavernen mit superkritischem CO</w:t>
      </w:r>
      <w:r w:rsidRPr="00FB10F9">
        <w:rPr>
          <w:rFonts w:ascii="Cambria Math" w:hAnsi="Cambria Math" w:cs="Cambria Math"/>
          <w:i/>
          <w:iCs/>
        </w:rPr>
        <w:t>₂</w:t>
      </w:r>
      <w:r w:rsidRPr="00FB10F9">
        <w:rPr>
          <w:i/>
          <w:iCs/>
        </w:rPr>
        <w:t xml:space="preserve"> – ESsCO</w:t>
      </w:r>
      <w:r w:rsidRPr="00FB10F9">
        <w:rPr>
          <w:rFonts w:ascii="Cambria Math" w:hAnsi="Cambria Math" w:cs="Cambria Math"/>
          <w:i/>
          <w:iCs/>
        </w:rPr>
        <w:t>₂</w:t>
      </w:r>
      <w:r w:rsidRPr="00FB10F9">
        <w:rPr>
          <w:i/>
          <w:iCs/>
        </w:rPr>
        <w:t>.</w:t>
      </w:r>
      <w:r w:rsidRPr="00FB10F9">
        <w:t xml:space="preserve"> Abschlussbericht, FKZ 03ET6154.</w:t>
      </w:r>
    </w:p>
    <w:p w14:paraId="55C17C67" w14:textId="77777777" w:rsidR="007B27E3" w:rsidRDefault="00F46457">
      <w:pPr>
        <w:spacing w:after="100" w:line="276" w:lineRule="auto"/>
        <w:ind w:left="400" w:hanging="400"/>
      </w:pPr>
      <w:r w:rsidRPr="00F46457">
        <w:rPr>
          <w:b/>
          <w:bCs/>
        </w:rPr>
        <w:t>[Q-012]</w:t>
      </w:r>
      <w:r w:rsidRPr="00F46457">
        <w:t xml:space="preserve"> DBI Gas- und Umwelttechnik GmbH; Udo Lubenau (2026): </w:t>
      </w:r>
      <w:r w:rsidRPr="00F46457">
        <w:rPr>
          <w:i/>
          <w:iCs/>
        </w:rPr>
        <w:t>Erfahrungen und Potenziale der CO</w:t>
      </w:r>
      <w:r w:rsidRPr="00F46457">
        <w:rPr>
          <w:rFonts w:ascii="Cambria Math" w:hAnsi="Cambria Math" w:cs="Cambria Math"/>
          <w:i/>
          <w:iCs/>
        </w:rPr>
        <w:t>₂</w:t>
      </w:r>
      <w:r w:rsidRPr="00F46457">
        <w:rPr>
          <w:i/>
          <w:iCs/>
        </w:rPr>
        <w:t>-Speicherung.</w:t>
      </w:r>
      <w:r w:rsidRPr="00F46457">
        <w:t xml:space="preserve"> Präsentation im DBI-CO</w:t>
      </w:r>
      <w:r w:rsidRPr="00F46457">
        <w:rPr>
          <w:rFonts w:ascii="Cambria Math" w:hAnsi="Cambria Math" w:cs="Cambria Math"/>
        </w:rPr>
        <w:t>₂</w:t>
      </w:r>
      <w:r w:rsidRPr="00F46457">
        <w:t>-Fachforum.</w:t>
      </w:r>
    </w:p>
    <w:p w14:paraId="0485B214" w14:textId="77777777" w:rsidR="007B27E3" w:rsidRDefault="00764311">
      <w:pPr>
        <w:spacing w:after="100" w:line="276" w:lineRule="auto"/>
        <w:ind w:left="400" w:hanging="400"/>
      </w:pPr>
      <w:r w:rsidRPr="00764311">
        <w:rPr>
          <w:b/>
          <w:bCs/>
        </w:rPr>
        <w:t>[Q-013]</w:t>
      </w:r>
      <w:r w:rsidRPr="00764311">
        <w:t xml:space="preserve"> DGMK e. V. (2025): </w:t>
      </w:r>
      <w:r w:rsidRPr="00764311">
        <w:rPr>
          <w:i/>
          <w:iCs/>
        </w:rPr>
        <w:t>Wissenschaftliche Studie zum nationalen und internationalen technischen Stand der Speicherung und des Pipeline-Transports von CO</w:t>
      </w:r>
      <w:r w:rsidRPr="00764311">
        <w:rPr>
          <w:rFonts w:ascii="Cambria Math" w:hAnsi="Cambria Math" w:cs="Cambria Math"/>
          <w:i/>
          <w:iCs/>
        </w:rPr>
        <w:t>₂</w:t>
      </w:r>
      <w:r w:rsidRPr="00764311">
        <w:rPr>
          <w:i/>
          <w:iCs/>
        </w:rPr>
        <w:t>.</w:t>
      </w:r>
      <w:r w:rsidRPr="00764311">
        <w:t xml:space="preserve"> Forschungsbericht DGMK 887.</w:t>
      </w:r>
    </w:p>
    <w:p w14:paraId="6A403729" w14:textId="77777777" w:rsidR="007B27E3" w:rsidRPr="008E4B98" w:rsidRDefault="008E4B98">
      <w:pPr>
        <w:spacing w:after="100" w:line="276" w:lineRule="auto"/>
        <w:ind w:left="400" w:hanging="400"/>
        <w:rPr>
          <w:lang w:val="en-US"/>
        </w:rPr>
      </w:pPr>
      <w:r w:rsidRPr="008E4B98">
        <w:rPr>
          <w:b/>
          <w:bCs/>
        </w:rPr>
        <w:t>[Q-019]</w:t>
      </w:r>
      <w:r w:rsidRPr="008E4B98">
        <w:t xml:space="preserve"> DBI / DGMK (2026): </w:t>
      </w:r>
      <w:r w:rsidRPr="008E4B98">
        <w:rPr>
          <w:i/>
          <w:iCs/>
        </w:rPr>
        <w:t>Bewertung bestehender Untertagespeicher für die CO</w:t>
      </w:r>
      <w:r w:rsidRPr="008E4B98">
        <w:rPr>
          <w:rFonts w:ascii="Cambria Math" w:hAnsi="Cambria Math" w:cs="Cambria Math"/>
          <w:i/>
          <w:iCs/>
        </w:rPr>
        <w:t>₂</w:t>
      </w:r>
      <w:r w:rsidRPr="008E4B98">
        <w:rPr>
          <w:i/>
          <w:iCs/>
        </w:rPr>
        <w:t>-Zwischenspeicherung.</w:t>
      </w:r>
      <w:r w:rsidRPr="008E4B98">
        <w:t xml:space="preserve"> </w:t>
      </w:r>
      <w:r w:rsidRPr="008E4B98">
        <w:rPr>
          <w:lang w:val="en-US"/>
        </w:rPr>
        <w:t>Projektskizze DGMK 915.</w:t>
      </w:r>
    </w:p>
    <w:p w14:paraId="179B04D9" w14:textId="77777777" w:rsidR="007B27E3" w:rsidRPr="00804EC3" w:rsidRDefault="00804EC3">
      <w:pPr>
        <w:spacing w:after="100" w:line="276" w:lineRule="auto"/>
        <w:ind w:left="400" w:hanging="400"/>
        <w:rPr>
          <w:lang w:val="en-US"/>
        </w:rPr>
      </w:pPr>
      <w:r w:rsidRPr="00804EC3">
        <w:rPr>
          <w:b/>
          <w:bCs/>
          <w:lang w:val="en-US"/>
        </w:rPr>
        <w:t>[Q-028]</w:t>
      </w:r>
      <w:r w:rsidRPr="00804EC3">
        <w:rPr>
          <w:lang w:val="en-US"/>
        </w:rPr>
        <w:t xml:space="preserve"> Buzogany, R.; Kruck, O. (2022): </w:t>
      </w:r>
      <w:r w:rsidRPr="00804EC3">
        <w:rPr>
          <w:i/>
          <w:iCs/>
          <w:lang w:val="en-US"/>
        </w:rPr>
        <w:t>CO</w:t>
      </w:r>
      <w:r w:rsidRPr="00804EC3">
        <w:rPr>
          <w:rFonts w:ascii="Cambria Math" w:hAnsi="Cambria Math" w:cs="Cambria Math"/>
          <w:i/>
          <w:iCs/>
          <w:lang w:val="en-US"/>
        </w:rPr>
        <w:t>₂</w:t>
      </w:r>
      <w:r w:rsidRPr="00804EC3">
        <w:rPr>
          <w:i/>
          <w:iCs/>
          <w:lang w:val="en-US"/>
        </w:rPr>
        <w:t xml:space="preserve"> – Storage in Salt Caverns: Thermodynamic Analysis and Challenges.</w:t>
      </w:r>
      <w:r w:rsidRPr="00804EC3">
        <w:rPr>
          <w:lang w:val="en-US"/>
        </w:rPr>
        <w:t xml:space="preserve"> SMRI Fall 2022 Conference Paper, DEEP.KBB GmbH / SOCON.</w:t>
      </w:r>
    </w:p>
    <w:p w14:paraId="039B100B" w14:textId="77777777" w:rsidR="007B27E3" w:rsidRDefault="006A5522">
      <w:pPr>
        <w:spacing w:after="100" w:line="276" w:lineRule="auto"/>
        <w:ind w:left="400" w:hanging="400"/>
      </w:pPr>
      <w:r w:rsidRPr="008F1B82">
        <w:rPr>
          <w:b/>
          <w:bCs/>
          <w:lang w:val="en-US"/>
        </w:rPr>
        <w:t>[Q-078]</w:t>
      </w:r>
      <w:r w:rsidRPr="008F1B82">
        <w:rPr>
          <w:lang w:val="en-US"/>
        </w:rPr>
        <w:t xml:space="preserve"> Open Grid Europe GmbH (o. J.): </w:t>
      </w:r>
      <w:r w:rsidRPr="008F1B82">
        <w:rPr>
          <w:i/>
          <w:iCs/>
          <w:lang w:val="en-US"/>
        </w:rPr>
        <w:t>CO</w:t>
      </w:r>
      <w:r w:rsidRPr="008F1B82">
        <w:rPr>
          <w:rFonts w:ascii="Cambria Math" w:hAnsi="Cambria Math" w:cs="Cambria Math"/>
          <w:i/>
          <w:iCs/>
          <w:lang w:val="en-US"/>
        </w:rPr>
        <w:t>₂</w:t>
      </w:r>
      <w:r w:rsidRPr="008F1B82">
        <w:rPr>
          <w:i/>
          <w:iCs/>
          <w:lang w:val="en-US"/>
        </w:rPr>
        <w:t>-Netz – Unser CO</w:t>
      </w:r>
      <w:r w:rsidRPr="008F1B82">
        <w:rPr>
          <w:rFonts w:ascii="Cambria Math" w:hAnsi="Cambria Math" w:cs="Cambria Math"/>
          <w:i/>
          <w:iCs/>
          <w:lang w:val="en-US"/>
        </w:rPr>
        <w:t>₂</w:t>
      </w:r>
      <w:r w:rsidRPr="008F1B82">
        <w:rPr>
          <w:i/>
          <w:iCs/>
          <w:lang w:val="en-US"/>
        </w:rPr>
        <w:t>-Transportnetz startet.</w:t>
      </w:r>
      <w:r w:rsidRPr="008F1B82">
        <w:rPr>
          <w:lang w:val="en-US"/>
        </w:rPr>
        <w:t xml:space="preserve"> </w:t>
      </w:r>
      <w:r w:rsidRPr="006A5522">
        <w:t>Unternehmenswebseite / Infrastrukturprojektübersicht, Abruf: 27.08.2026.</w:t>
      </w:r>
    </w:p>
    <w:p w14:paraId="6F80100E" w14:textId="77777777" w:rsidR="007B27E3" w:rsidRDefault="007B5DE0">
      <w:pPr>
        <w:spacing w:after="100" w:line="276" w:lineRule="auto"/>
        <w:ind w:left="400" w:hanging="400"/>
      </w:pPr>
      <w:r w:rsidRPr="008F1B82">
        <w:rPr>
          <w:b/>
          <w:bCs/>
        </w:rPr>
        <w:t>[Q-079]</w:t>
      </w:r>
      <w:r w:rsidRPr="008F1B82">
        <w:t xml:space="preserve"> Northern Lights JV DA (o. J.): </w:t>
      </w:r>
      <w:r w:rsidRPr="008F1B82">
        <w:rPr>
          <w:i/>
          <w:iCs/>
        </w:rPr>
        <w:t>Northern Lights – CO</w:t>
      </w:r>
      <w:r w:rsidRPr="008F1B82">
        <w:rPr>
          <w:rFonts w:ascii="Cambria Math" w:hAnsi="Cambria Math" w:cs="Cambria Math"/>
          <w:i/>
          <w:iCs/>
        </w:rPr>
        <w:t>₂</w:t>
      </w:r>
      <w:r w:rsidRPr="008F1B82">
        <w:rPr>
          <w:i/>
          <w:iCs/>
        </w:rPr>
        <w:t xml:space="preserve"> transport and storage as a service.</w:t>
      </w:r>
      <w:r w:rsidRPr="008F1B82">
        <w:t xml:space="preserve"> </w:t>
      </w:r>
      <w:r w:rsidRPr="007B5DE0">
        <w:t>Unternehmenswebseite / CCS-Infrastrukturprojekt, Abruf: 27.08.2026.</w:t>
      </w:r>
    </w:p>
    <w:p w14:paraId="1B4D7FAC" w14:textId="47F3FDA4" w:rsidR="00F303E7" w:rsidRDefault="00F303E7">
      <w:pPr>
        <w:spacing w:after="100" w:line="276" w:lineRule="auto"/>
        <w:ind w:left="400" w:hanging="400"/>
      </w:pPr>
      <w:r w:rsidRPr="00F303E7">
        <w:rPr>
          <w:b/>
          <w:bCs/>
        </w:rPr>
        <w:t>[Q</w:t>
      </w:r>
      <w:r w:rsidRPr="00F303E7">
        <w:rPr>
          <w:rFonts w:ascii="Cambria Math" w:hAnsi="Cambria Math" w:cs="Cambria Math"/>
          <w:b/>
          <w:bCs/>
        </w:rPr>
        <w:t>‑</w:t>
      </w:r>
      <w:r w:rsidRPr="00F303E7">
        <w:rPr>
          <w:b/>
          <w:bCs/>
        </w:rPr>
        <w:t>081]</w:t>
      </w:r>
      <w:r w:rsidRPr="00F303E7">
        <w:t xml:space="preserve"> Bathen, D.; Breitbach, M. (2001): Adsorptionstechnik. Berlin/Heidelberg: Springer, VDI-Buch, insbesondere Kap. 2 „Technische Adsorbentien“, S. 13–44.</w:t>
      </w:r>
    </w:p>
    <w:p w14:paraId="6FC57599" w14:textId="77777777" w:rsidR="007B27E3" w:rsidRDefault="007B27E3" w:rsidP="00AC706A">
      <w:pPr>
        <w:spacing w:after="100" w:line="276" w:lineRule="auto"/>
        <w:ind w:left="400" w:hanging="400"/>
        <w:rPr>
          <w:sz w:val="21"/>
          <w:szCs w:val="21"/>
        </w:rPr>
      </w:pPr>
    </w:p>
    <w:p w14:paraId="5F1814E8" w14:textId="25C8E3D7" w:rsidR="007B27E3" w:rsidRDefault="007B27E3" w:rsidP="00D36E6E">
      <w:pPr>
        <w:spacing w:line="276" w:lineRule="auto"/>
        <w:jc w:val="left"/>
      </w:pPr>
    </w:p>
    <w:sectPr w:rsidR="007B27E3">
      <w:headerReference w:type="default" r:id="rId13"/>
      <w:footerReference w:type="default" r:id="rId14"/>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CE3F8" w14:textId="77777777" w:rsidR="00161613" w:rsidRDefault="00161613">
      <w:r>
        <w:separator/>
      </w:r>
    </w:p>
  </w:endnote>
  <w:endnote w:type="continuationSeparator" w:id="0">
    <w:p w14:paraId="2EC6B22B" w14:textId="77777777" w:rsidR="00161613" w:rsidRDefault="00161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1FBA" w14:textId="31AB7806" w:rsidR="00552D94" w:rsidRDefault="00F56203">
    <w:pPr>
      <w:pBdr>
        <w:top w:val="single" w:sz="4" w:space="6" w:color="BFBFBF"/>
      </w:pBdr>
      <w:tabs>
        <w:tab w:val="right" w:pos="9070"/>
      </w:tabs>
    </w:pPr>
    <w:r>
      <w:rPr>
        <w:color w:val="595959"/>
        <w:sz w:val="18"/>
        <w:szCs w:val="18"/>
      </w:rPr>
      <w:t xml:space="preserve">TH Köln · Stand: </w:t>
    </w:r>
    <w:r>
      <w:rPr>
        <w:color w:val="C00000"/>
        <w:sz w:val="18"/>
        <w:szCs w:val="18"/>
      </w:rPr>
      <w:t>[</w:t>
    </w:r>
    <w:r w:rsidR="005138D4">
      <w:rPr>
        <w:color w:val="C00000"/>
        <w:sz w:val="18"/>
        <w:szCs w:val="18"/>
      </w:rPr>
      <w:t>28.08.2026</w:t>
    </w:r>
    <w:r>
      <w:rPr>
        <w:color w:val="C00000"/>
        <w:sz w:val="18"/>
        <w:szCs w:val="18"/>
      </w:rPr>
      <w:t>]</w:t>
    </w:r>
    <w:r>
      <w:rPr>
        <w:color w:val="595959"/>
        <w:sz w:val="18"/>
        <w:szCs w:val="18"/>
      </w:rPr>
      <w:tab/>
      <w:t xml:space="preserve">Seite </w:t>
    </w:r>
    <w:r>
      <w:rPr>
        <w:color w:val="595959"/>
        <w:sz w:val="18"/>
        <w:szCs w:val="18"/>
      </w:rPr>
      <w:fldChar w:fldCharType="begin"/>
    </w:r>
    <w:r>
      <w:rPr>
        <w:color w:val="595959"/>
        <w:sz w:val="18"/>
        <w:szCs w:val="18"/>
      </w:rPr>
      <w:instrText>PAGE</w:instrText>
    </w:r>
    <w:r>
      <w:rPr>
        <w:color w:val="595959"/>
        <w:sz w:val="18"/>
        <w:szCs w:val="18"/>
      </w:rPr>
      <w:fldChar w:fldCharType="separate"/>
    </w:r>
    <w:r w:rsidR="00BA21D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37E6" w14:textId="77777777" w:rsidR="00161613" w:rsidRDefault="00161613">
      <w:r>
        <w:separator/>
      </w:r>
    </w:p>
  </w:footnote>
  <w:footnote w:type="continuationSeparator" w:id="0">
    <w:p w14:paraId="5EB1E33E" w14:textId="77777777" w:rsidR="00161613" w:rsidRDefault="00161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0F71" w14:textId="6108D195" w:rsidR="00BA21D2" w:rsidRDefault="00BA21D2">
    <w:pPr>
      <w:pStyle w:val="Kopfzeile"/>
    </w:pPr>
    <w:r>
      <w:rPr>
        <w:noProof/>
      </w:rPr>
      <mc:AlternateContent>
        <mc:Choice Requires="wps">
          <w:drawing>
            <wp:anchor distT="0" distB="0" distL="0" distR="0" simplePos="0" relativeHeight="251658241" behindDoc="0" locked="0" layoutInCell="1" allowOverlap="1" wp14:anchorId="2A5D3B6A" wp14:editId="3D272596">
              <wp:simplePos x="635" y="635"/>
              <wp:positionH relativeFrom="page">
                <wp:align>center</wp:align>
              </wp:positionH>
              <wp:positionV relativeFrom="page">
                <wp:align>top</wp:align>
              </wp:positionV>
              <wp:extent cx="1285240" cy="336550"/>
              <wp:effectExtent l="0" t="0" r="10160" b="6350"/>
              <wp:wrapNone/>
              <wp:docPr id="212655286" name="Textfeld 2" descr="General - Unencryp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5240" cy="336550"/>
                      </a:xfrm>
                      <a:prstGeom prst="rect">
                        <a:avLst/>
                      </a:prstGeom>
                      <a:noFill/>
                      <a:ln>
                        <a:noFill/>
                      </a:ln>
                    </wps:spPr>
                    <wps:txbx>
                      <w:txbxContent>
                        <w:p w14:paraId="558C2A3E" w14:textId="7D3D61F0" w:rsidR="00BA21D2" w:rsidRPr="00BA21D2" w:rsidRDefault="00BA21D2" w:rsidP="00BA21D2">
                          <w:pPr>
                            <w:rPr>
                              <w:noProof/>
                              <w:color w:val="000000"/>
                              <w:sz w:val="20"/>
                              <w:szCs w:val="20"/>
                            </w:rPr>
                          </w:pPr>
                          <w:r w:rsidRPr="00BA21D2">
                            <w:rPr>
                              <w:noProof/>
                              <w:color w:val="000000"/>
                              <w:sz w:val="20"/>
                              <w:szCs w:val="20"/>
                            </w:rPr>
                            <w:t>General - Unencrypted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5D3B6A" id="_x0000_t202" coordsize="21600,21600" o:spt="202" path="m,l,21600r21600,l21600,xe">
              <v:stroke joinstyle="miter"/>
              <v:path gradientshapeok="t" o:connecttype="rect"/>
            </v:shapetype>
            <v:shape id="Textfeld 2" o:spid="_x0000_s1026" type="#_x0000_t202" alt="General - Unencrypted" style="position:absolute;left:0;text-align:left;margin-left:0;margin-top:0;width:101.2pt;height:26.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lMCgIAABYEAAAOAAAAZHJzL2Uyb0RvYy54bWysU01v2zAMvQ/YfxB0X+ykS9EacYqsRYYB&#10;QVsgHXpWZCk2IIuCxMTOfv0oxW62bqdhF5kmKX6897S461vDjsqHBmzJp5OcM2UlVI3dl/z7y/rT&#10;DWcBha2EAatKflKB3y0/flh0rlAzqMFUyjMqYkPRuZLXiK7IsiBr1YowAacsBTX4ViD9+n1WedFR&#10;9dZkszy/zjrwlfMgVQjkfTgH+TLV11pJfNI6KGSm5DQbptOncxfPbLkQxd4LVzdyGEP8wxStaCw1&#10;fSv1IFCwg2/+KNU20kMAjRMJbQZaN1KlHWibaf5um20tnEq7EDjBvcEU/l9Z+XjcumfPsP8CPREY&#10;AelcKAI54z699m380qSM4gTh6Q021SOT8dLsZj77TCFJsaur6/k84Zpdbjsf8KuClkWj5J5oSWiJ&#10;4yYgdaTUMSU2s7BujEnUGPubgxKjJ7uMGC3sd/0w9w6qE63j4cx0cHLdUM+NCPgsPFFLY5Jc8YkO&#10;baArOQwWZzX4H3/zx3xCnKKcdSSVklvSMmfmmyUmoqqSMb3N5zn9+dG9Gw17aO+BBDilt+BkMmMe&#10;mtHUHtpXEvIqNqKQsJLalRxH8x7PmqWHINVqlZJIQE7gxm6djKUjThHEl/5VeDcgjcTRI4w6EsU7&#10;wM+58WZwqwMS7ImNiOkZyAFqEl8iaXgoUd2//qesy3Ne/gQAAP//AwBQSwMEFAAGAAgAAAAhAFYx&#10;Oy7bAAAABAEAAA8AAABkcnMvZG93bnJldi54bWxMj8FuwjAQRO+V+AdrkXordkJTVSEOQkgcuFFK&#10;ezbxkqSNd6PYQMrX1+2lvaw0mtHM22I5uk5ccPAtk4ZkpkAgVWxbqjUcXjcPzyB8MGRNx4QavtDD&#10;spzcFSa3fKUXvOxDLWIJ+dxoaELocyl91aAzfsY9UvROPDgTohxqaQdzjeWuk6lST9KZluJCY3pc&#10;N1h97s9OQ5utOCT4tt18vLuEk9tum912Wt9Px9UCRMAx/IXhBz+iQxmZjnwm60WnIT4Sfm/0UpU+&#10;gjhqyOYKZFnI//DlNwAAAP//AwBQSwECLQAUAAYACAAAACEAtoM4kv4AAADhAQAAEwAAAAAAAAAA&#10;AAAAAAAAAAAAW0NvbnRlbnRfVHlwZXNdLnhtbFBLAQItABQABgAIAAAAIQA4/SH/1gAAAJQBAAAL&#10;AAAAAAAAAAAAAAAAAC8BAABfcmVscy8ucmVsc1BLAQItABQABgAIAAAAIQB/g0lMCgIAABYEAAAO&#10;AAAAAAAAAAAAAAAAAC4CAABkcnMvZTJvRG9jLnhtbFBLAQItABQABgAIAAAAIQBWMTsu2wAAAAQB&#10;AAAPAAAAAAAAAAAAAAAAAGQEAABkcnMvZG93bnJldi54bWxQSwUGAAAAAAQABADzAAAAbAUAAAAA&#10;" filled="f" stroked="f">
              <v:textbox style="mso-fit-shape-to-text:t" inset="0,15pt,0,0">
                <w:txbxContent>
                  <w:p w14:paraId="558C2A3E" w14:textId="7D3D61F0" w:rsidR="00BA21D2" w:rsidRPr="00BA21D2" w:rsidRDefault="00BA21D2" w:rsidP="00BA21D2">
                    <w:pPr>
                      <w:rPr>
                        <w:noProof/>
                        <w:color w:val="000000"/>
                        <w:sz w:val="20"/>
                        <w:szCs w:val="20"/>
                      </w:rPr>
                    </w:pPr>
                    <w:r w:rsidRPr="00BA21D2">
                      <w:rPr>
                        <w:noProof/>
                        <w:color w:val="000000"/>
                        <w:sz w:val="20"/>
                        <w:szCs w:val="20"/>
                      </w:rPr>
                      <w:t>General - Unencrypted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1EE1" w14:textId="370766FF" w:rsidR="00BA21D2" w:rsidRDefault="00BA21D2">
    <w:pPr>
      <w:pStyle w:val="Kopfzeile"/>
    </w:pPr>
    <w:r>
      <w:rPr>
        <w:noProof/>
      </w:rPr>
      <mc:AlternateContent>
        <mc:Choice Requires="wps">
          <w:drawing>
            <wp:anchor distT="0" distB="0" distL="0" distR="0" simplePos="0" relativeHeight="251658242" behindDoc="0" locked="0" layoutInCell="1" allowOverlap="1" wp14:anchorId="320714F6" wp14:editId="7F737118">
              <wp:simplePos x="635" y="635"/>
              <wp:positionH relativeFrom="page">
                <wp:align>center</wp:align>
              </wp:positionH>
              <wp:positionV relativeFrom="page">
                <wp:align>top</wp:align>
              </wp:positionV>
              <wp:extent cx="1285240" cy="336550"/>
              <wp:effectExtent l="0" t="0" r="10160" b="6350"/>
              <wp:wrapNone/>
              <wp:docPr id="895285082" name="Textfeld 3" descr="General - Unencryp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5240" cy="336550"/>
                      </a:xfrm>
                      <a:prstGeom prst="rect">
                        <a:avLst/>
                      </a:prstGeom>
                      <a:noFill/>
                      <a:ln>
                        <a:noFill/>
                      </a:ln>
                    </wps:spPr>
                    <wps:txbx>
                      <w:txbxContent>
                        <w:p w14:paraId="13D25A3C" w14:textId="07DC6E71" w:rsidR="00BA21D2" w:rsidRPr="00BA21D2" w:rsidRDefault="00BA21D2" w:rsidP="00BA21D2">
                          <w:pPr>
                            <w:rPr>
                              <w:noProof/>
                              <w:color w:val="000000"/>
                              <w:sz w:val="20"/>
                              <w:szCs w:val="20"/>
                            </w:rPr>
                          </w:pPr>
                          <w:r w:rsidRPr="00BA21D2">
                            <w:rPr>
                              <w:noProof/>
                              <w:color w:val="000000"/>
                              <w:sz w:val="20"/>
                              <w:szCs w:val="20"/>
                            </w:rPr>
                            <w:t>General - Unencrypted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0714F6" id="_x0000_t202" coordsize="21600,21600" o:spt="202" path="m,l,21600r21600,l21600,xe">
              <v:stroke joinstyle="miter"/>
              <v:path gradientshapeok="t" o:connecttype="rect"/>
            </v:shapetype>
            <v:shape id="Textfeld 3" o:spid="_x0000_s1027" type="#_x0000_t202" alt="General - Unencrypted" style="position:absolute;left:0;text-align:left;margin-left:0;margin-top:0;width:101.2pt;height:26.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lf2DQIAAB0EAAAOAAAAZHJzL2Uyb0RvYy54bWysU01v2zAMvQ/YfxB0X+ykS9EZcYqsRYYB&#10;QVsgHXpWZDk2IImCxMTOfv0oJU66rqdiF5kmKX689zS77Y1me+VDC7bk41HOmbISqtZuS/7refnl&#10;hrOAwlZCg1UlP6jAb+efP806V6gJNKAr5RkVsaHoXMkbRFdkWZCNMiKMwClLwRq8EUi/fptVXnRU&#10;3ehskufXWQe+ch6kCoG898cgn6f6da0kPtZ1UMh0yWk2TKdP5yae2Xwmiq0XrmnlaQzxgSmMaC01&#10;PZe6FyjYzrf/lDKt9BCgxpEEk0Fdt1KlHWibcf5mm3UjnEq7EDjBnWEK/6+sfNiv3ZNn2H+HngiM&#10;gHQuFIGccZ++9iZ+aVJGcYLwcIZN9chkvDS5mU6+UkhS7OrqejpNuGaX284H/KHAsGiU3BMtCS2x&#10;XwWkjpQ6pMRmFpat1okabf9yUGL0ZJcRo4X9pmdt9Wr8DVQH2srDkfDg5LKl1isR8El4YpimJdXi&#10;Ix21hq7kcLI4a8D/fs8f8wl4inLWkWJKbknSnOmflgiJ4krG+Fs+zenPD+7NYNiduQPS4ZiehJPJ&#10;jHmoB7P2YF5Iz4vYiELCSmpXchzMOzxKl96DVItFSiIdOYEru3Yylo5wRSyf+xfh3QlwJKoeYJCT&#10;KN7gfsyNN4Nb7JDQT6REaI9AnhAnDSauTu8livz1f8q6vOr5HwAAAP//AwBQSwMEFAAGAAgAAAAh&#10;AFYxOy7bAAAABAEAAA8AAABkcnMvZG93bnJldi54bWxMj8FuwjAQRO+V+AdrkXordkJTVSEOQkgc&#10;uFFKezbxkqSNd6PYQMrX1+2lvaw0mtHM22I5uk5ccPAtk4ZkpkAgVWxbqjUcXjcPzyB8MGRNx4Qa&#10;vtDDspzcFSa3fKUXvOxDLWIJ+dxoaELocyl91aAzfsY9UvROPDgTohxqaQdzjeWuk6lST9KZluJC&#10;Y3pcN1h97s9OQ5utOCT4tt18vLuEk9tum912Wt9Px9UCRMAx/IXhBz+iQxmZjnwm60WnIT4Sfm/0&#10;UpU+gjhqyOYKZFnI//DlNwAAAP//AwBQSwECLQAUAAYACAAAACEAtoM4kv4AAADhAQAAEwAAAAAA&#10;AAAAAAAAAAAAAAAAW0NvbnRlbnRfVHlwZXNdLnhtbFBLAQItABQABgAIAAAAIQA4/SH/1gAAAJQB&#10;AAALAAAAAAAAAAAAAAAAAC8BAABfcmVscy8ucmVsc1BLAQItABQABgAIAAAAIQDjWlf2DQIAAB0E&#10;AAAOAAAAAAAAAAAAAAAAAC4CAABkcnMvZTJvRG9jLnhtbFBLAQItABQABgAIAAAAIQBWMTsu2wAA&#10;AAQBAAAPAAAAAAAAAAAAAAAAAGcEAABkcnMvZG93bnJldi54bWxQSwUGAAAAAAQABADzAAAAbwUA&#10;AAAA&#10;" filled="f" stroked="f">
              <v:textbox style="mso-fit-shape-to-text:t" inset="0,15pt,0,0">
                <w:txbxContent>
                  <w:p w14:paraId="13D25A3C" w14:textId="07DC6E71" w:rsidR="00BA21D2" w:rsidRPr="00BA21D2" w:rsidRDefault="00BA21D2" w:rsidP="00BA21D2">
                    <w:pPr>
                      <w:rPr>
                        <w:noProof/>
                        <w:color w:val="000000"/>
                        <w:sz w:val="20"/>
                        <w:szCs w:val="20"/>
                      </w:rPr>
                    </w:pPr>
                    <w:r w:rsidRPr="00BA21D2">
                      <w:rPr>
                        <w:noProof/>
                        <w:color w:val="000000"/>
                        <w:sz w:val="20"/>
                        <w:szCs w:val="20"/>
                      </w:rPr>
                      <w:t>General - Unencrypted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BC87" w14:textId="71B52E24" w:rsidR="00BA21D2" w:rsidRDefault="00BA21D2">
    <w:pPr>
      <w:pStyle w:val="Kopfzeile"/>
    </w:pPr>
    <w:r>
      <w:rPr>
        <w:noProof/>
      </w:rPr>
      <mc:AlternateContent>
        <mc:Choice Requires="wps">
          <w:drawing>
            <wp:anchor distT="0" distB="0" distL="0" distR="0" simplePos="0" relativeHeight="251658240" behindDoc="0" locked="0" layoutInCell="1" allowOverlap="1" wp14:anchorId="4EB801CE" wp14:editId="2D164120">
              <wp:simplePos x="635" y="635"/>
              <wp:positionH relativeFrom="page">
                <wp:align>center</wp:align>
              </wp:positionH>
              <wp:positionV relativeFrom="page">
                <wp:align>top</wp:align>
              </wp:positionV>
              <wp:extent cx="1285240" cy="336550"/>
              <wp:effectExtent l="0" t="0" r="10160" b="6350"/>
              <wp:wrapNone/>
              <wp:docPr id="1480902955" name="Textfeld 1" descr="General - Unencryp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5240" cy="336550"/>
                      </a:xfrm>
                      <a:prstGeom prst="rect">
                        <a:avLst/>
                      </a:prstGeom>
                      <a:noFill/>
                      <a:ln>
                        <a:noFill/>
                      </a:ln>
                    </wps:spPr>
                    <wps:txbx>
                      <w:txbxContent>
                        <w:p w14:paraId="1E59E8F5" w14:textId="7A4AD338" w:rsidR="00BA21D2" w:rsidRPr="00BA21D2" w:rsidRDefault="00BA21D2" w:rsidP="00BA21D2">
                          <w:pPr>
                            <w:rPr>
                              <w:noProof/>
                              <w:color w:val="000000"/>
                              <w:sz w:val="20"/>
                              <w:szCs w:val="20"/>
                            </w:rPr>
                          </w:pPr>
                          <w:r w:rsidRPr="00BA21D2">
                            <w:rPr>
                              <w:noProof/>
                              <w:color w:val="000000"/>
                              <w:sz w:val="20"/>
                              <w:szCs w:val="20"/>
                            </w:rPr>
                            <w:t>General - Unencrypted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B801CE" id="_x0000_t202" coordsize="21600,21600" o:spt="202" path="m,l,21600r21600,l21600,xe">
              <v:stroke joinstyle="miter"/>
              <v:path gradientshapeok="t" o:connecttype="rect"/>
            </v:shapetype>
            <v:shape id="Textfeld 1" o:spid="_x0000_s1028" type="#_x0000_t202" alt="General - Unencrypted" style="position:absolute;left:0;text-align:left;margin-left:0;margin-top:0;width:101.2pt;height:2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4CwDwIAAB0EAAAOAAAAZHJzL2Uyb0RvYy54bWysU01v2zAMvQ/YfxB0X+ykS9EacYqsRYYB&#10;QVsgLXpWZCk2YImCxMTOfv0oJU62dqdhF5kmKX689zS7603L9sqHBmzJx6OcM2UlVI3dlvz1Zfnl&#10;hrOAwlaiBatKflCB380/f5p1rlATqKGtlGdUxIaicyWvEV2RZUHWyogwAqcsBTV4I5B+/TarvOio&#10;ummzSZ5fZx34ynmQKgTyPhyDfJ7qa60kPmkdFLK25DQbptOncxPPbD4TxdYLVzfyNIb4hymMaCw1&#10;PZd6ECjYzjcfSplGegigcSTBZKB1I1XagbYZ5++2WdfCqbQLgRPcGabw/8rKx/3aPXuG/TfoicAI&#10;SOdCEcgZ9+m1N/FLkzKKE4SHM2yqRybjpcnNdPKVQpJiV1fX02nCNbvcdj7gdwWGRaPknmhJaIn9&#10;KiB1pNQhJTazsGzaNlHT2j8clBg92WXEaGG/6VlTlXwyjL+B6kBbeTgSHpxcNtR6JQI+C08M07Sk&#10;WnyiQ7fQlRxOFmc1+J9/88d8Ap6inHWkmJJbkjRn7Q9LhERxJWN8m09z+vODezMYdmfugXQ4pifh&#10;ZDJjHraDqT2YN9LzIjaikLCS2pUcB/Mej9Kl9yDVYpGSSEdO4MqunYylI1wRy5f+TXh3AhyJqkcY&#10;5CSKd7gfc+PN4BY7JPQTKRHaI5AnxEmDiavTe4ki//0/ZV1e9fwXAAAA//8DAFBLAwQUAAYACAAA&#10;ACEAVjE7LtsAAAAEAQAADwAAAGRycy9kb3ducmV2LnhtbEyPwW7CMBBE75X4B2uReit2QlNVIQ5C&#10;SBy4UUp7NvGSpI13o9hAytfX7aW9rDSa0czbYjm6Tlxw8C2ThmSmQCBVbFuqNRxeNw/PIHwwZE3H&#10;hBq+0MOynNwVJrd8pRe87EMtYgn53GhoQuhzKX3VoDN+xj1S9E48OBOiHGppB3ON5a6TqVJP0pmW&#10;4kJjelw3WH3uz05Dm604JPi23Xy8u4ST226b3XZa30/H1QJEwDH8heEHP6JDGZmOfCbrRachPhJ+&#10;b/RSlT6COGrI5gpkWcj/8OU3AAAA//8DAFBLAQItABQABgAIAAAAIQC2gziS/gAAAOEBAAATAAAA&#10;AAAAAAAAAAAAAAAAAABbQ29udGVudF9UeXBlc10ueG1sUEsBAi0AFAAGAAgAAAAhADj9If/WAAAA&#10;lAEAAAsAAAAAAAAAAAAAAAAALwEAAF9yZWxzLy5yZWxzUEsBAi0AFAAGAAgAAAAhAFSbgLAPAgAA&#10;HQQAAA4AAAAAAAAAAAAAAAAALgIAAGRycy9lMm9Eb2MueG1sUEsBAi0AFAAGAAgAAAAhAFYxOy7b&#10;AAAABAEAAA8AAAAAAAAAAAAAAAAAaQQAAGRycy9kb3ducmV2LnhtbFBLBQYAAAAABAAEAPMAAABx&#10;BQAAAAA=&#10;" filled="f" stroked="f">
              <v:textbox style="mso-fit-shape-to-text:t" inset="0,15pt,0,0">
                <w:txbxContent>
                  <w:p w14:paraId="1E59E8F5" w14:textId="7A4AD338" w:rsidR="00BA21D2" w:rsidRPr="00BA21D2" w:rsidRDefault="00BA21D2" w:rsidP="00BA21D2">
                    <w:pPr>
                      <w:rPr>
                        <w:noProof/>
                        <w:color w:val="000000"/>
                        <w:sz w:val="20"/>
                        <w:szCs w:val="20"/>
                      </w:rPr>
                    </w:pPr>
                    <w:r w:rsidRPr="00BA21D2">
                      <w:rPr>
                        <w:noProof/>
                        <w:color w:val="000000"/>
                        <w:sz w:val="20"/>
                        <w:szCs w:val="20"/>
                      </w:rPr>
                      <w:t>General - Unencrypted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1FB9" w14:textId="7ED00365" w:rsidR="00552D94" w:rsidRDefault="00BA21D2">
    <w:pPr>
      <w:spacing w:after="240"/>
    </w:pPr>
    <w:r>
      <w:rPr>
        <w:noProof/>
        <w:color w:val="595959"/>
        <w:sz w:val="20"/>
        <w:szCs w:val="20"/>
      </w:rPr>
      <mc:AlternateContent>
        <mc:Choice Requires="wps">
          <w:drawing>
            <wp:anchor distT="0" distB="0" distL="0" distR="0" simplePos="0" relativeHeight="251658243" behindDoc="0" locked="0" layoutInCell="1" allowOverlap="1" wp14:anchorId="0D1F4091" wp14:editId="301AC9BB">
              <wp:simplePos x="635" y="635"/>
              <wp:positionH relativeFrom="page">
                <wp:align>center</wp:align>
              </wp:positionH>
              <wp:positionV relativeFrom="page">
                <wp:align>top</wp:align>
              </wp:positionV>
              <wp:extent cx="1285240" cy="336550"/>
              <wp:effectExtent l="0" t="0" r="10160" b="6350"/>
              <wp:wrapNone/>
              <wp:docPr id="1384701984" name="Textfeld 4" descr="General - Unencryp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5240" cy="336550"/>
                      </a:xfrm>
                      <a:prstGeom prst="rect">
                        <a:avLst/>
                      </a:prstGeom>
                      <a:noFill/>
                      <a:ln>
                        <a:noFill/>
                      </a:ln>
                    </wps:spPr>
                    <wps:txbx>
                      <w:txbxContent>
                        <w:p w14:paraId="164B2720" w14:textId="5C28AC7F" w:rsidR="00BA21D2" w:rsidRPr="00BA21D2" w:rsidRDefault="00BA21D2" w:rsidP="00BA21D2">
                          <w:pPr>
                            <w:rPr>
                              <w:noProof/>
                              <w:color w:val="000000"/>
                              <w:sz w:val="20"/>
                              <w:szCs w:val="20"/>
                            </w:rPr>
                          </w:pPr>
                          <w:r w:rsidRPr="00BA21D2">
                            <w:rPr>
                              <w:noProof/>
                              <w:color w:val="000000"/>
                              <w:sz w:val="20"/>
                              <w:szCs w:val="20"/>
                            </w:rPr>
                            <w:t>General - Unencrypted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1F4091" id="_x0000_t202" coordsize="21600,21600" o:spt="202" path="m,l,21600r21600,l21600,xe">
              <v:stroke joinstyle="miter"/>
              <v:path gradientshapeok="t" o:connecttype="rect"/>
            </v:shapetype>
            <v:shape id="Textfeld 4" o:spid="_x0000_s1029" type="#_x0000_t202" alt="General - Unencrypted" style="position:absolute;left:0;text-align:left;margin-left:0;margin-top:0;width:101.2pt;height:26.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DKNDgIAAB0EAAAOAAAAZHJzL2Uyb0RvYy54bWysU01v2zAMvQ/YfxB0X+ykS9EacYqsRYYB&#10;QVsgLXpWZCk2IIuCxMTOfv0oJU62dqdhF5kmKX689zS761vD9sqHBmzJx6OcM2UlVI3dlvz1Zfnl&#10;hrOAwlbCgFUlP6jA7+afP806V6gJ1GAq5RkVsaHoXMlrRFdkWZC1akUYgVOWghp8K5B+/TarvOio&#10;emuySZ5fZx34ynmQKgTyPhyDfJ7qa60kPmkdFDJTcpoN0+nTuYlnNp+JYuuFqxt5GkP8wxStaCw1&#10;PZd6ECjYzjcfSrWN9BBA40hCm4HWjVRpB9pmnL/bZl0Lp9IuBE5wZ5jC/ysrH/dr9+wZ9t+gJwIj&#10;IJ0LRSBn3KfXvo1fmpRRnCA8nGFTPTIZL01uppOvFJIUu7q6nk4TrtnltvMBvytoWTRK7omWhJbY&#10;rwJSR0odUmIzC8vGmESNsX84KDF6ssuI0cJ+07OmoubD+BuoDrSVhyPhwcllQ61XIuCz8MQwTUuq&#10;xSc6tIGu5HCyOKvB//ybP+YT8BTlrCPFlNySpDkzPywREsWVjPFtPs3pzw/uzWDYXXsPpMMxPQkn&#10;kxnz0Aym9tC+kZ4XsRGFhJXUruQ4mPd4lC69B6kWi5REOnICV3btZCwd4YpYvvRvwrsT4EhUPcIg&#10;J1G8w/2YG28Gt9ghoZ9IidAegTwhThpMXJ3eSxT57/8p6/Kq578AAAD//wMAUEsDBBQABgAIAAAA&#10;IQBWMTsu2wAAAAQBAAAPAAAAZHJzL2Rvd25yZXYueG1sTI/BbsIwEETvlfgHa5F6K3ZCU1UhDkJI&#10;HLhRSns28ZKkjXej2EDK19ftpb2sNJrRzNtiObpOXHDwLZOGZKZAIFVsW6o1HF43D88gfDBkTceE&#10;Gr7Qw7Kc3BUmt3ylF7zsQy1iCfncaGhC6HMpfdWgM37GPVL0Tjw4E6IcamkHc43lrpOpUk/SmZbi&#10;QmN6XDdYfe7PTkObrTgk+LbdfLy7hJPbbpvddlrfT8fVAkTAMfyF4Qc/okMZmY58JutFpyE+En5v&#10;9FKVPoI4asjmCmRZyP/w5TcAAAD//wMAUEsBAi0AFAAGAAgAAAAhALaDOJL+AAAA4QEAABMAAAAA&#10;AAAAAAAAAAAAAAAAAFtDb250ZW50X1R5cGVzXS54bWxQSwECLQAUAAYACAAAACEAOP0h/9YAAACU&#10;AQAACwAAAAAAAAAAAAAAAAAvAQAAX3JlbHMvLnJlbHNQSwECLQAUAAYACAAAACEAOSQyjQ4CAAAd&#10;BAAADgAAAAAAAAAAAAAAAAAuAgAAZHJzL2Uyb0RvYy54bWxQSwECLQAUAAYACAAAACEAVjE7LtsA&#10;AAAEAQAADwAAAAAAAAAAAAAAAABoBAAAZHJzL2Rvd25yZXYueG1sUEsFBgAAAAAEAAQA8wAAAHAF&#10;AAAAAA==&#10;" filled="f" stroked="f">
              <v:textbox style="mso-fit-shape-to-text:t" inset="0,15pt,0,0">
                <w:txbxContent>
                  <w:p w14:paraId="164B2720" w14:textId="5C28AC7F" w:rsidR="00BA21D2" w:rsidRPr="00BA21D2" w:rsidRDefault="00BA21D2" w:rsidP="00BA21D2">
                    <w:pPr>
                      <w:rPr>
                        <w:noProof/>
                        <w:color w:val="000000"/>
                        <w:sz w:val="20"/>
                        <w:szCs w:val="20"/>
                      </w:rPr>
                    </w:pPr>
                    <w:r w:rsidRPr="00BA21D2">
                      <w:rPr>
                        <w:noProof/>
                        <w:color w:val="000000"/>
                        <w:sz w:val="20"/>
                        <w:szCs w:val="20"/>
                      </w:rPr>
                      <w:t>General - Unencrypted</w:t>
                    </w:r>
                  </w:p>
                </w:txbxContent>
              </v:textbox>
              <w10:wrap anchorx="page" anchory="page"/>
            </v:shape>
          </w:pict>
        </mc:Fallback>
      </mc:AlternateContent>
    </w:r>
    <w:r>
      <w:rPr>
        <w:color w:val="595959"/>
        <w:sz w:val="20"/>
        <w:szCs w:val="20"/>
      </w:rPr>
      <w:t>Exposé Abschlussarbeit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21F9"/>
    <w:multiLevelType w:val="hybridMultilevel"/>
    <w:tmpl w:val="12E68532"/>
    <w:lvl w:ilvl="0" w:tplc="BBAC3890">
      <w:start w:val="1"/>
      <w:numFmt w:val="bullet"/>
      <w:lvlText w:val="•"/>
      <w:lvlJc w:val="left"/>
      <w:pPr>
        <w:ind w:left="400" w:hanging="280"/>
      </w:pPr>
    </w:lvl>
    <w:lvl w:ilvl="1" w:tplc="636812F8">
      <w:start w:val="1"/>
      <w:numFmt w:val="bullet"/>
      <w:lvlText w:val="–"/>
      <w:lvlJc w:val="left"/>
      <w:pPr>
        <w:ind w:left="760" w:hanging="280"/>
      </w:pPr>
    </w:lvl>
    <w:lvl w:ilvl="2" w:tplc="1108B778">
      <w:numFmt w:val="decimal"/>
      <w:lvlText w:val=""/>
      <w:lvlJc w:val="left"/>
    </w:lvl>
    <w:lvl w:ilvl="3" w:tplc="F49A48BE">
      <w:numFmt w:val="decimal"/>
      <w:lvlText w:val=""/>
      <w:lvlJc w:val="left"/>
    </w:lvl>
    <w:lvl w:ilvl="4" w:tplc="37EA7A2E">
      <w:numFmt w:val="decimal"/>
      <w:lvlText w:val=""/>
      <w:lvlJc w:val="left"/>
    </w:lvl>
    <w:lvl w:ilvl="5" w:tplc="92D224E6">
      <w:numFmt w:val="decimal"/>
      <w:lvlText w:val=""/>
      <w:lvlJc w:val="left"/>
    </w:lvl>
    <w:lvl w:ilvl="6" w:tplc="E488D366">
      <w:numFmt w:val="decimal"/>
      <w:lvlText w:val=""/>
      <w:lvlJc w:val="left"/>
    </w:lvl>
    <w:lvl w:ilvl="7" w:tplc="940E84C2">
      <w:numFmt w:val="decimal"/>
      <w:lvlText w:val=""/>
      <w:lvlJc w:val="left"/>
    </w:lvl>
    <w:lvl w:ilvl="8" w:tplc="87E61884">
      <w:numFmt w:val="decimal"/>
      <w:lvlText w:val=""/>
      <w:lvlJc w:val="left"/>
    </w:lvl>
  </w:abstractNum>
  <w:abstractNum w:abstractNumId="1" w15:restartNumberingAfterBreak="0">
    <w:nsid w:val="20A9237C"/>
    <w:multiLevelType w:val="hybridMultilevel"/>
    <w:tmpl w:val="F230B88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D1B170A"/>
    <w:multiLevelType w:val="hybridMultilevel"/>
    <w:tmpl w:val="71123350"/>
    <w:lvl w:ilvl="0" w:tplc="BE2C1A54">
      <w:start w:val="10"/>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00616A"/>
    <w:multiLevelType w:val="hybridMultilevel"/>
    <w:tmpl w:val="CBFAD182"/>
    <w:lvl w:ilvl="0" w:tplc="FB4657E4">
      <w:start w:val="1"/>
      <w:numFmt w:val="decimal"/>
      <w:lvlText w:val="%1."/>
      <w:lvlJc w:val="left"/>
      <w:pPr>
        <w:ind w:left="420" w:hanging="340"/>
      </w:pPr>
    </w:lvl>
    <w:lvl w:ilvl="1" w:tplc="4CFA8374">
      <w:numFmt w:val="decimal"/>
      <w:lvlText w:val=""/>
      <w:lvlJc w:val="left"/>
    </w:lvl>
    <w:lvl w:ilvl="2" w:tplc="6E3429FA">
      <w:numFmt w:val="decimal"/>
      <w:lvlText w:val=""/>
      <w:lvlJc w:val="left"/>
    </w:lvl>
    <w:lvl w:ilvl="3" w:tplc="B21C7F14">
      <w:numFmt w:val="decimal"/>
      <w:lvlText w:val=""/>
      <w:lvlJc w:val="left"/>
    </w:lvl>
    <w:lvl w:ilvl="4" w:tplc="83ACD304">
      <w:numFmt w:val="decimal"/>
      <w:lvlText w:val=""/>
      <w:lvlJc w:val="left"/>
    </w:lvl>
    <w:lvl w:ilvl="5" w:tplc="D5FA5982">
      <w:numFmt w:val="decimal"/>
      <w:lvlText w:val=""/>
      <w:lvlJc w:val="left"/>
    </w:lvl>
    <w:lvl w:ilvl="6" w:tplc="34CABAA8">
      <w:numFmt w:val="decimal"/>
      <w:lvlText w:val=""/>
      <w:lvlJc w:val="left"/>
    </w:lvl>
    <w:lvl w:ilvl="7" w:tplc="6D664B54">
      <w:numFmt w:val="decimal"/>
      <w:lvlText w:val=""/>
      <w:lvlJc w:val="left"/>
    </w:lvl>
    <w:lvl w:ilvl="8" w:tplc="445E4882">
      <w:numFmt w:val="decimal"/>
      <w:lvlText w:val=""/>
      <w:lvlJc w:val="left"/>
    </w:lvl>
  </w:abstractNum>
  <w:abstractNum w:abstractNumId="4" w15:restartNumberingAfterBreak="0">
    <w:nsid w:val="38AB3676"/>
    <w:multiLevelType w:val="hybridMultilevel"/>
    <w:tmpl w:val="8CA05498"/>
    <w:lvl w:ilvl="0" w:tplc="B24EE610">
      <w:start w:val="1"/>
      <w:numFmt w:val="bullet"/>
      <w:lvlText w:val="●"/>
      <w:lvlJc w:val="left"/>
      <w:pPr>
        <w:ind w:left="720" w:hanging="360"/>
      </w:pPr>
    </w:lvl>
    <w:lvl w:ilvl="1" w:tplc="B59C9608">
      <w:start w:val="1"/>
      <w:numFmt w:val="bullet"/>
      <w:lvlText w:val="○"/>
      <w:lvlJc w:val="left"/>
      <w:pPr>
        <w:ind w:left="1440" w:hanging="360"/>
      </w:pPr>
    </w:lvl>
    <w:lvl w:ilvl="2" w:tplc="5F128E90">
      <w:start w:val="1"/>
      <w:numFmt w:val="bullet"/>
      <w:lvlText w:val="■"/>
      <w:lvlJc w:val="left"/>
      <w:pPr>
        <w:ind w:left="2160" w:hanging="360"/>
      </w:pPr>
    </w:lvl>
    <w:lvl w:ilvl="3" w:tplc="C8747F66">
      <w:start w:val="1"/>
      <w:numFmt w:val="bullet"/>
      <w:lvlText w:val="●"/>
      <w:lvlJc w:val="left"/>
      <w:pPr>
        <w:ind w:left="2880" w:hanging="360"/>
      </w:pPr>
    </w:lvl>
    <w:lvl w:ilvl="4" w:tplc="1444D8CE">
      <w:start w:val="1"/>
      <w:numFmt w:val="bullet"/>
      <w:lvlText w:val="○"/>
      <w:lvlJc w:val="left"/>
      <w:pPr>
        <w:ind w:left="3600" w:hanging="360"/>
      </w:pPr>
    </w:lvl>
    <w:lvl w:ilvl="5" w:tplc="18340B0C">
      <w:start w:val="1"/>
      <w:numFmt w:val="bullet"/>
      <w:lvlText w:val="■"/>
      <w:lvlJc w:val="left"/>
      <w:pPr>
        <w:ind w:left="4320" w:hanging="360"/>
      </w:pPr>
    </w:lvl>
    <w:lvl w:ilvl="6" w:tplc="054209A8">
      <w:start w:val="1"/>
      <w:numFmt w:val="bullet"/>
      <w:lvlText w:val="●"/>
      <w:lvlJc w:val="left"/>
      <w:pPr>
        <w:ind w:left="5040" w:hanging="360"/>
      </w:pPr>
    </w:lvl>
    <w:lvl w:ilvl="7" w:tplc="DF1264F2">
      <w:start w:val="1"/>
      <w:numFmt w:val="bullet"/>
      <w:lvlText w:val="●"/>
      <w:lvlJc w:val="left"/>
      <w:pPr>
        <w:ind w:left="5760" w:hanging="360"/>
      </w:pPr>
    </w:lvl>
    <w:lvl w:ilvl="8" w:tplc="2638AAD6">
      <w:start w:val="1"/>
      <w:numFmt w:val="bullet"/>
      <w:lvlText w:val="●"/>
      <w:lvlJc w:val="left"/>
      <w:pPr>
        <w:ind w:left="6480" w:hanging="360"/>
      </w:pPr>
    </w:lvl>
  </w:abstractNum>
  <w:abstractNum w:abstractNumId="5" w15:restartNumberingAfterBreak="0">
    <w:nsid w:val="43320FA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70E29E1"/>
    <w:multiLevelType w:val="multilevel"/>
    <w:tmpl w:val="DB389DF2"/>
    <w:lvl w:ilvl="0">
      <w:start w:val="1"/>
      <w:numFmt w:val="decimal"/>
      <w:lvlText w:val="%1"/>
      <w:lvlJc w:val="left"/>
      <w:pPr>
        <w:ind w:left="1065" w:hanging="705"/>
      </w:pPr>
      <w:rPr>
        <w:rFonts w:hint="default"/>
        <w:b/>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8BA467F"/>
    <w:multiLevelType w:val="multilevel"/>
    <w:tmpl w:val="5B12572A"/>
    <w:lvl w:ilvl="0">
      <w:start w:val="1"/>
      <w:numFmt w:val="decimal"/>
      <w:lvlText w:val="%1"/>
      <w:lvlJc w:val="left"/>
      <w:pPr>
        <w:ind w:left="400" w:hanging="340"/>
      </w:pPr>
    </w:lvl>
    <w:lvl w:ilvl="1">
      <w:start w:val="1"/>
      <w:numFmt w:val="decimal"/>
      <w:lvlText w:val="%1.%2"/>
      <w:lvlJc w:val="left"/>
      <w:pPr>
        <w:ind w:left="840" w:hanging="4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51540370">
    <w:abstractNumId w:val="4"/>
    <w:lvlOverride w:ilvl="0">
      <w:startOverride w:val="1"/>
    </w:lvlOverride>
  </w:num>
  <w:num w:numId="2" w16cid:durableId="673191408">
    <w:abstractNumId w:val="0"/>
  </w:num>
  <w:num w:numId="3" w16cid:durableId="486747454">
    <w:abstractNumId w:val="3"/>
    <w:lvlOverride w:ilvl="0">
      <w:startOverride w:val="1"/>
    </w:lvlOverride>
  </w:num>
  <w:num w:numId="4" w16cid:durableId="923995526">
    <w:abstractNumId w:val="7"/>
    <w:lvlOverride w:ilvl="0">
      <w:startOverride w:val="1"/>
    </w:lvlOverride>
  </w:num>
  <w:num w:numId="5" w16cid:durableId="32538222">
    <w:abstractNumId w:val="1"/>
  </w:num>
  <w:num w:numId="6" w16cid:durableId="186601843">
    <w:abstractNumId w:val="6"/>
  </w:num>
  <w:num w:numId="7" w16cid:durableId="904757047">
    <w:abstractNumId w:val="5"/>
  </w:num>
  <w:num w:numId="8" w16cid:durableId="538013486">
    <w:abstractNumId w:val="0"/>
  </w:num>
  <w:num w:numId="9" w16cid:durableId="640116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D94"/>
    <w:rsid w:val="00001960"/>
    <w:rsid w:val="0000698A"/>
    <w:rsid w:val="000266C9"/>
    <w:rsid w:val="000274D8"/>
    <w:rsid w:val="000327EE"/>
    <w:rsid w:val="000344C6"/>
    <w:rsid w:val="00042D19"/>
    <w:rsid w:val="00043AC6"/>
    <w:rsid w:val="00043D83"/>
    <w:rsid w:val="000452DE"/>
    <w:rsid w:val="00045FA4"/>
    <w:rsid w:val="00046A23"/>
    <w:rsid w:val="00054E50"/>
    <w:rsid w:val="00057BBB"/>
    <w:rsid w:val="000662D4"/>
    <w:rsid w:val="00066335"/>
    <w:rsid w:val="00072A18"/>
    <w:rsid w:val="00072FA1"/>
    <w:rsid w:val="00077013"/>
    <w:rsid w:val="00085E65"/>
    <w:rsid w:val="00090580"/>
    <w:rsid w:val="00090C45"/>
    <w:rsid w:val="000934A2"/>
    <w:rsid w:val="000975AC"/>
    <w:rsid w:val="000A527F"/>
    <w:rsid w:val="000A52EE"/>
    <w:rsid w:val="000B1341"/>
    <w:rsid w:val="000B4239"/>
    <w:rsid w:val="000B56B2"/>
    <w:rsid w:val="000B64DA"/>
    <w:rsid w:val="000B73A8"/>
    <w:rsid w:val="000D4207"/>
    <w:rsid w:val="000D47EC"/>
    <w:rsid w:val="000D5DCC"/>
    <w:rsid w:val="000D6695"/>
    <w:rsid w:val="000E2942"/>
    <w:rsid w:val="000E51D5"/>
    <w:rsid w:val="000F3CBE"/>
    <w:rsid w:val="00100E51"/>
    <w:rsid w:val="00111C31"/>
    <w:rsid w:val="00114241"/>
    <w:rsid w:val="00116E2F"/>
    <w:rsid w:val="001275A9"/>
    <w:rsid w:val="00140856"/>
    <w:rsid w:val="0014211D"/>
    <w:rsid w:val="00145103"/>
    <w:rsid w:val="0015166C"/>
    <w:rsid w:val="00160ABF"/>
    <w:rsid w:val="00161613"/>
    <w:rsid w:val="00171275"/>
    <w:rsid w:val="00181106"/>
    <w:rsid w:val="001846EC"/>
    <w:rsid w:val="001922A1"/>
    <w:rsid w:val="001946D1"/>
    <w:rsid w:val="0019769B"/>
    <w:rsid w:val="001A4D7B"/>
    <w:rsid w:val="001B05EF"/>
    <w:rsid w:val="001B1A47"/>
    <w:rsid w:val="001B2C01"/>
    <w:rsid w:val="001B3B13"/>
    <w:rsid w:val="001C196D"/>
    <w:rsid w:val="001D463C"/>
    <w:rsid w:val="001D475B"/>
    <w:rsid w:val="001E14D2"/>
    <w:rsid w:val="001E53A4"/>
    <w:rsid w:val="001E65AC"/>
    <w:rsid w:val="001F2166"/>
    <w:rsid w:val="001F4D3E"/>
    <w:rsid w:val="001F6AB9"/>
    <w:rsid w:val="00201E66"/>
    <w:rsid w:val="00201EDA"/>
    <w:rsid w:val="00207146"/>
    <w:rsid w:val="00210E6E"/>
    <w:rsid w:val="00214337"/>
    <w:rsid w:val="00216071"/>
    <w:rsid w:val="00216621"/>
    <w:rsid w:val="00220F9C"/>
    <w:rsid w:val="002272B5"/>
    <w:rsid w:val="00227CE5"/>
    <w:rsid w:val="00230797"/>
    <w:rsid w:val="00231C03"/>
    <w:rsid w:val="00237559"/>
    <w:rsid w:val="00237911"/>
    <w:rsid w:val="00237FA2"/>
    <w:rsid w:val="002516A3"/>
    <w:rsid w:val="00254B26"/>
    <w:rsid w:val="00257DB4"/>
    <w:rsid w:val="00274D5B"/>
    <w:rsid w:val="002826D9"/>
    <w:rsid w:val="00286D1B"/>
    <w:rsid w:val="002A4D94"/>
    <w:rsid w:val="002B5FB8"/>
    <w:rsid w:val="002B6817"/>
    <w:rsid w:val="002B7E25"/>
    <w:rsid w:val="002C1A0D"/>
    <w:rsid w:val="002C3178"/>
    <w:rsid w:val="002D2DB6"/>
    <w:rsid w:val="002D5F72"/>
    <w:rsid w:val="002D71A4"/>
    <w:rsid w:val="002E0D8E"/>
    <w:rsid w:val="002E70A4"/>
    <w:rsid w:val="002E7128"/>
    <w:rsid w:val="0031107A"/>
    <w:rsid w:val="00316AA0"/>
    <w:rsid w:val="00321F5E"/>
    <w:rsid w:val="00322094"/>
    <w:rsid w:val="0034187F"/>
    <w:rsid w:val="00344496"/>
    <w:rsid w:val="00346878"/>
    <w:rsid w:val="00372099"/>
    <w:rsid w:val="00374E67"/>
    <w:rsid w:val="0038187A"/>
    <w:rsid w:val="003833E8"/>
    <w:rsid w:val="003912C4"/>
    <w:rsid w:val="003A4A2A"/>
    <w:rsid w:val="003A5200"/>
    <w:rsid w:val="003B08F8"/>
    <w:rsid w:val="003B1B6A"/>
    <w:rsid w:val="003B53B7"/>
    <w:rsid w:val="003B7699"/>
    <w:rsid w:val="003C1F16"/>
    <w:rsid w:val="003D0BF5"/>
    <w:rsid w:val="003D7344"/>
    <w:rsid w:val="003E4D70"/>
    <w:rsid w:val="003F2B3D"/>
    <w:rsid w:val="00403A74"/>
    <w:rsid w:val="00412509"/>
    <w:rsid w:val="00413E9A"/>
    <w:rsid w:val="00420BDC"/>
    <w:rsid w:val="00421F7A"/>
    <w:rsid w:val="00426611"/>
    <w:rsid w:val="00427082"/>
    <w:rsid w:val="00434A6C"/>
    <w:rsid w:val="0043704D"/>
    <w:rsid w:val="0044482A"/>
    <w:rsid w:val="00451676"/>
    <w:rsid w:val="00460863"/>
    <w:rsid w:val="004626C8"/>
    <w:rsid w:val="004708EE"/>
    <w:rsid w:val="004828EA"/>
    <w:rsid w:val="00484A30"/>
    <w:rsid w:val="004924ED"/>
    <w:rsid w:val="00494BE9"/>
    <w:rsid w:val="004B15FC"/>
    <w:rsid w:val="004B351B"/>
    <w:rsid w:val="004B5888"/>
    <w:rsid w:val="004C3330"/>
    <w:rsid w:val="004D2126"/>
    <w:rsid w:val="004D5C5A"/>
    <w:rsid w:val="004F1889"/>
    <w:rsid w:val="00501675"/>
    <w:rsid w:val="00503CFB"/>
    <w:rsid w:val="0050669B"/>
    <w:rsid w:val="005138D4"/>
    <w:rsid w:val="00524016"/>
    <w:rsid w:val="00527487"/>
    <w:rsid w:val="00530907"/>
    <w:rsid w:val="00532A07"/>
    <w:rsid w:val="00532BA8"/>
    <w:rsid w:val="00535793"/>
    <w:rsid w:val="005401E7"/>
    <w:rsid w:val="0054028A"/>
    <w:rsid w:val="00541A9C"/>
    <w:rsid w:val="0054202F"/>
    <w:rsid w:val="0054747F"/>
    <w:rsid w:val="0055238F"/>
    <w:rsid w:val="00552D94"/>
    <w:rsid w:val="005674BA"/>
    <w:rsid w:val="0056757D"/>
    <w:rsid w:val="00573DB9"/>
    <w:rsid w:val="00592583"/>
    <w:rsid w:val="005958DE"/>
    <w:rsid w:val="005A2ED6"/>
    <w:rsid w:val="005A4C58"/>
    <w:rsid w:val="005B1481"/>
    <w:rsid w:val="005C2A4F"/>
    <w:rsid w:val="005C5691"/>
    <w:rsid w:val="005D708B"/>
    <w:rsid w:val="005E01EA"/>
    <w:rsid w:val="005E04B8"/>
    <w:rsid w:val="005E4F02"/>
    <w:rsid w:val="005F342E"/>
    <w:rsid w:val="005F40CE"/>
    <w:rsid w:val="005F61C7"/>
    <w:rsid w:val="005F67CE"/>
    <w:rsid w:val="005F7ECD"/>
    <w:rsid w:val="006007E4"/>
    <w:rsid w:val="00602654"/>
    <w:rsid w:val="0061199A"/>
    <w:rsid w:val="00612BE7"/>
    <w:rsid w:val="00620237"/>
    <w:rsid w:val="00623140"/>
    <w:rsid w:val="00623471"/>
    <w:rsid w:val="0063114C"/>
    <w:rsid w:val="00636864"/>
    <w:rsid w:val="0064064B"/>
    <w:rsid w:val="00640BE3"/>
    <w:rsid w:val="00644DF2"/>
    <w:rsid w:val="00647759"/>
    <w:rsid w:val="00657623"/>
    <w:rsid w:val="00675AFD"/>
    <w:rsid w:val="0067658A"/>
    <w:rsid w:val="00684306"/>
    <w:rsid w:val="006979F4"/>
    <w:rsid w:val="006A0F53"/>
    <w:rsid w:val="006A1D8E"/>
    <w:rsid w:val="006A3D97"/>
    <w:rsid w:val="006A5522"/>
    <w:rsid w:val="006B1B57"/>
    <w:rsid w:val="006B3762"/>
    <w:rsid w:val="006D16F3"/>
    <w:rsid w:val="006D3724"/>
    <w:rsid w:val="006E12AC"/>
    <w:rsid w:val="006E2D83"/>
    <w:rsid w:val="006E2ED7"/>
    <w:rsid w:val="006E3CE6"/>
    <w:rsid w:val="00702906"/>
    <w:rsid w:val="007042E6"/>
    <w:rsid w:val="00720E6C"/>
    <w:rsid w:val="007232E1"/>
    <w:rsid w:val="007264B4"/>
    <w:rsid w:val="00735880"/>
    <w:rsid w:val="007455CC"/>
    <w:rsid w:val="0074591B"/>
    <w:rsid w:val="00752F93"/>
    <w:rsid w:val="007560FC"/>
    <w:rsid w:val="0076392A"/>
    <w:rsid w:val="00764311"/>
    <w:rsid w:val="007670E4"/>
    <w:rsid w:val="0077264D"/>
    <w:rsid w:val="007753CC"/>
    <w:rsid w:val="00785C35"/>
    <w:rsid w:val="0079132A"/>
    <w:rsid w:val="00791CD1"/>
    <w:rsid w:val="007A13DE"/>
    <w:rsid w:val="007A33AD"/>
    <w:rsid w:val="007B0898"/>
    <w:rsid w:val="007B27E3"/>
    <w:rsid w:val="007B36C0"/>
    <w:rsid w:val="007B5DE0"/>
    <w:rsid w:val="007C310C"/>
    <w:rsid w:val="007D06DB"/>
    <w:rsid w:val="007D2A98"/>
    <w:rsid w:val="007D7A2A"/>
    <w:rsid w:val="007E23EE"/>
    <w:rsid w:val="007F1A85"/>
    <w:rsid w:val="007F64A3"/>
    <w:rsid w:val="00804EC3"/>
    <w:rsid w:val="00805733"/>
    <w:rsid w:val="00811405"/>
    <w:rsid w:val="008137C4"/>
    <w:rsid w:val="00820FAD"/>
    <w:rsid w:val="00826A55"/>
    <w:rsid w:val="008306C6"/>
    <w:rsid w:val="0083337A"/>
    <w:rsid w:val="0083459E"/>
    <w:rsid w:val="00847CC1"/>
    <w:rsid w:val="00854BE0"/>
    <w:rsid w:val="00864C11"/>
    <w:rsid w:val="00873C32"/>
    <w:rsid w:val="00881008"/>
    <w:rsid w:val="00884A0D"/>
    <w:rsid w:val="00894018"/>
    <w:rsid w:val="00896A34"/>
    <w:rsid w:val="008A143D"/>
    <w:rsid w:val="008B7D79"/>
    <w:rsid w:val="008D3135"/>
    <w:rsid w:val="008D46FB"/>
    <w:rsid w:val="008E28F6"/>
    <w:rsid w:val="008E4B98"/>
    <w:rsid w:val="008E5C0B"/>
    <w:rsid w:val="008E69F1"/>
    <w:rsid w:val="008E761D"/>
    <w:rsid w:val="008F04E6"/>
    <w:rsid w:val="008F1B82"/>
    <w:rsid w:val="008F7092"/>
    <w:rsid w:val="008F7B5A"/>
    <w:rsid w:val="008F7CF9"/>
    <w:rsid w:val="00903BC0"/>
    <w:rsid w:val="00904660"/>
    <w:rsid w:val="00905AD1"/>
    <w:rsid w:val="00913C19"/>
    <w:rsid w:val="00915879"/>
    <w:rsid w:val="009223AF"/>
    <w:rsid w:val="0093236B"/>
    <w:rsid w:val="00932EFF"/>
    <w:rsid w:val="009362C2"/>
    <w:rsid w:val="009425F8"/>
    <w:rsid w:val="00943630"/>
    <w:rsid w:val="009550BA"/>
    <w:rsid w:val="009618AC"/>
    <w:rsid w:val="00965D64"/>
    <w:rsid w:val="00966779"/>
    <w:rsid w:val="00970986"/>
    <w:rsid w:val="009722A3"/>
    <w:rsid w:val="009734D4"/>
    <w:rsid w:val="00997538"/>
    <w:rsid w:val="009A0F0B"/>
    <w:rsid w:val="009A2C17"/>
    <w:rsid w:val="009A586E"/>
    <w:rsid w:val="009A7389"/>
    <w:rsid w:val="009B5C60"/>
    <w:rsid w:val="009C43F3"/>
    <w:rsid w:val="009D2911"/>
    <w:rsid w:val="009D6E15"/>
    <w:rsid w:val="009E546C"/>
    <w:rsid w:val="009E583A"/>
    <w:rsid w:val="009F1407"/>
    <w:rsid w:val="009F4B62"/>
    <w:rsid w:val="00A052C1"/>
    <w:rsid w:val="00A073E0"/>
    <w:rsid w:val="00A07F81"/>
    <w:rsid w:val="00A14A4B"/>
    <w:rsid w:val="00A20596"/>
    <w:rsid w:val="00A20991"/>
    <w:rsid w:val="00A227ED"/>
    <w:rsid w:val="00A240A2"/>
    <w:rsid w:val="00A25DC1"/>
    <w:rsid w:val="00A300F5"/>
    <w:rsid w:val="00A30F33"/>
    <w:rsid w:val="00A31AA4"/>
    <w:rsid w:val="00A32E0B"/>
    <w:rsid w:val="00A3639C"/>
    <w:rsid w:val="00A4441C"/>
    <w:rsid w:val="00A46305"/>
    <w:rsid w:val="00A50DBC"/>
    <w:rsid w:val="00A515A1"/>
    <w:rsid w:val="00A63462"/>
    <w:rsid w:val="00A63CCC"/>
    <w:rsid w:val="00A723C7"/>
    <w:rsid w:val="00A7378B"/>
    <w:rsid w:val="00A80308"/>
    <w:rsid w:val="00A809F5"/>
    <w:rsid w:val="00A8357D"/>
    <w:rsid w:val="00A874C5"/>
    <w:rsid w:val="00A962E8"/>
    <w:rsid w:val="00A96E16"/>
    <w:rsid w:val="00AB048B"/>
    <w:rsid w:val="00AB0F1B"/>
    <w:rsid w:val="00AC4813"/>
    <w:rsid w:val="00AC6D35"/>
    <w:rsid w:val="00AC706A"/>
    <w:rsid w:val="00AC7F8B"/>
    <w:rsid w:val="00AE0E9C"/>
    <w:rsid w:val="00AF03A7"/>
    <w:rsid w:val="00AF0494"/>
    <w:rsid w:val="00AF09E1"/>
    <w:rsid w:val="00AF599D"/>
    <w:rsid w:val="00B01E74"/>
    <w:rsid w:val="00B043AF"/>
    <w:rsid w:val="00B13131"/>
    <w:rsid w:val="00B1798A"/>
    <w:rsid w:val="00B235F9"/>
    <w:rsid w:val="00B34598"/>
    <w:rsid w:val="00B34D3D"/>
    <w:rsid w:val="00B36C6C"/>
    <w:rsid w:val="00B47E59"/>
    <w:rsid w:val="00B510BC"/>
    <w:rsid w:val="00B5481D"/>
    <w:rsid w:val="00B57F0C"/>
    <w:rsid w:val="00B61103"/>
    <w:rsid w:val="00B6269B"/>
    <w:rsid w:val="00B7199A"/>
    <w:rsid w:val="00B77467"/>
    <w:rsid w:val="00B77826"/>
    <w:rsid w:val="00B807EE"/>
    <w:rsid w:val="00B82ED6"/>
    <w:rsid w:val="00B9461A"/>
    <w:rsid w:val="00BA21D2"/>
    <w:rsid w:val="00BC0440"/>
    <w:rsid w:val="00BC09E4"/>
    <w:rsid w:val="00BC2960"/>
    <w:rsid w:val="00BC67DD"/>
    <w:rsid w:val="00BC7CA4"/>
    <w:rsid w:val="00BC7EEB"/>
    <w:rsid w:val="00BE281E"/>
    <w:rsid w:val="00BF1B34"/>
    <w:rsid w:val="00C0243E"/>
    <w:rsid w:val="00C02D31"/>
    <w:rsid w:val="00C02D3A"/>
    <w:rsid w:val="00C12ABE"/>
    <w:rsid w:val="00C22A53"/>
    <w:rsid w:val="00C44930"/>
    <w:rsid w:val="00C66841"/>
    <w:rsid w:val="00C718BE"/>
    <w:rsid w:val="00C742D3"/>
    <w:rsid w:val="00C81963"/>
    <w:rsid w:val="00C841D0"/>
    <w:rsid w:val="00C85A6C"/>
    <w:rsid w:val="00C9336C"/>
    <w:rsid w:val="00C96B79"/>
    <w:rsid w:val="00C97FCD"/>
    <w:rsid w:val="00CA54E8"/>
    <w:rsid w:val="00CA7601"/>
    <w:rsid w:val="00CB5892"/>
    <w:rsid w:val="00CE1857"/>
    <w:rsid w:val="00D06858"/>
    <w:rsid w:val="00D06C20"/>
    <w:rsid w:val="00D119B7"/>
    <w:rsid w:val="00D15515"/>
    <w:rsid w:val="00D22003"/>
    <w:rsid w:val="00D22177"/>
    <w:rsid w:val="00D24FB2"/>
    <w:rsid w:val="00D269A6"/>
    <w:rsid w:val="00D31859"/>
    <w:rsid w:val="00D328FB"/>
    <w:rsid w:val="00D33126"/>
    <w:rsid w:val="00D36E6E"/>
    <w:rsid w:val="00D439BB"/>
    <w:rsid w:val="00D5121E"/>
    <w:rsid w:val="00D541BD"/>
    <w:rsid w:val="00D56BD9"/>
    <w:rsid w:val="00D63983"/>
    <w:rsid w:val="00D64A8C"/>
    <w:rsid w:val="00D74E27"/>
    <w:rsid w:val="00D87E86"/>
    <w:rsid w:val="00D87E99"/>
    <w:rsid w:val="00D90DCA"/>
    <w:rsid w:val="00D910CE"/>
    <w:rsid w:val="00D92EEE"/>
    <w:rsid w:val="00D9316E"/>
    <w:rsid w:val="00D93239"/>
    <w:rsid w:val="00D941FE"/>
    <w:rsid w:val="00DA411A"/>
    <w:rsid w:val="00DB3EE0"/>
    <w:rsid w:val="00DB49AE"/>
    <w:rsid w:val="00DB7D00"/>
    <w:rsid w:val="00DC246E"/>
    <w:rsid w:val="00DC3E51"/>
    <w:rsid w:val="00DD4E6F"/>
    <w:rsid w:val="00DE50F0"/>
    <w:rsid w:val="00DF1E35"/>
    <w:rsid w:val="00DF216B"/>
    <w:rsid w:val="00DF22AD"/>
    <w:rsid w:val="00E0056C"/>
    <w:rsid w:val="00E02177"/>
    <w:rsid w:val="00E02578"/>
    <w:rsid w:val="00E02C73"/>
    <w:rsid w:val="00E13161"/>
    <w:rsid w:val="00E16531"/>
    <w:rsid w:val="00E17485"/>
    <w:rsid w:val="00E24398"/>
    <w:rsid w:val="00E309A2"/>
    <w:rsid w:val="00E32A9E"/>
    <w:rsid w:val="00E33577"/>
    <w:rsid w:val="00E34EE2"/>
    <w:rsid w:val="00E37229"/>
    <w:rsid w:val="00E40023"/>
    <w:rsid w:val="00E403CB"/>
    <w:rsid w:val="00E47A7E"/>
    <w:rsid w:val="00E50BC8"/>
    <w:rsid w:val="00E5125D"/>
    <w:rsid w:val="00E52CD1"/>
    <w:rsid w:val="00E72FF8"/>
    <w:rsid w:val="00E76DD7"/>
    <w:rsid w:val="00E774E9"/>
    <w:rsid w:val="00E83983"/>
    <w:rsid w:val="00E9143D"/>
    <w:rsid w:val="00EB07E3"/>
    <w:rsid w:val="00EB2682"/>
    <w:rsid w:val="00EB6145"/>
    <w:rsid w:val="00EB7807"/>
    <w:rsid w:val="00EC1A09"/>
    <w:rsid w:val="00ED0C08"/>
    <w:rsid w:val="00ED7135"/>
    <w:rsid w:val="00EE782F"/>
    <w:rsid w:val="00EF0BED"/>
    <w:rsid w:val="00EF2231"/>
    <w:rsid w:val="00F05424"/>
    <w:rsid w:val="00F05829"/>
    <w:rsid w:val="00F10199"/>
    <w:rsid w:val="00F113B0"/>
    <w:rsid w:val="00F12AFF"/>
    <w:rsid w:val="00F159DE"/>
    <w:rsid w:val="00F21EE1"/>
    <w:rsid w:val="00F303E7"/>
    <w:rsid w:val="00F3040A"/>
    <w:rsid w:val="00F33565"/>
    <w:rsid w:val="00F379D9"/>
    <w:rsid w:val="00F41B93"/>
    <w:rsid w:val="00F423CF"/>
    <w:rsid w:val="00F44EC5"/>
    <w:rsid w:val="00F46457"/>
    <w:rsid w:val="00F50CE8"/>
    <w:rsid w:val="00F54D1C"/>
    <w:rsid w:val="00F56203"/>
    <w:rsid w:val="00F56B49"/>
    <w:rsid w:val="00F6019C"/>
    <w:rsid w:val="00F64E35"/>
    <w:rsid w:val="00F66355"/>
    <w:rsid w:val="00F741A3"/>
    <w:rsid w:val="00F766E2"/>
    <w:rsid w:val="00F84101"/>
    <w:rsid w:val="00F84FC2"/>
    <w:rsid w:val="00F921E9"/>
    <w:rsid w:val="00FA13D6"/>
    <w:rsid w:val="00FA4A0B"/>
    <w:rsid w:val="00FA4DA5"/>
    <w:rsid w:val="00FA4FCF"/>
    <w:rsid w:val="00FB10F9"/>
    <w:rsid w:val="00FB1FB2"/>
    <w:rsid w:val="00FB238B"/>
    <w:rsid w:val="00FC48D7"/>
    <w:rsid w:val="00FC4D16"/>
    <w:rsid w:val="00FC4EB3"/>
    <w:rsid w:val="00FD0CF8"/>
    <w:rsid w:val="00FF273B"/>
    <w:rsid w:val="00FF435B"/>
    <w:rsid w:val="00FF51D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F1F2E"/>
  <w15:docId w15:val="{E0ECFF04-020D-4820-AF88-94AA72B66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B07E3"/>
    <w:pPr>
      <w:jc w:val="both"/>
    </w:pPr>
  </w:style>
  <w:style w:type="paragraph" w:styleId="berschrift1">
    <w:name w:val="heading 1"/>
    <w:uiPriority w:val="9"/>
    <w:qFormat/>
    <w:pPr>
      <w:outlineLvl w:val="0"/>
    </w:pPr>
    <w:rPr>
      <w:color w:val="2E74B5"/>
      <w:sz w:val="32"/>
      <w:szCs w:val="32"/>
    </w:rPr>
  </w:style>
  <w:style w:type="paragraph" w:styleId="berschrift2">
    <w:name w:val="heading 2"/>
    <w:link w:val="berschrift2Zchn"/>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BA21D2"/>
    <w:pPr>
      <w:tabs>
        <w:tab w:val="center" w:pos="4536"/>
        <w:tab w:val="right" w:pos="9072"/>
      </w:tabs>
    </w:pPr>
  </w:style>
  <w:style w:type="character" w:customStyle="1" w:styleId="KopfzeileZchn">
    <w:name w:val="Kopfzeile Zchn"/>
    <w:basedOn w:val="Absatz-Standardschriftart"/>
    <w:link w:val="Kopfzeile"/>
    <w:uiPriority w:val="99"/>
    <w:rsid w:val="00BA21D2"/>
  </w:style>
  <w:style w:type="paragraph" w:styleId="Fuzeile">
    <w:name w:val="footer"/>
    <w:basedOn w:val="Standard"/>
    <w:link w:val="FuzeileZchn"/>
    <w:uiPriority w:val="99"/>
    <w:unhideWhenUsed/>
    <w:rsid w:val="00BA21D2"/>
    <w:pPr>
      <w:tabs>
        <w:tab w:val="center" w:pos="4536"/>
        <w:tab w:val="right" w:pos="9072"/>
      </w:tabs>
    </w:pPr>
  </w:style>
  <w:style w:type="character" w:customStyle="1" w:styleId="FuzeileZchn">
    <w:name w:val="Fußzeile Zchn"/>
    <w:basedOn w:val="Absatz-Standardschriftart"/>
    <w:link w:val="Fuzeile"/>
    <w:uiPriority w:val="99"/>
    <w:rsid w:val="00BA21D2"/>
  </w:style>
  <w:style w:type="character" w:styleId="Kommentarzeichen">
    <w:name w:val="annotation reference"/>
    <w:basedOn w:val="Absatz-Standardschriftart"/>
    <w:uiPriority w:val="99"/>
    <w:semiHidden/>
    <w:unhideWhenUsed/>
    <w:rsid w:val="00077013"/>
    <w:rPr>
      <w:sz w:val="16"/>
      <w:szCs w:val="16"/>
    </w:rPr>
  </w:style>
  <w:style w:type="paragraph" w:styleId="Kommentartext">
    <w:name w:val="annotation text"/>
    <w:basedOn w:val="Standard"/>
    <w:link w:val="KommentartextZchn"/>
    <w:uiPriority w:val="99"/>
    <w:unhideWhenUsed/>
    <w:rsid w:val="00077013"/>
    <w:rPr>
      <w:sz w:val="20"/>
      <w:szCs w:val="20"/>
    </w:rPr>
  </w:style>
  <w:style w:type="character" w:customStyle="1" w:styleId="KommentartextZchn">
    <w:name w:val="Kommentartext Zchn"/>
    <w:basedOn w:val="Absatz-Standardschriftart"/>
    <w:link w:val="Kommentartext"/>
    <w:uiPriority w:val="99"/>
    <w:rsid w:val="00077013"/>
    <w:rPr>
      <w:sz w:val="20"/>
      <w:szCs w:val="20"/>
    </w:rPr>
  </w:style>
  <w:style w:type="paragraph" w:styleId="Kommentarthema">
    <w:name w:val="annotation subject"/>
    <w:basedOn w:val="Kommentartext"/>
    <w:next w:val="Kommentartext"/>
    <w:link w:val="KommentarthemaZchn"/>
    <w:uiPriority w:val="99"/>
    <w:semiHidden/>
    <w:unhideWhenUsed/>
    <w:rsid w:val="00077013"/>
    <w:rPr>
      <w:b/>
      <w:bCs/>
    </w:rPr>
  </w:style>
  <w:style w:type="character" w:customStyle="1" w:styleId="KommentarthemaZchn">
    <w:name w:val="Kommentarthema Zchn"/>
    <w:basedOn w:val="KommentartextZchn"/>
    <w:link w:val="Kommentarthema"/>
    <w:uiPriority w:val="99"/>
    <w:semiHidden/>
    <w:rsid w:val="00077013"/>
    <w:rPr>
      <w:b/>
      <w:bCs/>
      <w:sz w:val="20"/>
      <w:szCs w:val="20"/>
    </w:rPr>
  </w:style>
  <w:style w:type="character" w:customStyle="1" w:styleId="berschrift2Zchn">
    <w:name w:val="Überschrift 2 Zchn"/>
    <w:basedOn w:val="Absatz-Standardschriftart"/>
    <w:link w:val="berschrift2"/>
    <w:uiPriority w:val="9"/>
    <w:rsid w:val="009B5C60"/>
    <w:rPr>
      <w:color w:val="2E74B5"/>
      <w:sz w:val="26"/>
      <w:szCs w:val="26"/>
    </w:rPr>
  </w:style>
  <w:style w:type="paragraph" w:styleId="StandardWeb">
    <w:name w:val="Normal (Web)"/>
    <w:basedOn w:val="Standard"/>
    <w:uiPriority w:val="99"/>
    <w:semiHidden/>
    <w:unhideWhenUsed/>
    <w:rsid w:val="00970986"/>
    <w:pPr>
      <w:spacing w:before="100" w:beforeAutospacing="1" w:after="100" w:afterAutospacing="1"/>
      <w:jc w:val="left"/>
    </w:pPr>
    <w:rPr>
      <w:rFonts w:ascii="Times New Roman" w:eastAsia="Times New Roman" w:hAnsi="Times New Roman" w:cs="Times New Roman"/>
      <w:sz w:val="24"/>
      <w:szCs w:val="24"/>
    </w:rPr>
  </w:style>
  <w:style w:type="character" w:styleId="Fett">
    <w:name w:val="Strong"/>
    <w:basedOn w:val="Absatz-Standardschriftart"/>
    <w:uiPriority w:val="22"/>
    <w:qFormat/>
    <w:rsid w:val="00970986"/>
    <w:rPr>
      <w:b/>
      <w:bCs/>
    </w:rPr>
  </w:style>
  <w:style w:type="character" w:styleId="Hervorhebung">
    <w:name w:val="Emphasis"/>
    <w:basedOn w:val="Absatz-Standardschriftart"/>
    <w:uiPriority w:val="20"/>
    <w:qFormat/>
    <w:rsid w:val="00970986"/>
    <w:rPr>
      <w:i/>
      <w:iCs/>
    </w:rPr>
  </w:style>
  <w:style w:type="paragraph" w:customStyle="1" w:styleId="Standard1">
    <w:name w:val="Standard1"/>
    <w:basedOn w:val="Standard"/>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7dbdb7-e219-4ebe-854f-4ab699024ee0" xsi:nil="true"/>
    <lcf76f155ced4ddcb4097134ff3c332f xmlns="b55276c4-b338-4cb7-9737-66b5ce5b91f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F1AC6575134448A0058E48A43925A9" ma:contentTypeVersion="11" ma:contentTypeDescription="Create a new document." ma:contentTypeScope="" ma:versionID="5c7745ac9277419254f50494c8e91551">
  <xsd:schema xmlns:xsd="http://www.w3.org/2001/XMLSchema" xmlns:xs="http://www.w3.org/2001/XMLSchema" xmlns:p="http://schemas.microsoft.com/office/2006/metadata/properties" xmlns:ns2="b55276c4-b338-4cb7-9737-66b5ce5b91f1" xmlns:ns3="0c7dbdb7-e219-4ebe-854f-4ab699024ee0" targetNamespace="http://schemas.microsoft.com/office/2006/metadata/properties" ma:root="true" ma:fieldsID="41291f306ffd6106717b7e023cea7f2b" ns2:_="" ns3:_="">
    <xsd:import namespace="b55276c4-b338-4cb7-9737-66b5ce5b91f1"/>
    <xsd:import namespace="0c7dbdb7-e219-4ebe-854f-4ab699024e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276c4-b338-4cb7-9737-66b5ce5b91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354813c-11b9-47e8-a31a-cbfea2ba9f6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dbdb7-e219-4ebe-854f-4ab699024e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9a8bc1-d1df-4f1a-8052-018a445f2a08}" ma:internalName="TaxCatchAll" ma:showField="CatchAllData" ma:web="0c7dbdb7-e219-4ebe-854f-4ab699024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28A5FB-8A08-40AA-9F04-B997A1A9A920}">
  <ds:schemaRefs>
    <ds:schemaRef ds:uri="http://schemas.microsoft.com/office/2006/metadata/properties"/>
    <ds:schemaRef ds:uri="http://schemas.microsoft.com/office/infopath/2007/PartnerControls"/>
    <ds:schemaRef ds:uri="0c7dbdb7-e219-4ebe-854f-4ab699024ee0"/>
    <ds:schemaRef ds:uri="b55276c4-b338-4cb7-9737-66b5ce5b91f1"/>
  </ds:schemaRefs>
</ds:datastoreItem>
</file>

<file path=customXml/itemProps2.xml><?xml version="1.0" encoding="utf-8"?>
<ds:datastoreItem xmlns:ds="http://schemas.openxmlformats.org/officeDocument/2006/customXml" ds:itemID="{2E6BFAF5-D4E4-498A-BC91-0D75CFE76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276c4-b338-4cb7-9737-66b5ce5b91f1"/>
    <ds:schemaRef ds:uri="0c7dbdb7-e219-4ebe-854f-4ab699024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D51941-A23C-4E9C-BE16-19BA80BAB989}">
  <ds:schemaRefs>
    <ds:schemaRef ds:uri="http://schemas.microsoft.com/sharepoint/v3/contenttype/forms"/>
  </ds:schemaRefs>
</ds:datastoreItem>
</file>

<file path=docMetadata/LabelInfo.xml><?xml version="1.0" encoding="utf-8"?>
<clbl:labelList xmlns:clbl="http://schemas.microsoft.com/office/2020/mipLabelMetadata">
  <clbl:label id="{58d84362-1b1e-41fa-9f4a-001d35549470}" enabled="1" method="Standard" siteId="{db8e2f82-8a37-4c09-b7de-ed06547b5a20}"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4394</Words>
  <Characters>32607</Characters>
  <Application>Microsoft Office Word</Application>
  <DocSecurity>0</DocSecurity>
  <Lines>741</Lines>
  <Paragraphs>278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Maxara, Sarah</cp:lastModifiedBy>
  <cp:revision>429</cp:revision>
  <dcterms:created xsi:type="dcterms:W3CDTF">2026-07-27T22:21:00Z</dcterms:created>
  <dcterms:modified xsi:type="dcterms:W3CDTF">2026-09-24T06:49:00Z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lassificationContentMarkingHeaderShapeIds">
    <vt:lpwstr>5844c92b,cacdcb6,355cf75a,5288e020</vt:lpwstr>
  </property>
  <property fmtid="{D5CDD505-2E9C-101B-9397-08002B2CF9AE}" pid="4" name="ClassificationContentMarkingHeaderFontProps">
    <vt:lpwstr>#000000,10,Arial</vt:lpwstr>
  </property>
  <property fmtid="{D5CDD505-2E9C-101B-9397-08002B2CF9AE}" pid="5" name="ClassificationContentMarkingHeaderText">
    <vt:lpwstr>General - Unencrypted</vt:lpwstr>
  </property>
  <property fmtid="{D5CDD505-2E9C-101B-9397-08002B2CF9AE}" pid="6" name="ContentTypeId">
    <vt:lpwstr>0x010100E9F1AC6575134448A0058E48A43925A9</vt:lpwstr>
  </property>
  <property fmtid="{D5CDD505-2E9C-101B-9397-08002B2CF9AE}" pid="7" name="MediaServiceImageTags">
    <vt:lpwstr/>
  </property>
  <property fmtid="{D5CDD505-2E9C-101B-9397-08002B2CF9AE}" pid="8" name="docLang">
    <vt:lpwstr>de</vt:lpwstr>
  </property>
</Properties>
</file>