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Dokumentation – Stoffmodelle, Phasendiagramme und Validierung</w:t>
      </w:r>
    </w:p>
    <w:p>
      <w:pPr>
        <w:pStyle w:val="Subtitle"/>
      </w:pPr>
      <w:r>
        <w:t xml:space="preserve">Einspeicherung: Clean Case (reines CO₂) und Worst-Case-Gemisch</w:t>
      </w:r>
    </w:p>
    <w:p>
      <w:pPr>
        <w:pStyle w:val="Date"/>
      </w:pPr>
      <w:r>
        <w:t xml:space="preserve">Stand: 30.09.2026 · CoolProp 8.0.0 · thermopack 2.2.3</w:t>
      </w:r>
    </w:p>
    <w:p>
      <w:pPr>
        <w:pStyle w:val="FirstParagraph"/>
      </w:pPr>
      <w:r>
        <w:rPr>
          <w:i/>
          <w:iCs/>
        </w:rPr>
        <w:t xml:space="preserve">Diese Dokumentation beschreibt, mit welchen Gleichungen die Stoffwerte berechnet werden, wie daraus die Phasendiagramme entstehen, wie die Ergebnisse durch einen Vergleich mit weiteren Rechenmodellen geprüft wurden und wie genau sie sind. Sie gilt für alle Skripte der Einspeicherung (Ordner</w:t>
      </w:r>
      <w:r>
        <w:rPr>
          <w:i/>
          <w:iCs/>
        </w:rPr>
        <w:t xml:space="preserve"> </w:t>
      </w:r>
      <w:r>
        <w:rPr>
          <w:rStyle w:val="VerbatimChar"/>
          <w:i/>
          <w:iCs/>
        </w:rPr>
        <w:t xml:space="preserve">Clean_CO2</w:t>
      </w:r>
      <w:r>
        <w:rPr>
          <w:i/>
          <w:iCs/>
        </w:rPr>
        <w:t xml:space="preserve"> </w:t>
      </w:r>
      <w:r>
        <w:rPr>
          <w:i/>
          <w:iCs/>
        </w:rPr>
        <w:t xml:space="preserve">und</w:t>
      </w:r>
      <w:r>
        <w:rPr>
          <w:i/>
          <w:iCs/>
        </w:rPr>
        <w:t xml:space="preserve"> </w:t>
      </w:r>
      <w:r>
        <w:rPr>
          <w:rStyle w:val="VerbatimChar"/>
          <w:i/>
          <w:iCs/>
        </w:rPr>
        <w:t xml:space="preserve">Begleitstoffe_CO2</w:t>
      </w:r>
      <w:r>
        <w:rPr>
          <w:i/>
          <w:iCs/>
        </w:rPr>
        <w:t xml:space="preserve">).</w:t>
      </w:r>
    </w:p>
    <w:bookmarkStart w:id="9" w:name="ergebnis-in-kürze"/>
    <w:p>
      <w:pPr>
        <w:pStyle w:val="Heading1"/>
      </w:pPr>
      <w:r>
        <w:rPr>
          <w:rStyle w:val="SectionNumber"/>
        </w:rPr>
        <w:t xml:space="preserve">1</w:t>
      </w:r>
      <w:r>
        <w:tab/>
      </w:r>
      <w:r>
        <w:t xml:space="preserve">Ergebnis in Kürze</w:t>
      </w:r>
    </w:p>
    <w:tbl>
      <w:tblPr>
        <w:tblStyle w:val="Table"/>
        <w:tblW w:type="dxa" w:w="9072"/>
        <w:tblLayout w:type="fixed"/>
        <w:tblLook w:firstRow="1" w:lastRow="0" w:firstColumn="0" w:lastColumn="0" w:noHBand="0" w:noVBand="0" w:val="0020"/>
      </w:tblPr>
      <w:tblGrid>
        <w:gridCol w:w="4132"/>
        <w:gridCol w:w="4939"/>
      </w:tblGrid>
      <w:tr>
        <w:trPr>
          <w:tblHeader w:val="on"/>
        </w:trPr>
        <w:tc>
          <w:tcPr/>
          <w:p>
            <w:pPr>
              <w:pStyle w:val="Compact"/>
            </w:pPr>
            <w:r>
              <w:t xml:space="preserve">Frage</w:t>
            </w:r>
          </w:p>
        </w:tc>
        <w:tc>
          <w:tcPr/>
          <w:p>
            <w:pPr>
              <w:pStyle w:val="Compact"/>
            </w:pPr>
            <w:r>
              <w:t xml:space="preserve">Ergebnis</w:t>
            </w:r>
          </w:p>
        </w:tc>
      </w:tr>
      <w:tr>
        <w:tc>
          <w:tcPr/>
          <w:p>
            <w:pPr>
              <w:pStyle w:val="Compact"/>
            </w:pPr>
            <w:r>
              <w:t xml:space="preserve">Welches Stoffmodell für reines CO₂?</w:t>
            </w:r>
          </w:p>
        </w:tc>
        <w:tc>
          <w:tcPr/>
          <w:p>
            <w:pPr>
              <w:pStyle w:val="Compact"/>
            </w:pPr>
            <w:r>
              <w:t xml:space="preserve">Span-Wagner-Gleichung (1996), Referenzgleichung für CO₂, ausgewertet mit CoolProp</w:t>
            </w:r>
          </w:p>
        </w:tc>
      </w:tr>
      <w:tr>
        <w:tc>
          <w:tcPr/>
          <w:p>
            <w:pPr>
              <w:pStyle w:val="Compact"/>
            </w:pPr>
            <w:r>
              <w:t xml:space="preserve">Welches Stoffmodell für das Gemisch?</w:t>
            </w:r>
          </w:p>
        </w:tc>
        <w:tc>
          <w:tcPr/>
          <w:p>
            <w:pPr>
              <w:pStyle w:val="Compact"/>
            </w:pPr>
            <w:r>
              <w:t xml:space="preserve">Mehrfluid-Helmholtz-Modell nach GERG-2008 (Kunz &amp; Wagner 2012) mit Paarparametern aus GERG-2008 und EOS-CG, ausgewertet mit CoolProp</w:t>
            </w:r>
          </w:p>
        </w:tc>
      </w:tr>
      <w:tr>
        <w:tc>
          <w:tcPr/>
          <w:p>
            <w:pPr>
              <w:pStyle w:val="Compact"/>
            </w:pPr>
            <w:r>
              <w:t xml:space="preserve">Wie wurde geprüft?</w:t>
            </w:r>
          </w:p>
        </w:tc>
        <w:tc>
          <w:tcPr/>
          <w:p>
            <w:pPr>
              <w:pStyle w:val="Compact"/>
            </w:pPr>
            <w:r>
              <w:t xml:space="preserve">Vergleich mit weiteren Rechenmodellen in einer zweiten, unabhängigen Software (thermopack): reines CO₂ gegen 3 Modelle, Gemisch gegen 2 Modelle (Kapitel 8)</w:t>
            </w:r>
          </w:p>
        </w:tc>
      </w:tr>
      <w:tr>
        <w:tc>
          <w:tcPr/>
          <w:p>
            <w:pPr>
              <w:pStyle w:val="Compact"/>
            </w:pPr>
            <w:r>
              <w:t xml:space="preserve">Reines CO₂</w:t>
            </w:r>
          </w:p>
        </w:tc>
        <w:tc>
          <w:tcPr/>
          <w:p>
            <w:pPr>
              <w:pStyle w:val="Compact"/>
            </w:pPr>
            <w:r>
              <w:t xml:space="preserve">CoolProp und GERG-2008 (thermopack) stimmen auf ≤ 0,02 % überein</w:t>
            </w:r>
          </w:p>
        </w:tc>
      </w:tr>
      <w:tr>
        <w:tc>
          <w:tcPr/>
          <w:p>
            <w:pPr>
              <w:pStyle w:val="Compact"/>
            </w:pPr>
            <w:r>
              <w:t xml:space="preserve">Gemisch</w:t>
            </w:r>
          </w:p>
        </w:tc>
        <w:tc>
          <w:tcPr/>
          <w:p>
            <w:pPr>
              <w:pStyle w:val="Compact"/>
            </w:pPr>
            <w:r>
              <w:t xml:space="preserve">Phasengrenze stimmt mit dem originalen GERG-2008 auf ca. 1 bar überein</w:t>
            </w:r>
          </w:p>
        </w:tc>
      </w:tr>
      <w:tr>
        <w:tc>
          <w:tcPr/>
          <w:p>
            <w:pPr>
              <w:pStyle w:val="Compact"/>
            </w:pPr>
            <w:r>
              <w:rPr>
                <w:b/>
                <w:bCs/>
              </w:rPr>
              <w:t xml:space="preserve">Unsicherheit der Phasengrenze des Gemischs</w:t>
            </w:r>
          </w:p>
        </w:tc>
        <w:tc>
          <w:tcPr/>
          <w:p>
            <w:pPr>
              <w:pStyle w:val="Compact"/>
            </w:pPr>
            <w:r>
              <w:rPr>
                <w:b/>
                <w:bCs/>
              </w:rPr>
              <w:t xml:space="preserve">± 3 bar</w:t>
            </w:r>
            <w:r>
              <w:t xml:space="preserve"> </w:t>
            </w:r>
            <w:r>
              <w:t xml:space="preserve">(konservative Abschätzung, Kapitel 9)</w:t>
            </w:r>
          </w:p>
        </w:tc>
      </w:tr>
      <w:tr>
        <w:tc>
          <w:tcPr/>
          <w:p>
            <w:pPr>
              <w:pStyle w:val="Compact"/>
            </w:pPr>
            <w:r>
              <w:t xml:space="preserve">S1 Netzübergabe (91 bar / 15 °C)</w:t>
            </w:r>
          </w:p>
        </w:tc>
        <w:tc>
          <w:tcPr/>
          <w:p>
            <w:pPr>
              <w:pStyle w:val="Compact"/>
            </w:pPr>
            <w:r>
              <w:t xml:space="preserve">sicher einphasig flüssig: 8,8 bar über der Cricondenbar, also außerhalb von ± 3 bar</w:t>
            </w:r>
          </w:p>
        </w:tc>
      </w:tr>
      <w:tr>
        <w:tc>
          <w:tcPr/>
          <w:p>
            <w:pPr>
              <w:pStyle w:val="Compact"/>
            </w:pPr>
            <w:r>
              <w:t xml:space="preserve">S2 Kühleraustritt (80 bar / 25 °C)</w:t>
            </w:r>
          </w:p>
        </w:tc>
        <w:tc>
          <w:tcPr/>
          <w:p>
            <w:pPr>
              <w:pStyle w:val="Compact"/>
            </w:pPr>
            <w:r>
              <w:t xml:space="preserve">rechnerisch zweiphasig, aber nur 1,1 bar unter der Blasenlinie: innerhalb von ± 3 bar, also</w:t>
            </w:r>
            <w:r>
              <w:t xml:space="preserve"> </w:t>
            </w:r>
            <w:r>
              <w:rPr>
                <w:b/>
                <w:bCs/>
              </w:rPr>
              <w:t xml:space="preserve">nicht sicher auslegbar</w:t>
            </w:r>
          </w:p>
        </w:tc>
      </w:tr>
    </w:tbl>
    <w:bookmarkEnd w:id="9"/>
    <w:bookmarkStart w:id="10" w:name="werkzeug-coolprop-und-das-backend-heos"/>
    <w:p>
      <w:pPr>
        <w:pStyle w:val="Heading1"/>
      </w:pPr>
      <w:r>
        <w:rPr>
          <w:rStyle w:val="SectionNumber"/>
        </w:rPr>
        <w:t xml:space="preserve">2</w:t>
      </w:r>
      <w:r>
        <w:tab/>
      </w:r>
      <w:r>
        <w:t xml:space="preserve">Werkzeug: CoolProp und das Backend HEOS</w:t>
      </w:r>
    </w:p>
    <w:p>
      <w:pPr>
        <w:pStyle w:val="FirstParagraph"/>
      </w:pPr>
      <w:r>
        <w:t xml:space="preserve">CoolProp ist eine quelloffene Stoffdatenbibliothek (Bell et al. 2014). Sie wertet Referenz-Zustandsgleichungen aus der Literatur aus. Die Gleichungen stammen nicht von CoolProp selbst, sondern aus den Originalveröffentlichungen, die CoolProp für jeden Stoff angibt.</w:t>
      </w:r>
    </w:p>
    <w:p>
      <w:pPr>
        <w:pStyle w:val="BodyText"/>
      </w:pPr>
      <w:r>
        <w:rPr>
          <w:b/>
          <w:bCs/>
        </w:rPr>
        <w:t xml:space="preserve">HEOS ist keine eigene Gleichung.</w:t>
      </w:r>
      <w:r>
        <w:t xml:space="preserve"> </w:t>
      </w:r>
      <w:r>
        <w:t xml:space="preserve">HEOS steht für „Helmholtz Equation of State“ und bezeichnet in CoolProp den Rechenkern (das „Backend“), der Zustandsgleichungen in Form der Helmholtz-Energie auswertet. Für CO₂ wertet HEOS die Span-Wagner-Gleichung aus. Deshalb liefern beide Schreibweisen im Code dieselben Werte:</w:t>
      </w:r>
    </w:p>
    <w:p>
      <w:pPr>
        <w:pStyle w:val="Compact"/>
        <w:numPr>
          <w:ilvl w:val="0"/>
          <w:numId w:val="1001"/>
        </w:numPr>
      </w:pPr>
      <w:r>
        <w:rPr>
          <w:rStyle w:val="VerbatimChar"/>
        </w:rPr>
        <w:t xml:space="preserve">PropsSI("D", "P", p, "T", T, "CO2")</w:t>
      </w:r>
      <w:r>
        <w:t xml:space="preserve"> </w:t>
      </w:r>
      <w:r>
        <w:t xml:space="preserve">in den Clean-Case-Skripten nutzt HEOS automatisch als Standard-Backend.</w:t>
      </w:r>
    </w:p>
    <w:p>
      <w:pPr>
        <w:pStyle w:val="Compact"/>
        <w:numPr>
          <w:ilvl w:val="0"/>
          <w:numId w:val="1001"/>
        </w:numPr>
      </w:pPr>
      <w:r>
        <w:rPr>
          <w:rStyle w:val="VerbatimChar"/>
        </w:rPr>
        <w:t xml:space="preserve">AbstractState("HEOS", "CO2&amp;Nitrogen&amp;...")</w:t>
      </w:r>
      <w:r>
        <w:t xml:space="preserve"> </w:t>
      </w:r>
      <w:r>
        <w:t xml:space="preserve">in den Gemisch-Skripten nennt HEOS ausdrücklich, weil das Gemisch einmal eingestellt und dann wiederholt abgefragt wird.</w:t>
      </w:r>
    </w:p>
    <w:p>
      <w:pPr>
        <w:pStyle w:val="FirstParagraph"/>
      </w:pPr>
      <w:r>
        <w:t xml:space="preserve">Die Reinstoffgleichungen der sechs Komponenten wurden mit</w:t>
      </w:r>
      <w:r>
        <w:t xml:space="preserve"> </w:t>
      </w:r>
      <w:r>
        <w:rPr>
          <w:rStyle w:val="VerbatimChar"/>
        </w:rPr>
        <w:t xml:space="preserve">CP.get_fluid_param_string(stoff, "BibTeX-EOS")</w:t>
      </w:r>
      <w:r>
        <w:t xml:space="preserve"> </w:t>
      </w:r>
      <w:r>
        <w:t xml:space="preserve">aus CoolProp abgefragt:</w:t>
      </w:r>
    </w:p>
    <w:tbl>
      <w:tblPr>
        <w:tblStyle w:val="Table"/>
        <w:tblW w:type="dxa" w:w="9072"/>
        <w:tblLayout w:type="fixed"/>
        <w:tblLook w:firstRow="1" w:lastRow="0" w:firstColumn="0" w:lastColumn="0" w:noHBand="0" w:noVBand="0" w:val="0020"/>
      </w:tblPr>
      <w:tblGrid>
        <w:gridCol w:w="2130"/>
        <w:gridCol w:w="3395"/>
        <w:gridCol w:w="3546"/>
      </w:tblGrid>
      <w:tr>
        <w:trPr>
          <w:tblHeader w:val="on"/>
        </w:trPr>
        <w:tc>
          <w:tcPr/>
          <w:p>
            <w:pPr>
              <w:pStyle w:val="Compact"/>
            </w:pPr>
            <w:r>
              <w:t xml:space="preserve">Komponente</w:t>
            </w:r>
          </w:p>
        </w:tc>
        <w:tc>
          <w:tcPr/>
          <w:p>
            <w:pPr>
              <w:pStyle w:val="Compact"/>
            </w:pPr>
            <w:r>
              <w:t xml:space="preserve">Zustandsgleichung</w:t>
            </w:r>
          </w:p>
        </w:tc>
        <w:tc>
          <w:tcPr/>
          <w:p>
            <w:pPr>
              <w:pStyle w:val="Compact"/>
            </w:pPr>
            <w:r>
              <w:t xml:space="preserve">Gültigkeit laut Titel der Arbeit</w:t>
            </w:r>
          </w:p>
        </w:tc>
      </w:tr>
      <w:tr>
        <w:tc>
          <w:tcPr/>
          <w:p>
            <w:pPr>
              <w:pStyle w:val="Compact"/>
            </w:pPr>
            <w:r>
              <w:t xml:space="preserve">CO₂</w:t>
            </w:r>
          </w:p>
        </w:tc>
        <w:tc>
          <w:tcPr/>
          <w:p>
            <w:pPr>
              <w:pStyle w:val="Compact"/>
            </w:pPr>
            <w:r>
              <w:t xml:space="preserve">Span &amp; Wagner (1996)</w:t>
            </w:r>
          </w:p>
        </w:tc>
        <w:tc>
          <w:tcPr/>
          <w:p>
            <w:pPr>
              <w:pStyle w:val="Compact"/>
            </w:pPr>
            <w:r>
              <w:t xml:space="preserve">Tripelpunkt bis 1100 K, bis 800 MPa</w:t>
            </w:r>
          </w:p>
        </w:tc>
      </w:tr>
      <w:tr>
        <w:tc>
          <w:tcPr/>
          <w:p>
            <w:pPr>
              <w:pStyle w:val="Compact"/>
            </w:pPr>
            <w:r>
              <w:t xml:space="preserve">N₂</w:t>
            </w:r>
          </w:p>
        </w:tc>
        <w:tc>
          <w:tcPr/>
          <w:p>
            <w:pPr>
              <w:pStyle w:val="Compact"/>
            </w:pPr>
            <w:r>
              <w:t xml:space="preserve">Span et al. (2000)</w:t>
            </w:r>
          </w:p>
        </w:tc>
        <w:tc>
          <w:tcPr/>
          <w:p>
            <w:pPr>
              <w:pStyle w:val="Compact"/>
            </w:pPr>
            <w:r>
              <w:t xml:space="preserve">63,151 bis 1000 K, bis 2200 MPa</w:t>
            </w:r>
          </w:p>
        </w:tc>
      </w:tr>
      <w:tr>
        <w:tc>
          <w:tcPr/>
          <w:p>
            <w:pPr>
              <w:pStyle w:val="Compact"/>
            </w:pPr>
            <w:r>
              <w:t xml:space="preserve">Ar</w:t>
            </w:r>
          </w:p>
        </w:tc>
        <w:tc>
          <w:tcPr/>
          <w:p>
            <w:pPr>
              <w:pStyle w:val="Compact"/>
            </w:pPr>
            <w:r>
              <w:t xml:space="preserve">Tegeler, Span &amp; Wagner (1999)</w:t>
            </w:r>
          </w:p>
        </w:tc>
        <w:tc>
          <w:tcPr/>
          <w:p>
            <w:pPr>
              <w:pStyle w:val="Compact"/>
            </w:pPr>
            <w:r>
              <w:t xml:space="preserve">Schmelzlinie bis 700 K, bis 1000 MPa</w:t>
            </w:r>
          </w:p>
        </w:tc>
      </w:tr>
      <w:tr>
        <w:tc>
          <w:tcPr/>
          <w:p>
            <w:pPr>
              <w:pStyle w:val="Compact"/>
            </w:pPr>
            <w:r>
              <w:t xml:space="preserve">CH₄</w:t>
            </w:r>
          </w:p>
        </w:tc>
        <w:tc>
          <w:tcPr/>
          <w:p>
            <w:pPr>
              <w:pStyle w:val="Compact"/>
            </w:pPr>
            <w:r>
              <w:t xml:space="preserve">Setzmann &amp; Wagner (1991)</w:t>
            </w:r>
          </w:p>
        </w:tc>
        <w:tc>
          <w:tcPr/>
          <w:p>
            <w:pPr>
              <w:pStyle w:val="Compact"/>
            </w:pPr>
            <w:r>
              <w:t xml:space="preserve">Schmelzlinie bis 625 K, bis 1000 MPa</w:t>
            </w:r>
          </w:p>
        </w:tc>
      </w:tr>
      <w:tr>
        <w:tc>
          <w:tcPr/>
          <w:p>
            <w:pPr>
              <w:pStyle w:val="Compact"/>
            </w:pPr>
            <w:r>
              <w:t xml:space="preserve">H₂</w:t>
            </w:r>
          </w:p>
        </w:tc>
        <w:tc>
          <w:tcPr/>
          <w:p>
            <w:pPr>
              <w:pStyle w:val="Compact"/>
            </w:pPr>
            <w:r>
              <w:t xml:space="preserve">Leachman et al. (2009)</w:t>
            </w:r>
          </w:p>
        </w:tc>
        <w:tc>
          <w:tcPr/>
          <w:p>
            <w:pPr>
              <w:pStyle w:val="Compact"/>
            </w:pPr>
            <w:r>
              <w:t xml:space="preserve">normaler Wasserstoff</w:t>
            </w:r>
          </w:p>
        </w:tc>
      </w:tr>
      <w:tr>
        <w:tc>
          <w:tcPr/>
          <w:p>
            <w:pPr>
              <w:pStyle w:val="Compact"/>
            </w:pPr>
            <w:r>
              <w:t xml:space="preserve">CO</w:t>
            </w:r>
          </w:p>
        </w:tc>
        <w:tc>
          <w:tcPr/>
          <w:p>
            <w:pPr>
              <w:pStyle w:val="Compact"/>
            </w:pPr>
            <w:r>
              <w:t xml:space="preserve">Lemmon &amp; Span (2006)</w:t>
            </w:r>
          </w:p>
        </w:tc>
        <w:tc>
          <w:tcPr/>
          <w:p>
            <w:pPr>
              <w:pStyle w:val="Compact"/>
            </w:pPr>
            <w:r>
              <w:t xml:space="preserve">kurze Fundamentalgleichung</w:t>
            </w:r>
          </w:p>
        </w:tc>
      </w:tr>
    </w:tbl>
    <w:p>
      <w:pPr>
        <w:pStyle w:val="BodyText"/>
      </w:pPr>
      <w:r>
        <w:t xml:space="preserve">Welche Parameter CoolProp nutzt, kann sich zwischen Versionen ändern. Laut CoolProp-Dokumentation werden in neueren Versionen die Wasserstoff-Paare (H₂ mit CH₄, N₂, CO, CO₂) durch die Parameter von Beckmüller et al. (2021) ersetzt. Die verwendete Version (hier 8.0.0) ist deshalb in der Arbeit anzugeben;</w:t>
      </w:r>
      <w:r>
        <w:t xml:space="preserve"> </w:t>
      </w:r>
      <w:r>
        <w:rPr>
          <w:rStyle w:val="VerbatimChar"/>
        </w:rPr>
        <w:t xml:space="preserve">02_validierung_stoffmodelle.py</w:t>
      </w:r>
      <w:r>
        <w:t xml:space="preserve"> </w:t>
      </w:r>
      <w:r>
        <w:t xml:space="preserve">gibt sie beim Start aus.</w:t>
      </w:r>
    </w:p>
    <w:bookmarkEnd w:id="10"/>
    <w:bookmarkStart w:id="15" w:name="reines-co₂-span-wagner-gleichung"/>
    <w:p>
      <w:pPr>
        <w:pStyle w:val="Heading1"/>
      </w:pPr>
      <w:r>
        <w:rPr>
          <w:rStyle w:val="SectionNumber"/>
        </w:rPr>
        <w:t xml:space="preserve">3</w:t>
      </w:r>
      <w:r>
        <w:tab/>
      </w:r>
      <w:r>
        <w:t xml:space="preserve">Reines CO₂: Span-Wagner-Gleichung</w:t>
      </w:r>
    </w:p>
    <w:p>
      <w:pPr>
        <w:pStyle w:val="FirstParagraph"/>
      </w:pPr>
      <w:r>
        <w:t xml:space="preserve">Für reines CO₂ nutzt CoolProp die Referenzgleichung von Span und Wagner (1996). Sie ist eine Fundamentalgleichung für die spezifische Helmholtz-Energie</w:t>
      </w:r>
      <w:r>
        <w:t xml:space="preserve"> </w:t>
      </w:r>
      <w:r>
        <w:rPr>
          <w:i/>
          <w:iCs/>
        </w:rPr>
        <w:t xml:space="preserve">a</w:t>
      </w:r>
      <w:r>
        <w:t xml:space="preserve">(ρ,</w:t>
      </w:r>
      <w:r>
        <w:t xml:space="preserve"> </w:t>
      </w:r>
      <w:r>
        <w:rPr>
          <w:i/>
          <w:iCs/>
        </w:rPr>
        <w:t xml:space="preserve">T</w:t>
      </w:r>
      <w:r>
        <w:t xml:space="preserve">). Aus dieser einen Funktion folgen alle Zustandsgrößen durch Ableiten. Druck, Enthalpie, Entropie und Wärmekapazität sind deshalb automatisch untereinander konsistent.</w:t>
      </w:r>
    </w:p>
    <w:bookmarkStart w:id="11" w:name="ansatz"/>
    <w:p>
      <w:pPr>
        <w:pStyle w:val="Heading2"/>
      </w:pPr>
      <w:r>
        <w:rPr>
          <w:rStyle w:val="SectionNumber"/>
        </w:rPr>
        <w:t xml:space="preserve">3.1</w:t>
      </w:r>
      <w:r>
        <w:tab/>
      </w:r>
      <w:r>
        <w:t xml:space="preserve">Ansatz</w:t>
      </w:r>
    </w:p>
    <w:p>
      <w:pPr>
        <w:pStyle w:val="FirstParagraph"/>
      </w:pPr>
      <w:r>
        <w:t xml:space="preserve">Die Helmholtz-Energie wird dimensionslos geschrieben und in einen Idealgasanteil und einen Realgasanteil (Residualanteil) aufgeteilt:</w:t>
      </w:r>
    </w:p>
    <w:p>
      <w:pPr>
        <w:pStyle w:val="BodyText"/>
      </w:pPr>
      <m:oMathPara>
        <m:oMathParaPr>
          <m:jc m:val="center"/>
        </m:oMathParaPr>
        <m:oMath>
          <m:f>
            <m:fPr>
              <m:type m:val="bar"/>
            </m:fPr>
            <m:num>
              <m:r>
                <m:t>a</m:t>
              </m:r>
              <m:r>
                <m:rPr>
                  <m:sty m:val="p"/>
                </m:rPr>
                <m:t>(</m:t>
              </m:r>
              <m:r>
                <m:t>ρ</m:t>
              </m:r>
              <m:r>
                <m:rPr>
                  <m:sty m:val="p"/>
                </m:rPr>
                <m:t>,</m:t>
              </m:r>
              <m:r>
                <m:t>T</m:t>
              </m:r>
              <m:r>
                <m:rPr>
                  <m:sty m:val="p"/>
                </m:rPr>
                <m:t>)</m:t>
              </m:r>
            </m:num>
            <m:den>
              <m:r>
                <m:t>R</m:t>
              </m:r>
              <m:r>
                <m:t>T</m:t>
              </m:r>
            </m:den>
          </m:f>
          <m:r>
            <m:rPr>
              <m:sty m:val="p"/>
            </m:rPr>
            <m:t>=</m:t>
          </m:r>
          <m:r>
            <m:t>φ</m:t>
          </m:r>
          <m:r>
            <m:rPr>
              <m:sty m:val="p"/>
            </m:rPr>
            <m:t>(</m:t>
          </m:r>
          <m:r>
            <m:t>δ</m:t>
          </m:r>
          <m:r>
            <m:rPr>
              <m:sty m:val="p"/>
            </m:rPr>
            <m:t>,</m:t>
          </m:r>
          <m:r>
            <m:t>τ</m:t>
          </m:r>
          <m:r>
            <m:rPr>
              <m:sty m:val="p"/>
            </m:rPr>
            <m:t>)</m:t>
          </m:r>
          <m:r>
            <m:rPr>
              <m:sty m:val="p"/>
            </m:rPr>
            <m:t>=</m:t>
          </m:r>
          <m:sSup>
            <m:e>
              <m:r>
                <m:t>φ</m:t>
              </m:r>
            </m:e>
            <m:sup>
              <m:r>
                <m:rPr>
                  <m:sty m:val="p"/>
                </m:rPr>
                <m:t>∘</m:t>
              </m:r>
            </m:sup>
          </m:sSup>
          <m:r>
            <m:rPr>
              <m:sty m:val="p"/>
            </m:rPr>
            <m:t>(</m:t>
          </m:r>
          <m:r>
            <m:t>δ</m:t>
          </m:r>
          <m:r>
            <m:rPr>
              <m:sty m:val="p"/>
            </m:rPr>
            <m:t>,</m:t>
          </m:r>
          <m:r>
            <m:t>τ</m:t>
          </m:r>
          <m:r>
            <m:rPr>
              <m:sty m:val="p"/>
            </m:rPr>
            <m:t>)</m:t>
          </m:r>
          <m:r>
            <m:rPr>
              <m:sty m:val="p"/>
            </m:rPr>
            <m:t>+</m:t>
          </m:r>
          <m:sSup>
            <m:e>
              <m:r>
                <m:t>φ</m:t>
              </m:r>
            </m:e>
            <m:sup>
              <m:r>
                <m:t>r</m:t>
              </m:r>
            </m:sup>
          </m:sSup>
          <m:r>
            <m:rPr>
              <m:sty m:val="p"/>
            </m:rPr>
            <m:t>(</m:t>
          </m:r>
          <m:r>
            <m:t>δ</m:t>
          </m:r>
          <m:r>
            <m:rPr>
              <m:sty m:val="p"/>
            </m:rPr>
            <m:t>,</m:t>
          </m:r>
          <m:r>
            <m:t>τ</m:t>
          </m:r>
          <m:r>
            <m:rPr>
              <m:sty m:val="p"/>
            </m:rPr>
            <m:t>)</m:t>
          </m:r>
          <m:r>
            <m:rPr>
              <m:sty m:val="p"/>
            </m:rPr>
            <m:t>,</m:t>
          </m:r>
          <m:r>
            <m:t>  </m:t>
          </m:r>
          <m:r>
            <m:t>δ</m:t>
          </m:r>
          <m:r>
            <m:rPr>
              <m:sty m:val="p"/>
            </m:rPr>
            <m:t>=</m:t>
          </m:r>
          <m:f>
            <m:fPr>
              <m:type m:val="bar"/>
            </m:fPr>
            <m:num>
              <m:r>
                <m:t>ρ</m:t>
              </m:r>
            </m:num>
            <m:den>
              <m:sSub>
                <m:e>
                  <m:r>
                    <m:t>ρ</m:t>
                  </m:r>
                </m:e>
                <m:sub>
                  <m:r>
                    <m:t>c</m:t>
                  </m:r>
                </m:sub>
              </m:sSub>
            </m:den>
          </m:f>
          <m:r>
            <m:rPr>
              <m:sty m:val="p"/>
            </m:rPr>
            <m:t>,</m:t>
          </m:r>
          <m:r>
            <m:t> </m:t>
          </m:r>
          <m:r>
            <m:t>τ</m:t>
          </m:r>
          <m:r>
            <m:rPr>
              <m:sty m:val="p"/>
            </m:rPr>
            <m:t>=</m:t>
          </m:r>
          <m:f>
            <m:fPr>
              <m:type m:val="bar"/>
            </m:fPr>
            <m:num>
              <m:sSub>
                <m:e>
                  <m:r>
                    <m:t>T</m:t>
                  </m:r>
                </m:e>
                <m:sub>
                  <m:r>
                    <m:t>c</m:t>
                  </m:r>
                </m:sub>
              </m:sSub>
            </m:num>
            <m:den>
              <m:r>
                <m:t>T</m:t>
              </m:r>
            </m:den>
          </m:f>
        </m:oMath>
      </m:oMathPara>
    </w:p>
    <w:p>
      <w:pPr>
        <w:pStyle w:val="FirstParagraph"/>
      </w:pPr>
      <w:r>
        <w:t xml:space="preserve">Die Konstanten für CO₂ sind</w:t>
      </w:r>
      <w:r>
        <w:t xml:space="preserve"> </w:t>
      </w:r>
      <w:r>
        <w:rPr>
          <w:i/>
          <w:iCs/>
        </w:rPr>
        <w:t xml:space="preserve">T</w:t>
      </w:r>
      <w:r>
        <w:rPr>
          <w:vertAlign w:val="subscript"/>
        </w:rPr>
        <w:t xml:space="preserve">c</w:t>
      </w:r>
      <w:r>
        <w:t xml:space="preserve"> </w:t>
      </w:r>
      <w:r>
        <w:t xml:space="preserve">= 304,1282 K, ρ</w:t>
      </w:r>
      <w:r>
        <w:rPr>
          <w:vertAlign w:val="subscript"/>
        </w:rPr>
        <w:t xml:space="preserve">c</w:t>
      </w:r>
      <w:r>
        <w:t xml:space="preserve"> </w:t>
      </w:r>
      <w:r>
        <w:t xml:space="preserve">= 467,6 kg/m³,</w:t>
      </w:r>
      <w:r>
        <w:t xml:space="preserve"> </w:t>
      </w:r>
      <w:r>
        <w:rPr>
          <w:i/>
          <w:iCs/>
        </w:rPr>
        <w:t xml:space="preserve">p</w:t>
      </w:r>
      <w:r>
        <w:rPr>
          <w:vertAlign w:val="subscript"/>
        </w:rPr>
        <w:t xml:space="preserve">c</w:t>
      </w:r>
      <w:r>
        <w:t xml:space="preserve"> </w:t>
      </w:r>
      <w:r>
        <w:t xml:space="preserve">= 7,3773 MPa und</w:t>
      </w:r>
      <w:r>
        <w:t xml:space="preserve"> </w:t>
      </w:r>
      <w:r>
        <w:rPr>
          <w:i/>
          <w:iCs/>
        </w:rPr>
        <w:t xml:space="preserve">R</w:t>
      </w:r>
      <w:r>
        <w:t xml:space="preserve"> </w:t>
      </w:r>
      <w:r>
        <w:t xml:space="preserve">= 8,31451 J/(mol·K) bei</w:t>
      </w:r>
      <w:r>
        <w:t xml:space="preserve"> </w:t>
      </w:r>
      <w:r>
        <w:rPr>
          <w:i/>
          <w:iCs/>
        </w:rPr>
        <w:t xml:space="preserve">M</w:t>
      </w:r>
      <w:r>
        <w:t xml:space="preserve"> </w:t>
      </w:r>
      <w:r>
        <w:t xml:space="preserve">= 44,0098 g/mol. Die Werte in CoolProp stimmen damit überein (Abfrage mit</w:t>
      </w:r>
      <w:r>
        <w:t xml:space="preserve"> </w:t>
      </w:r>
      <w:r>
        <w:rPr>
          <w:rStyle w:val="VerbatimChar"/>
        </w:rPr>
        <w:t xml:space="preserve">PropsSI("Tcrit", "CO2")</w:t>
      </w:r>
      <w:r>
        <w:t xml:space="preserve"> </w:t>
      </w:r>
      <w:r>
        <w:t xml:space="preserve">usw.).</w:t>
      </w:r>
    </w:p>
    <w:p>
      <w:pPr>
        <w:pStyle w:val="BodyText"/>
      </w:pPr>
      <w:r>
        <w:t xml:space="preserve">Der Idealgasanteil beschreibt das Molekül ohne Wechselwirkungen (Translation, Rotation, Schwingungen):</w:t>
      </w:r>
    </w:p>
    <w:p>
      <w:pPr>
        <w:pStyle w:val="BodyText"/>
      </w:pPr>
      <m:oMathPara>
        <m:oMathParaPr>
          <m:jc m:val="center"/>
        </m:oMathParaPr>
        <m:oMath>
          <m:sSup>
            <m:e>
              <m:r>
                <m:t>φ</m:t>
              </m:r>
            </m:e>
            <m:sup>
              <m:r>
                <m:rPr>
                  <m:sty m:val="p"/>
                </m:rPr>
                <m:t>∘</m:t>
              </m:r>
            </m:sup>
          </m:sSup>
          <m:r>
            <m:rPr>
              <m:sty m:val="p"/>
            </m:rPr>
            <m:t>=</m:t>
          </m:r>
          <m:r>
            <m:rPr>
              <m:sty m:val="p"/>
            </m:rPr>
            <m:t>ln</m:t>
          </m:r>
          <m:r>
            <m:t>δ</m:t>
          </m:r>
          <m:r>
            <m:rPr>
              <m:sty m:val="p"/>
            </m:rPr>
            <m:t>+</m:t>
          </m:r>
          <m:sSubSup>
            <m:e>
              <m:r>
                <m:t>a</m:t>
              </m:r>
            </m:e>
            <m:sub>
              <m:r>
                <m:t>1</m:t>
              </m:r>
            </m:sub>
            <m:sup>
              <m:r>
                <m:rPr>
                  <m:sty m:val="p"/>
                </m:rPr>
                <m:t>∘</m:t>
              </m:r>
            </m:sup>
          </m:sSubSup>
          <m:r>
            <m:rPr>
              <m:sty m:val="p"/>
            </m:rPr>
            <m:t>+</m:t>
          </m:r>
          <m:sSubSup>
            <m:e>
              <m:r>
                <m:t>a</m:t>
              </m:r>
            </m:e>
            <m:sub>
              <m:r>
                <m:t>2</m:t>
              </m:r>
            </m:sub>
            <m:sup>
              <m:r>
                <m:rPr>
                  <m:sty m:val="p"/>
                </m:rPr>
                <m:t>∘</m:t>
              </m:r>
            </m:sup>
          </m:sSubSup>
          <m:r>
            <m:t>τ</m:t>
          </m:r>
          <m:r>
            <m:rPr>
              <m:sty m:val="p"/>
            </m:rPr>
            <m:t>+</m:t>
          </m:r>
          <m:sSubSup>
            <m:e>
              <m:r>
                <m:t>a</m:t>
              </m:r>
            </m:e>
            <m:sub>
              <m:r>
                <m:t>3</m:t>
              </m:r>
            </m:sub>
            <m:sup>
              <m:r>
                <m:rPr>
                  <m:sty m:val="p"/>
                </m:rPr>
                <m:t>∘</m:t>
              </m:r>
            </m:sup>
          </m:sSubSup>
          <m:r>
            <m:rPr>
              <m:sty m:val="p"/>
            </m:rPr>
            <m:t>ln</m:t>
          </m:r>
          <m:r>
            <m:t>τ</m:t>
          </m:r>
          <m:r>
            <m:rPr>
              <m:sty m:val="p"/>
            </m:rPr>
            <m:t>+</m:t>
          </m:r>
          <m:nary>
            <m:naryPr>
              <m:chr m:val="∑"/>
              <m:limLoc m:val="undOvr"/>
              <m:subHide m:val="off"/>
              <m:supHide m:val="off"/>
            </m:naryPr>
            <m:sub>
              <m:r>
                <m:t>i</m:t>
              </m:r>
              <m:r>
                <m:rPr>
                  <m:sty m:val="p"/>
                </m:rPr>
                <m:t>=</m:t>
              </m:r>
              <m:r>
                <m:t>4</m:t>
              </m:r>
            </m:sub>
            <m:sup>
              <m:r>
                <m:t>8</m:t>
              </m:r>
            </m:sup>
            <m:e>
              <m:sSubSup>
                <m:e>
                  <m:r>
                    <m:t>a</m:t>
                  </m:r>
                </m:e>
                <m:sub>
                  <m:r>
                    <m:t>i</m:t>
                  </m:r>
                </m:sub>
                <m:sup>
                  <m:r>
                    <m:rPr>
                      <m:sty m:val="p"/>
                    </m:rPr>
                    <m:t>∘</m:t>
                  </m:r>
                </m:sup>
              </m:sSubSup>
            </m:e>
          </m:nary>
          <m:r>
            <m:rPr>
              <m:sty m:val="p"/>
            </m:rPr>
            <m:t>ln</m:t>
          </m:r>
          <m:d>
            <m:dPr>
              <m:begChr m:val="["/>
              <m:sepChr m:val=""/>
              <m:endChr m:val="]"/>
              <m:grow/>
            </m:dPr>
            <m:e>
              <m:r>
                <m:t>1</m:t>
              </m:r>
              <m:r>
                <m:rPr>
                  <m:sty m:val="p"/>
                </m:rPr>
                <m:t>−</m:t>
              </m:r>
              <m:r>
                <m:rPr>
                  <m:sty m:val="p"/>
                </m:rPr>
                <m:t>exp</m:t>
              </m:r>
              <m:d>
                <m:dPr>
                  <m:begChr m:val="("/>
                  <m:sepChr m:val=""/>
                  <m:endChr m:val=")"/>
                  <m:grow/>
                </m:dPr>
                <m:e>
                  <m:r>
                    <m:rPr>
                      <m:sty m:val="p"/>
                    </m:rPr>
                    <m:t>−</m:t>
                  </m:r>
                  <m:r>
                    <m:t>τ</m:t>
                  </m:r>
                  <m:r>
                    <m:t> </m:t>
                  </m:r>
                  <m:sSubSup>
                    <m:e>
                      <m:r>
                        <m:t>θ</m:t>
                      </m:r>
                    </m:e>
                    <m:sub>
                      <m:r>
                        <m:t>i</m:t>
                      </m:r>
                    </m:sub>
                    <m:sup>
                      <m:r>
                        <m:rPr>
                          <m:sty m:val="p"/>
                        </m:rPr>
                        <m:t>∘</m:t>
                      </m:r>
                    </m:sup>
                  </m:sSubSup>
                </m:e>
              </m:d>
            </m:e>
          </m:d>
        </m:oMath>
      </m:oMathPara>
    </w:p>
    <w:p>
      <w:pPr>
        <w:pStyle w:val="FirstParagraph"/>
      </w:pPr>
      <w:r>
        <w:t xml:space="preserve">Der Residualanteil beschreibt die Abweichung vom idealen Gas. Er hat 42 Terme mit an Messdaten angepassten Koeffizienten</w:t>
      </w:r>
      <w:r>
        <w:t xml:space="preserve"> </w:t>
      </w:r>
      <w:r>
        <w:rPr>
          <w:i/>
          <w:iCs/>
        </w:rPr>
        <w:t xml:space="preserve">n</w:t>
      </w:r>
      <w:r>
        <w:rPr>
          <w:vertAlign w:val="subscript"/>
        </w:rPr>
        <w:t xml:space="preserve">i</w:t>
      </w:r>
      <w:r>
        <w:t xml:space="preserve">:</w:t>
      </w:r>
    </w:p>
    <w:p>
      <w:pPr>
        <w:pStyle w:val="BodyText"/>
      </w:pPr>
      <m:oMathPara>
        <m:oMathParaPr>
          <m:jc m:val="center"/>
        </m:oMathParaPr>
        <m:oMath>
          <m:sSup>
            <m:e>
              <m:r>
                <m:t>φ</m:t>
              </m:r>
            </m:e>
            <m:sup>
              <m:r>
                <m:t>r</m:t>
              </m:r>
            </m:sup>
          </m:sSup>
          <m:r>
            <m:rPr>
              <m:sty m:val="p"/>
            </m:rPr>
            <m:t>=</m:t>
          </m:r>
          <m:nary>
            <m:naryPr>
              <m:chr m:val="∑"/>
              <m:limLoc m:val="undOvr"/>
              <m:subHide m:val="off"/>
              <m:supHide m:val="off"/>
            </m:naryPr>
            <m:sub>
              <m:r>
                <m:t>i</m:t>
              </m:r>
              <m:r>
                <m:rPr>
                  <m:sty m:val="p"/>
                </m:rPr>
                <m:t>=</m:t>
              </m:r>
              <m:r>
                <m:t>1</m:t>
              </m:r>
            </m:sub>
            <m:sup>
              <m:r>
                <m:t>7</m:t>
              </m:r>
            </m:sup>
            <m:e>
              <m:sSub>
                <m:e>
                  <m:r>
                    <m:t>n</m:t>
                  </m:r>
                </m:e>
                <m:sub>
                  <m:r>
                    <m:t>i</m:t>
                  </m:r>
                </m:sub>
              </m:sSub>
            </m:e>
          </m:nary>
          <m:r>
            <m:t> </m:t>
          </m:r>
          <m:sSup>
            <m:e>
              <m:r>
                <m:t>δ</m:t>
              </m:r>
            </m:e>
            <m:sup>
              <m:sSub>
                <m:e>
                  <m:r>
                    <m:t>d</m:t>
                  </m:r>
                </m:e>
                <m:sub>
                  <m:r>
                    <m:t>i</m:t>
                  </m:r>
                </m:sub>
              </m:sSub>
            </m:sup>
          </m:sSup>
          <m:sSup>
            <m:e>
              <m:r>
                <m:t>τ</m:t>
              </m:r>
            </m:e>
            <m:sup>
              <m:sSub>
                <m:e>
                  <m:r>
                    <m:t>t</m:t>
                  </m:r>
                </m:e>
                <m:sub>
                  <m:r>
                    <m:t>i</m:t>
                  </m:r>
                </m:sub>
              </m:sSub>
            </m:sup>
          </m:sSup>
          <m:r>
            <m:rPr>
              <m:sty m:val="p"/>
            </m:rPr>
            <m:t>+</m:t>
          </m:r>
          <m:nary>
            <m:naryPr>
              <m:chr m:val="∑"/>
              <m:limLoc m:val="undOvr"/>
              <m:subHide m:val="off"/>
              <m:supHide m:val="off"/>
            </m:naryPr>
            <m:sub>
              <m:r>
                <m:t>i</m:t>
              </m:r>
              <m:r>
                <m:rPr>
                  <m:sty m:val="p"/>
                </m:rPr>
                <m:t>=</m:t>
              </m:r>
              <m:r>
                <m:t>8</m:t>
              </m:r>
            </m:sub>
            <m:sup>
              <m:r>
                <m:t>34</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p>
                <m:e>
                  <m:r>
                    <m:t>δ</m:t>
                  </m:r>
                </m:e>
                <m:sup>
                  <m:sSub>
                    <m:e>
                      <m:r>
                        <m:t>c</m:t>
                      </m:r>
                    </m:e>
                    <m:sub>
                      <m:r>
                        <m:t>i</m:t>
                      </m:r>
                    </m:sub>
                  </m:sSub>
                </m:sup>
              </m:sSup>
            </m:sup>
          </m:sSup>
          <m:r>
            <m:rPr>
              <m:sty m:val="p"/>
            </m:rPr>
            <m:t>+</m:t>
          </m:r>
          <m:nary>
            <m:naryPr>
              <m:chr m:val="∑"/>
              <m:limLoc m:val="undOvr"/>
              <m:subHide m:val="off"/>
              <m:supHide m:val="off"/>
            </m:naryPr>
            <m:sub>
              <m:r>
                <m:t>i</m:t>
              </m:r>
              <m:r>
                <m:rPr>
                  <m:sty m:val="p"/>
                </m:rPr>
                <m:t>=</m:t>
              </m:r>
              <m:r>
                <m:t>35</m:t>
              </m:r>
            </m:sub>
            <m:sup>
              <m:r>
                <m:t>39</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b>
                <m:e>
                  <m:r>
                    <m:t>α</m:t>
                  </m:r>
                </m:e>
                <m:sub>
                  <m:r>
                    <m:t>i</m:t>
                  </m:r>
                </m:sub>
              </m:sSub>
              <m:r>
                <m:rPr>
                  <m:sty m:val="p"/>
                </m:rPr>
                <m:t>(</m:t>
              </m:r>
              <m:r>
                <m:t>δ</m:t>
              </m:r>
              <m:r>
                <m:rPr>
                  <m:sty m:val="p"/>
                </m:rPr>
                <m:t>−</m:t>
              </m:r>
              <m:sSub>
                <m:e>
                  <m:r>
                    <m:t>ε</m:t>
                  </m:r>
                </m:e>
                <m:sub>
                  <m:r>
                    <m:t>i</m:t>
                  </m:r>
                </m:sub>
              </m:sSub>
              <m:sSup>
                <m:e>
                  <m:r>
                    <m:rPr>
                      <m:sty m:val="p"/>
                    </m:rPr>
                    <m:t>)</m:t>
                  </m:r>
                </m:e>
                <m:sup>
                  <m:r>
                    <m:t>2</m:t>
                  </m:r>
                </m:sup>
              </m:sSup>
              <m:r>
                <m:rPr>
                  <m:sty m:val="p"/>
                </m:rPr>
                <m:t>−</m:t>
              </m:r>
              <m:sSub>
                <m:e>
                  <m:r>
                    <m:t>β</m:t>
                  </m:r>
                </m:e>
                <m:sub>
                  <m:r>
                    <m:t>i</m:t>
                  </m:r>
                </m:sub>
              </m:sSub>
              <m:r>
                <m:rPr>
                  <m:sty m:val="p"/>
                </m:rPr>
                <m:t>(</m:t>
              </m:r>
              <m:r>
                <m:t>τ</m:t>
              </m:r>
              <m:r>
                <m:rPr>
                  <m:sty m:val="p"/>
                </m:rPr>
                <m:t>−</m:t>
              </m:r>
              <m:sSub>
                <m:e>
                  <m:r>
                    <m:t>γ</m:t>
                  </m:r>
                </m:e>
                <m:sub>
                  <m:r>
                    <m:t>i</m:t>
                  </m:r>
                </m:sub>
              </m:sSub>
              <m:sSup>
                <m:e>
                  <m:r>
                    <m:rPr>
                      <m:sty m:val="p"/>
                    </m:rPr>
                    <m:t>)</m:t>
                  </m:r>
                </m:e>
                <m:sup>
                  <m:r>
                    <m:t>2</m:t>
                  </m:r>
                </m:sup>
              </m:sSup>
            </m:sup>
          </m:sSup>
          <m:r>
            <m:rPr>
              <m:sty m:val="p"/>
            </m:rPr>
            <m:t>+</m:t>
          </m:r>
          <m:nary>
            <m:naryPr>
              <m:chr m:val="∑"/>
              <m:limLoc m:val="undOvr"/>
              <m:subHide m:val="off"/>
              <m:supHide m:val="off"/>
            </m:naryPr>
            <m:sub>
              <m:r>
                <m:t>i</m:t>
              </m:r>
              <m:r>
                <m:rPr>
                  <m:sty m:val="p"/>
                </m:rPr>
                <m:t>=</m:t>
              </m:r>
              <m:r>
                <m:t>40</m:t>
              </m:r>
            </m:sub>
            <m:sup>
              <m:r>
                <m:t>42</m:t>
              </m:r>
            </m:sup>
            <m:e>
              <m:sSub>
                <m:e>
                  <m:r>
                    <m:t>n</m:t>
                  </m:r>
                </m:e>
                <m:sub>
                  <m:r>
                    <m:t>i</m:t>
                  </m:r>
                </m:sub>
              </m:sSub>
            </m:e>
          </m:nary>
          <m:r>
            <m:t> </m:t>
          </m:r>
          <m:sSup>
            <m:e>
              <m:r>
                <m:rPr>
                  <m:sty m:val="p"/>
                </m:rPr>
                <m:t>Δ</m:t>
              </m:r>
            </m:e>
            <m:sup>
              <m:sSub>
                <m:e>
                  <m:r>
                    <m:t>b</m:t>
                  </m:r>
                </m:e>
                <m:sub>
                  <m:r>
                    <m:t>i</m:t>
                  </m:r>
                </m:sub>
              </m:sSub>
            </m:sup>
          </m:sSup>
          <m:r>
            <m:t> </m:t>
          </m:r>
          <m:r>
            <m:t>δ</m:t>
          </m:r>
          <m:r>
            <m:t> </m:t>
          </m:r>
          <m:r>
            <m:t>ψ</m:t>
          </m:r>
        </m:oMath>
      </m:oMathPara>
    </w:p>
    <w:p>
      <w:pPr>
        <w:pStyle w:val="Compact"/>
        <w:numPr>
          <w:ilvl w:val="0"/>
          <w:numId w:val="1002"/>
        </w:numPr>
      </w:pPr>
      <w:r>
        <w:t xml:space="preserve">Terme 1 bis 7: Polynomterme für das Gasgebiet.</w:t>
      </w:r>
    </w:p>
    <w:p>
      <w:pPr>
        <w:pStyle w:val="Compact"/>
        <w:numPr>
          <w:ilvl w:val="0"/>
          <w:numId w:val="1002"/>
        </w:numPr>
      </w:pPr>
      <w:r>
        <w:t xml:space="preserve">Terme 8 bis 34: Exponentialterme für Flüssigkeit und dichte Phase.</w:t>
      </w:r>
    </w:p>
    <w:p>
      <w:pPr>
        <w:pStyle w:val="Compact"/>
        <w:numPr>
          <w:ilvl w:val="0"/>
          <w:numId w:val="1002"/>
        </w:numPr>
      </w:pPr>
      <w:r>
        <w:t xml:space="preserve">Terme 35 bis 39: Gaußterme für die Umgebung des kritischen Punkts.</w:t>
      </w:r>
    </w:p>
    <w:p>
      <w:pPr>
        <w:pStyle w:val="Compact"/>
        <w:numPr>
          <w:ilvl w:val="0"/>
          <w:numId w:val="1002"/>
        </w:numPr>
      </w:pPr>
      <w:r>
        <w:t xml:space="preserve">Terme 40 bis 42: nichtanalytische Terme, damit die Gleichung das Verhalten direkt am kritischen Punkt richtig wiedergibt (zum Beispiel die stark ansteigende Wärmekapazität).</w:t>
      </w:r>
    </w:p>
    <w:bookmarkEnd w:id="11"/>
    <w:bookmarkStart w:id="12" w:name="zustandsgrößen-aus-der-helmholtz-energie"/>
    <w:p>
      <w:pPr>
        <w:pStyle w:val="Heading2"/>
      </w:pPr>
      <w:r>
        <w:rPr>
          <w:rStyle w:val="SectionNumber"/>
        </w:rPr>
        <w:t xml:space="preserve">3.2</w:t>
      </w:r>
      <w:r>
        <w:tab/>
      </w:r>
      <w:r>
        <w:t xml:space="preserve">Zustandsgrößen aus der Helmholtz-Energie</w:t>
      </w:r>
    </w:p>
    <w:p>
      <w:pPr>
        <w:pStyle w:val="FirstParagraph"/>
      </w:pPr>
      <w:r>
        <w:t xml:space="preserve">Die Indizes stehen für partielle Ableitungen, zum Beispiel φ</w:t>
      </w:r>
      <w:r>
        <w:rPr>
          <w:vertAlign w:val="superscript"/>
        </w:rPr>
        <w:t xml:space="preserve">r</w:t>
      </w:r>
      <w:r>
        <w:rPr>
          <w:vertAlign w:val="subscript"/>
        </w:rPr>
        <w:t xml:space="preserve">δ</w:t>
      </w:r>
      <w:r>
        <w:t xml:space="preserve"> </w:t>
      </w:r>
      <w:r>
        <w:t xml:space="preserve">= ∂φ</w:t>
      </w:r>
      <w:r>
        <w:rPr>
          <w:vertAlign w:val="superscript"/>
        </w:rPr>
        <w:t xml:space="preserve">r</w:t>
      </w:r>
      <w:r>
        <w:t xml:space="preserve">/∂δ bei konstantem τ.</w:t>
      </w:r>
      <w:r>
        <w:t xml:space="preserve"> </w:t>
      </w:r>
      <w:r>
        <w:rPr>
          <w:i/>
          <w:iCs/>
        </w:rPr>
        <w:t xml:space="preserve">R</w:t>
      </w:r>
      <w:r>
        <w:t xml:space="preserve"> </w:t>
      </w:r>
      <w:r>
        <w:t xml:space="preserve">ist hier die spezifische Gaskonstante</w:t>
      </w:r>
      <w:r>
        <w:t xml:space="preserve"> </w:t>
      </w:r>
      <w:r>
        <w:rPr>
          <w:i/>
          <w:iCs/>
        </w:rPr>
        <w:t xml:space="preserve">R</w:t>
      </w:r>
      <w:r>
        <w:t xml:space="preserve">/</w:t>
      </w:r>
      <w:r>
        <w:rPr>
          <w:i/>
          <w:iCs/>
        </w:rPr>
        <w:t xml:space="preserve">M</w:t>
      </w:r>
      <w:r>
        <w:t xml:space="preserve">.</w:t>
      </w:r>
    </w:p>
    <w:p>
      <w:pPr>
        <w:pStyle w:val="BodyText"/>
      </w:pPr>
      <m:oMathPara>
        <m:oMathParaPr>
          <m:jc m:val="center"/>
        </m:oMathParaPr>
        <m:oMath>
          <m:r>
            <m:t>p</m:t>
          </m:r>
          <m:r>
            <m:rPr>
              <m:sty m:val="p"/>
            </m:rPr>
            <m:t>=</m:t>
          </m:r>
          <m:r>
            <m:t>ρ</m:t>
          </m:r>
          <m:r>
            <m:t>R</m:t>
          </m:r>
          <m:r>
            <m:t>T</m:t>
          </m:r>
          <m:d>
            <m:dPr>
              <m:begChr m:val="("/>
              <m:sepChr m:val=""/>
              <m:endChr m:val=")"/>
              <m:grow/>
            </m:dPr>
            <m:e>
              <m:r>
                <m:t>1</m:t>
              </m:r>
              <m:r>
                <m:rPr>
                  <m:sty m:val="p"/>
                </m:rPr>
                <m:t>+</m:t>
              </m:r>
              <m:r>
                <m:t>δ</m:t>
              </m:r>
              <m:r>
                <m:t> </m:t>
              </m:r>
              <m:sSubSup>
                <m:e>
                  <m:r>
                    <m:t>φ</m:t>
                  </m:r>
                </m:e>
                <m:sub>
                  <m:r>
                    <m:t>δ</m:t>
                  </m:r>
                </m:sub>
                <m:sup>
                  <m:r>
                    <m:t>r</m:t>
                  </m:r>
                </m:sup>
              </m:sSubSup>
            </m:e>
          </m:d>
        </m:oMath>
      </m:oMathPara>
    </w:p>
    <w:p>
      <w:pPr>
        <w:pStyle w:val="FirstParagraph"/>
      </w:pPr>
      <m:oMathPara>
        <m:oMathParaPr>
          <m:jc m:val="center"/>
        </m:oMathParaPr>
        <m:oMath>
          <m:f>
            <m:fPr>
              <m:type m:val="bar"/>
            </m:fPr>
            <m:num>
              <m:r>
                <m:t>h</m:t>
              </m:r>
            </m:num>
            <m:den>
              <m:r>
                <m:t>R</m:t>
              </m:r>
              <m:r>
                <m:t>T</m:t>
              </m:r>
            </m:den>
          </m:f>
          <m:r>
            <m:rPr>
              <m:sty m:val="p"/>
            </m:rPr>
            <m:t>=</m:t>
          </m:r>
          <m:r>
            <m:t>1</m:t>
          </m:r>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r>
            <m:t>δ</m:t>
          </m:r>
          <m:r>
            <m:t> </m:t>
          </m:r>
          <m:sSubSup>
            <m:e>
              <m:r>
                <m:t>φ</m:t>
              </m:r>
            </m:e>
            <m:sub>
              <m:r>
                <m:t>δ</m:t>
              </m:r>
            </m:sub>
            <m:sup>
              <m:r>
                <m:t>r</m:t>
              </m:r>
            </m:sup>
          </m:sSubSup>
          <m:r>
            <m:rPr>
              <m:sty m:val="p"/>
            </m:rPr>
            <m:t>,</m:t>
          </m:r>
          <m:r>
            <m:t>  </m:t>
          </m:r>
          <m:f>
            <m:fPr>
              <m:type m:val="bar"/>
            </m:fPr>
            <m:num>
              <m:r>
                <m:t>s</m:t>
              </m:r>
            </m:num>
            <m:den>
              <m:r>
                <m:t>R</m:t>
              </m:r>
            </m:den>
          </m:f>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sSup>
            <m:e>
              <m:r>
                <m:t>φ</m:t>
              </m:r>
            </m:e>
            <m:sup>
              <m:r>
                <m:rPr>
                  <m:sty m:val="p"/>
                </m:rPr>
                <m:t>∘</m:t>
              </m:r>
            </m:sup>
          </m:sSup>
          <m:r>
            <m:rPr>
              <m:sty m:val="p"/>
            </m:rPr>
            <m:t>−</m:t>
          </m:r>
          <m:sSup>
            <m:e>
              <m:r>
                <m:t>φ</m:t>
              </m:r>
            </m:e>
            <m:sup>
              <m:r>
                <m:t>r</m:t>
              </m:r>
            </m:sup>
          </m:sSup>
        </m:oMath>
      </m:oMathPara>
    </w:p>
    <w:p>
      <w:pPr>
        <w:pStyle w:val="FirstParagraph"/>
      </w:pPr>
      <m:oMathPara>
        <m:oMathParaPr>
          <m:jc m:val="center"/>
        </m:oMathParaPr>
        <m:oMath>
          <m:f>
            <m:fPr>
              <m:type m:val="bar"/>
            </m:fPr>
            <m:num>
              <m:sSub>
                <m:e>
                  <m:r>
                    <m:t>c</m:t>
                  </m:r>
                </m:e>
                <m:sub>
                  <m:r>
                    <m:t>p</m:t>
                  </m:r>
                </m:sub>
              </m:sSub>
            </m:num>
            <m:den>
              <m:r>
                <m:t>R</m:t>
              </m:r>
            </m:den>
          </m:f>
          <m:r>
            <m:rPr>
              <m:sty m:val="p"/>
            </m:rPr>
            <m:t>=</m:t>
          </m:r>
          <m:r>
            <m:rPr>
              <m:sty m:val="p"/>
            </m:rPr>
            <m:t>−</m:t>
          </m:r>
          <m:sSup>
            <m:e>
              <m:r>
                <m:t>τ</m:t>
              </m:r>
            </m:e>
            <m:sup>
              <m:r>
                <m:t>2</m:t>
              </m:r>
            </m:sup>
          </m:sSup>
          <m:d>
            <m:dPr>
              <m:begChr m:val="("/>
              <m:sepChr m:val=""/>
              <m:endChr m:val=")"/>
              <m:grow/>
            </m:dPr>
            <m:e>
              <m:sSubSup>
                <m:e>
                  <m:r>
                    <m:t>φ</m:t>
                  </m:r>
                </m:e>
                <m:sub>
                  <m:r>
                    <m:t>τ</m:t>
                  </m:r>
                  <m:r>
                    <m:t>τ</m:t>
                  </m:r>
                </m:sub>
                <m:sup>
                  <m:r>
                    <m:rPr>
                      <m:sty m:val="p"/>
                    </m:rPr>
                    <m:t>∘</m:t>
                  </m:r>
                </m:sup>
              </m:sSubSup>
              <m:r>
                <m:rPr>
                  <m:sty m:val="p"/>
                </m:rPr>
                <m:t>+</m:t>
              </m:r>
              <m:sSubSup>
                <m:e>
                  <m:r>
                    <m:t>φ</m:t>
                  </m:r>
                </m:e>
                <m:sub>
                  <m:r>
                    <m:t>τ</m:t>
                  </m:r>
                  <m:r>
                    <m:t>τ</m:t>
                  </m:r>
                </m:sub>
                <m:sup>
                  <m:r>
                    <m:t>r</m:t>
                  </m:r>
                </m:sup>
              </m:sSubSup>
            </m:e>
          </m:d>
          <m:r>
            <m:rPr>
              <m:sty m:val="p"/>
            </m:rPr>
            <m:t>+</m:t>
          </m:r>
          <m:f>
            <m:fPr>
              <m:type m:val="bar"/>
            </m:fPr>
            <m:num>
              <m:sSup>
                <m:e>
                  <m:d>
                    <m:dPr>
                      <m:begChr m:val="("/>
                      <m:sepChr m:val=""/>
                      <m:endChr m:val=")"/>
                      <m:grow/>
                    </m:dPr>
                    <m:e>
                      <m:r>
                        <m:t>1</m:t>
                      </m:r>
                      <m:r>
                        <m:rPr>
                          <m:sty m:val="p"/>
                        </m:rPr>
                        <m:t>+</m:t>
                      </m:r>
                      <m:r>
                        <m:t>δ</m:t>
                      </m:r>
                      <m:sSubSup>
                        <m:e>
                          <m:r>
                            <m:t>φ</m:t>
                          </m:r>
                        </m:e>
                        <m:sub>
                          <m:r>
                            <m:t>δ</m:t>
                          </m:r>
                        </m:sub>
                        <m:sup>
                          <m:r>
                            <m:t>r</m:t>
                          </m:r>
                        </m:sup>
                      </m:sSubSup>
                      <m:r>
                        <m:rPr>
                          <m:sty m:val="p"/>
                        </m:rPr>
                        <m:t>−</m:t>
                      </m:r>
                      <m:r>
                        <m:t>δ</m:t>
                      </m:r>
                      <m:r>
                        <m:t>τ</m:t>
                      </m:r>
                      <m:sSubSup>
                        <m:e>
                          <m:r>
                            <m:t>φ</m:t>
                          </m:r>
                        </m:e>
                        <m:sub>
                          <m:r>
                            <m:t>δ</m:t>
                          </m:r>
                          <m:r>
                            <m:t>τ</m:t>
                          </m:r>
                        </m:sub>
                        <m:sup>
                          <m:r>
                            <m:t>r</m:t>
                          </m:r>
                        </m:sup>
                      </m:sSubSup>
                    </m:e>
                  </m:d>
                </m:e>
                <m:sup>
                  <m:r>
                    <m:t>2</m:t>
                  </m:r>
                </m:sup>
              </m:sSup>
            </m:num>
            <m:den>
              <m:r>
                <m:t>1</m:t>
              </m:r>
              <m:r>
                <m:rPr>
                  <m:sty m:val="p"/>
                </m:rPr>
                <m:t>+</m:t>
              </m:r>
              <m:r>
                <m:t>2</m:t>
              </m:r>
              <m:r>
                <m:t>δ</m:t>
              </m:r>
              <m:sSubSup>
                <m:e>
                  <m:r>
                    <m:t>φ</m:t>
                  </m:r>
                </m:e>
                <m:sub>
                  <m:r>
                    <m:t>δ</m:t>
                  </m:r>
                </m:sub>
                <m:sup>
                  <m:r>
                    <m:t>r</m:t>
                  </m:r>
                </m:sup>
              </m:sSubSup>
              <m:r>
                <m:rPr>
                  <m:sty m:val="p"/>
                </m:rPr>
                <m:t>+</m:t>
              </m:r>
              <m:sSup>
                <m:e>
                  <m:r>
                    <m:t>δ</m:t>
                  </m:r>
                </m:e>
                <m:sup>
                  <m:r>
                    <m:t>2</m:t>
                  </m:r>
                </m:sup>
              </m:sSup>
              <m:sSubSup>
                <m:e>
                  <m:r>
                    <m:t>φ</m:t>
                  </m:r>
                </m:e>
                <m:sub>
                  <m:r>
                    <m:t>δ</m:t>
                  </m:r>
                  <m:r>
                    <m:t>δ</m:t>
                  </m:r>
                </m:sub>
                <m:sup>
                  <m:r>
                    <m:t>r</m:t>
                  </m:r>
                </m:sup>
              </m:sSubSup>
            </m:den>
          </m:f>
        </m:oMath>
      </m:oMathPara>
    </w:p>
    <w:bookmarkEnd w:id="12"/>
    <w:bookmarkStart w:id="13" w:name="X7e01f800d92238600b7da100254c84d6832b6a8"/>
    <w:p>
      <w:pPr>
        <w:pStyle w:val="Heading2"/>
      </w:pPr>
      <w:r>
        <w:rPr>
          <w:rStyle w:val="SectionNumber"/>
        </w:rPr>
        <w:t xml:space="preserve">3.3</w:t>
      </w:r>
      <w:r>
        <w:tab/>
      </w:r>
      <w:r>
        <w:t xml:space="preserve">Was CoolProp bei einer Abfrage mit</w:t>
      </w:r>
      <w:r>
        <w:t xml:space="preserve"> </w:t>
      </w:r>
      <w:r>
        <w:rPr>
          <w:i/>
          <w:iCs/>
        </w:rPr>
        <w:t xml:space="preserve">p</w:t>
      </w:r>
      <w:r>
        <w:t xml:space="preserve"> </w:t>
      </w:r>
      <w:r>
        <w:t xml:space="preserve">und</w:t>
      </w:r>
      <w:r>
        <w:t xml:space="preserve"> </w:t>
      </w:r>
      <w:r>
        <w:rPr>
          <w:i/>
          <w:iCs/>
        </w:rPr>
        <w:t xml:space="preserve">T</w:t>
      </w:r>
      <w:r>
        <w:t xml:space="preserve"> </w:t>
      </w:r>
      <w:r>
        <w:t xml:space="preserve">macht</w:t>
      </w:r>
    </w:p>
    <w:p>
      <w:pPr>
        <w:pStyle w:val="FirstParagraph"/>
      </w:pPr>
      <w:r>
        <w:t xml:space="preserve">Die Gleichung hat Dichte und Temperatur als Variablen, die Skripte geben aber Druck und Temperatur vor. CoolProp löst deshalb die Druckgleichung iterativ nach der Dichte auf (Newton-Verfahren). Mit der gefundenen Dichte werden alle anderen Größen direkt ausgewertet. Nahe der Siedelinie entscheidet CoolProp vorher per Vergleich mit dem Dampfdruck, ob die Flüssigkeits- oder die Gaslösung gesucht wird.</w:t>
      </w:r>
    </w:p>
    <w:bookmarkEnd w:id="13"/>
    <w:bookmarkStart w:id="14" w:name="gültigkeit-und-genauigkeit"/>
    <w:p>
      <w:pPr>
        <w:pStyle w:val="Heading2"/>
      </w:pPr>
      <w:r>
        <w:rPr>
          <w:rStyle w:val="SectionNumber"/>
        </w:rPr>
        <w:t xml:space="preserve">3.4</w:t>
      </w:r>
      <w:r>
        <w:tab/>
      </w:r>
      <w:r>
        <w:t xml:space="preserve">Gültigkeit und Genauigkeit</w:t>
      </w:r>
    </w:p>
    <w:p>
      <w:pPr>
        <w:pStyle w:val="FirstParagraph"/>
      </w:pPr>
      <w:r>
        <w:t xml:space="preserve">Die Gleichung gilt vom Tripelpunkt (216,592 K) bis 1100 K und bis 800 MPa. Im technisch wichtigsten Bereich bis 30 MPa und 523 K geben Span und Wagner folgende Unsicherheiten an: Dichte ± 0,03 bis ± 0,05 %, Schallgeschwindigkeit ± 0,03 bis ± 1 %, isobare Wärmekapazität ± 0,15 bis ± 1,5 %. Alle Betriebspunkte der Einspeicherung (maximal 21 MPa und 50 °C) liegen in diesem Bereich.</w:t>
      </w:r>
    </w:p>
    <w:p>
      <w:pPr>
        <w:pStyle w:val="BodyText"/>
      </w:pPr>
      <w:r>
        <w:rPr>
          <w:i/>
          <w:iCs/>
        </w:rPr>
        <w:t xml:space="preserve">Hinweis: Die Unsicherheitsangaben stammen aus der Zusammenfassung der Originalarbeit und sind vor dem Zitieren im PDF zu prüfen.</w:t>
      </w:r>
    </w:p>
    <w:bookmarkEnd w:id="14"/>
    <w:bookmarkEnd w:id="15"/>
    <w:bookmarkStart w:id="19" w:name="Xb7cf5cec86c37109fd58e084394d72334778ad2"/>
    <w:p>
      <w:pPr>
        <w:pStyle w:val="Heading1"/>
      </w:pPr>
      <w:r>
        <w:rPr>
          <w:rStyle w:val="SectionNumber"/>
        </w:rPr>
        <w:t xml:space="preserve">4</w:t>
      </w:r>
      <w:r>
        <w:tab/>
      </w:r>
      <w:r>
        <w:t xml:space="preserve">Phasengleichgewicht reines CO₂: so entsteht das p-T-Diagramm</w:t>
      </w:r>
    </w:p>
    <w:p>
      <w:pPr>
        <w:pStyle w:val="FirstParagraph"/>
      </w:pPr>
      <w:r>
        <w:t xml:space="preserve">Die Linien im p-T-Diagramm von reinem CO₂ haben zwei verschiedene Herkünfte. Dampfdrucklinie und kritischer Punkt kommen aus der Span-Wagner-Gleichung selbst. Schmelz- und Sublimationslinie kommen aus eigenen Korrelationen, weil die Gleichung nur das Fluid (Gas und Flüssigkeit) beschreibt, nicht den Feststoff.</w:t>
      </w:r>
    </w:p>
    <w:bookmarkStart w:id="16" w:name="Xcc3bdb339236c7faee9b78f02a2ab08af8b996e"/>
    <w:p>
      <w:pPr>
        <w:pStyle w:val="Heading2"/>
      </w:pPr>
      <w:r>
        <w:rPr>
          <w:rStyle w:val="SectionNumber"/>
        </w:rPr>
        <w:t xml:space="preserve">4.1</w:t>
      </w:r>
      <w:r>
        <w:tab/>
      </w:r>
      <w:r>
        <w:t xml:space="preserve">Dampfdrucklinie aus der Gleichgewichtsbedingung</w:t>
      </w:r>
    </w:p>
    <w:p>
      <w:pPr>
        <w:pStyle w:val="FirstParagraph"/>
      </w:pPr>
      <w:r>
        <w:t xml:space="preserve">Flüssigkeit (Dichte ρ′) und Dampf (Dichte ρ″) stehen im Gleichgewicht, wenn Temperatur, Druck und spezifische Gibbs-Energie in beiden Phasen gleich sind. Mit der Helmholtz-Gleichung ergibt das drei Gleichungen für die Unbekannten</w:t>
      </w:r>
      <w:r>
        <w:t xml:space="preserve"> </w:t>
      </w:r>
      <w:r>
        <w:rPr>
          <w:i/>
          <w:iCs/>
        </w:rPr>
        <w:t xml:space="preserve">p</w:t>
      </w:r>
      <w:r>
        <w:rPr>
          <w:vertAlign w:val="subscript"/>
        </w:rPr>
        <w:t xml:space="preserve">s</w:t>
      </w:r>
      <w:r>
        <w:t xml:space="preserve">, ρ′ und ρ″ bei gegebener Temperatur (Maxwell-Kriterium):</w:t>
      </w:r>
    </w:p>
    <w:p>
      <w:pPr>
        <w:pStyle w:val="BodyText"/>
      </w:pPr>
      <m:oMathPara>
        <m:oMathParaPr>
          <m:jc m:val="center"/>
        </m:oMathParaPr>
        <m:oMath>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r>
            <m:rPr>
              <m:sty m:val="p"/>
            </m:rPr>
            <m:t>,</m:t>
          </m:r>
          <m:r>
            <m:t>  </m:t>
          </m:r>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oMath>
      </m:oMathPara>
    </w:p>
    <w:p>
      <w:pPr>
        <w:pStyle w:val="FirstParagraph"/>
      </w:pPr>
      <m:oMathPara>
        <m:oMathParaPr>
          <m:jc m:val="center"/>
        </m:oMathParaPr>
        <m:oMath>
          <m:f>
            <m:fPr>
              <m:type m:val="bar"/>
            </m:fPr>
            <m:num>
              <m:sSub>
                <m:e>
                  <m:r>
                    <m:t>p</m:t>
                  </m:r>
                </m:e>
                <m:sub>
                  <m:r>
                    <m:t>s</m:t>
                  </m:r>
                </m:sub>
              </m:sSub>
            </m:num>
            <m:den>
              <m:r>
                <m:t>R</m:t>
              </m:r>
              <m:r>
                <m:t>T</m:t>
              </m:r>
            </m:den>
          </m:f>
          <m:d>
            <m:dPr>
              <m:begChr m:val="("/>
              <m:sepChr m:val=""/>
              <m:endChr m:val=")"/>
              <m:grow/>
            </m:dPr>
            <m:e>
              <m:f>
                <m:fPr>
                  <m:type m:val="bar"/>
                </m:fPr>
                <m:num>
                  <m:r>
                    <m:t>1</m:t>
                  </m:r>
                </m:num>
                <m:den>
                  <m:sSup>
                    <m:e>
                      <m:r>
                        <m:t>ρ</m:t>
                      </m:r>
                    </m:e>
                    <m:sup>
                      <m:r>
                        <m:rPr>
                          <m:sty m:val="p"/>
                        </m:rPr>
                        <m:t>″</m:t>
                      </m:r>
                    </m:sup>
                  </m:sSup>
                </m:den>
              </m:f>
              <m:r>
                <m:rPr>
                  <m:sty m:val="p"/>
                </m:rPr>
                <m:t>−</m:t>
              </m:r>
              <m:f>
                <m:fPr>
                  <m:type m:val="bar"/>
                </m:fPr>
                <m:num>
                  <m:r>
                    <m:t>1</m:t>
                  </m:r>
                </m:num>
                <m:den>
                  <m:sSup>
                    <m:e>
                      <m:r>
                        <m:t>ρ</m:t>
                      </m:r>
                    </m:e>
                    <m:sup>
                      <m:r>
                        <m:rPr>
                          <m:sty m:val="p"/>
                        </m:rPr>
                        <m:t>′</m:t>
                      </m:r>
                    </m:sup>
                  </m:sSup>
                </m:den>
              </m:f>
            </m:e>
          </m:d>
          <m:r>
            <m:rPr>
              <m:sty m:val="p"/>
            </m:rPr>
            <m:t>−</m:t>
          </m:r>
          <m:r>
            <m:rPr>
              <m:sty m:val="p"/>
            </m:rPr>
            <m:t>ln</m:t>
          </m:r>
          <m:f>
            <m:fPr>
              <m:type m:val="bar"/>
            </m:fPr>
            <m:num>
              <m:sSup>
                <m:e>
                  <m:r>
                    <m:t>ρ</m:t>
                  </m:r>
                </m:e>
                <m:sup>
                  <m:r>
                    <m:rPr>
                      <m:sty m:val="p"/>
                    </m:rPr>
                    <m:t>′</m:t>
                  </m:r>
                </m:sup>
              </m:sSup>
            </m:num>
            <m:den>
              <m:sSup>
                <m:e>
                  <m:r>
                    <m:t>ρ</m:t>
                  </m:r>
                </m:e>
                <m:sup>
                  <m:r>
                    <m:rPr>
                      <m:sty m:val="p"/>
                    </m:rPr>
                    <m:t>″</m:t>
                  </m:r>
                </m:sup>
              </m:sSup>
            </m:den>
          </m:f>
          <m:r>
            <m:rPr>
              <m:sty m:val="p"/>
            </m:rPr>
            <m:t>=</m:t>
          </m:r>
          <m:sSup>
            <m:e>
              <m:r>
                <m:t>φ</m:t>
              </m:r>
            </m:e>
            <m:sup>
              <m:r>
                <m:t>r</m:t>
              </m:r>
            </m:sup>
          </m:sSup>
          <m:r>
            <m:rPr>
              <m:sty m:val="p"/>
            </m:rPr>
            <m:t>(</m:t>
          </m:r>
          <m:sSup>
            <m:e>
              <m:r>
                <m:t>δ</m:t>
              </m:r>
            </m:e>
            <m:sup>
              <m:r>
                <m:rPr>
                  <m:sty m:val="p"/>
                </m:rPr>
                <m:t>′</m:t>
              </m:r>
            </m:sup>
          </m:sSup>
          <m:r>
            <m:rPr>
              <m:sty m:val="p"/>
            </m:rPr>
            <m:t>,</m:t>
          </m:r>
          <m:r>
            <m:t>τ</m:t>
          </m:r>
          <m:r>
            <m:rPr>
              <m:sty m:val="p"/>
            </m:rPr>
            <m:t>)</m:t>
          </m:r>
          <m:r>
            <m:rPr>
              <m:sty m:val="p"/>
            </m:rPr>
            <m:t>−</m:t>
          </m:r>
          <m:sSup>
            <m:e>
              <m:r>
                <m:t>φ</m:t>
              </m:r>
            </m:e>
            <m:sup>
              <m:r>
                <m:t>r</m:t>
              </m:r>
            </m:sup>
          </m:sSup>
          <m:r>
            <m:rPr>
              <m:sty m:val="p"/>
            </m:rPr>
            <m:t>(</m:t>
          </m:r>
          <m:sSup>
            <m:e>
              <m:r>
                <m:t>δ</m:t>
              </m:r>
            </m:e>
            <m:sup>
              <m:r>
                <m:rPr>
                  <m:sty m:val="p"/>
                </m:rPr>
                <m:t>″</m:t>
              </m:r>
            </m:sup>
          </m:sSup>
          <m:r>
            <m:rPr>
              <m:sty m:val="p"/>
            </m:rPr>
            <m:t>,</m:t>
          </m:r>
          <m:r>
            <m:t>τ</m:t>
          </m:r>
          <m:r>
            <m:rPr>
              <m:sty m:val="p"/>
            </m:rPr>
            <m:t>)</m:t>
          </m:r>
        </m:oMath>
      </m:oMathPara>
    </w:p>
    <w:p>
      <w:pPr>
        <w:pStyle w:val="FirstParagraph"/>
      </w:pPr>
      <w:r>
        <w:t xml:space="preserve">CoolProp löst dieses System, wenn man einen Dampfanteil vorgibt:</w:t>
      </w:r>
      <w:r>
        <w:t xml:space="preserve"> </w:t>
      </w:r>
      <w:r>
        <w:rPr>
          <w:rStyle w:val="VerbatimChar"/>
        </w:rPr>
        <w:t xml:space="preserve">PropsSI("P", "T", T, "Q", 0, "CO2")</w:t>
      </w:r>
      <w:r>
        <w:t xml:space="preserve"> </w:t>
      </w:r>
      <w:r>
        <w:t xml:space="preserve">liefert den Dampfdruck</w:t>
      </w:r>
      <w:r>
        <w:t xml:space="preserve"> </w:t>
      </w:r>
      <w:r>
        <w:rPr>
          <w:i/>
          <w:iCs/>
        </w:rPr>
        <w:t xml:space="preserve">p</w:t>
      </w:r>
      <w:r>
        <w:rPr>
          <w:vertAlign w:val="subscript"/>
        </w:rPr>
        <w:t xml:space="preserve">s</w:t>
      </w:r>
      <w:r>
        <w:t xml:space="preserve">(</w:t>
      </w:r>
      <w:r>
        <w:rPr>
          <w:i/>
          <w:iCs/>
        </w:rPr>
        <w:t xml:space="preserve">T</w:t>
      </w:r>
      <w:r>
        <w:t xml:space="preserve">) auf der Siedelinie. So entsteht die Dampfdrucklinie in den Skripten, Punkt für Punkt vom Tripelpunkt bis zum kritischen Punkt.</w:t>
      </w:r>
    </w:p>
    <w:bookmarkEnd w:id="16"/>
    <w:bookmarkStart w:id="17" w:name="kritischer-punkt-und-tripelpunkt"/>
    <w:p>
      <w:pPr>
        <w:pStyle w:val="Heading2"/>
      </w:pPr>
      <w:r>
        <w:rPr>
          <w:rStyle w:val="SectionNumber"/>
        </w:rPr>
        <w:t xml:space="preserve">4.2</w:t>
      </w:r>
      <w:r>
        <w:tab/>
      </w:r>
      <w:r>
        <w:t xml:space="preserve">Kritischer Punkt und Tripelpunkt</w:t>
      </w:r>
    </w:p>
    <w:p>
      <w:pPr>
        <w:pStyle w:val="FirstParagraph"/>
      </w:pPr>
      <w:r>
        <w:t xml:space="preserve">Am kritischen Punkt werden Flüssigkeit und Dampf identisch. Die kritische Isotherme hat dort einen Wendepunkt mit waagerechter Tangente, (∂</w:t>
      </w:r>
      <w:r>
        <w:rPr>
          <w:i/>
          <w:iCs/>
        </w:rPr>
        <w:t xml:space="preserve">p</w:t>
      </w:r>
      <w:r>
        <w:t xml:space="preserve">/∂ρ)</w:t>
      </w:r>
      <w:r>
        <w:rPr>
          <w:vertAlign w:val="subscript"/>
        </w:rPr>
        <w:t xml:space="preserve">T</w:t>
      </w:r>
      <w:r>
        <w:t xml:space="preserve"> </w:t>
      </w:r>
      <w:r>
        <w:t xml:space="preserve">= 0 und (∂²</w:t>
      </w:r>
      <w:r>
        <w:rPr>
          <w:i/>
          <w:iCs/>
        </w:rPr>
        <w:t xml:space="preserve">p</w:t>
      </w:r>
      <w:r>
        <w:t xml:space="preserve">/∂ρ²)</w:t>
      </w:r>
      <w:r>
        <w:rPr>
          <w:vertAlign w:val="subscript"/>
        </w:rPr>
        <w:t xml:space="preserve">T</w:t>
      </w:r>
      <w:r>
        <w:t xml:space="preserve"> </w:t>
      </w:r>
      <w:r>
        <w:t xml:space="preserve">= 0. Die Span-Wagner-Gleichung erfüllt das bei</w:t>
      </w:r>
      <w:r>
        <w:t xml:space="preserve"> </w:t>
      </w:r>
      <w:r>
        <w:rPr>
          <w:i/>
          <w:iCs/>
        </w:rPr>
        <w:t xml:space="preserve">T</w:t>
      </w:r>
      <w:r>
        <w:rPr>
          <w:vertAlign w:val="subscript"/>
        </w:rPr>
        <w:t xml:space="preserve">c</w:t>
      </w:r>
      <w:r>
        <w:t xml:space="preserve"> </w:t>
      </w:r>
      <w:r>
        <w:t xml:space="preserve">= 304,1282 K (31,0 °C) und</w:t>
      </w:r>
      <w:r>
        <w:t xml:space="preserve"> </w:t>
      </w:r>
      <w:r>
        <w:rPr>
          <w:i/>
          <w:iCs/>
        </w:rPr>
        <w:t xml:space="preserve">p</w:t>
      </w:r>
      <w:r>
        <w:rPr>
          <w:vertAlign w:val="subscript"/>
        </w:rPr>
        <w:t xml:space="preserve">c</w:t>
      </w:r>
      <w:r>
        <w:t xml:space="preserve"> </w:t>
      </w:r>
      <w:r>
        <w:t xml:space="preserve">= 7,3773 MPa (73,8 bar). Der Tripelpunkt liegt bei 216,592 K (−56,6 °C) und 0,518 MPa (5,18 bar).</w:t>
      </w:r>
    </w:p>
    <w:bookmarkEnd w:id="17"/>
    <w:bookmarkStart w:id="18" w:name="schmelz--und-sublimationslinie"/>
    <w:p>
      <w:pPr>
        <w:pStyle w:val="Heading2"/>
      </w:pPr>
      <w:r>
        <w:rPr>
          <w:rStyle w:val="SectionNumber"/>
        </w:rPr>
        <w:t xml:space="preserve">4.3</w:t>
      </w:r>
      <w:r>
        <w:tab/>
      </w:r>
      <w:r>
        <w:t xml:space="preserve">Schmelz- und Sublimationslinie</w:t>
      </w:r>
    </w:p>
    <w:p>
      <w:pPr>
        <w:pStyle w:val="FirstParagraph"/>
      </w:pPr>
      <w:r>
        <w:t xml:space="preserve">Diese beiden Linien werden mit den Korrelationen aus Span und Wagner (1996) gerechnet, die auch in der Excel-Rechenübersicht stehen (Funktionen</w:t>
      </w:r>
      <w:r>
        <w:t xml:space="preserve"> </w:t>
      </w:r>
      <w:r>
        <w:rPr>
          <w:rStyle w:val="VerbatimChar"/>
        </w:rPr>
        <w:t xml:space="preserve">schmelz_bar</w:t>
      </w:r>
      <w:r>
        <w:t xml:space="preserve"> </w:t>
      </w:r>
      <w:r>
        <w:t xml:space="preserve">und</w:t>
      </w:r>
      <w:r>
        <w:t xml:space="preserve"> </w:t>
      </w:r>
      <w:r>
        <w:rPr>
          <w:rStyle w:val="VerbatimChar"/>
        </w:rPr>
        <w:t xml:space="preserve">sublimation_bar</w:t>
      </w:r>
      <w:r>
        <w:t xml:space="preserve">):</w:t>
      </w:r>
    </w:p>
    <w:p>
      <w:pPr>
        <w:pStyle w:val="BodyText"/>
      </w:pPr>
      <m:oMathPara>
        <m:oMathParaPr>
          <m:jc m:val="center"/>
        </m:oMathParaPr>
        <m:oMath>
          <m:f>
            <m:fPr>
              <m:type m:val="bar"/>
            </m:fPr>
            <m:num>
              <m:sSub>
                <m:e>
                  <m:r>
                    <m:t>p</m:t>
                  </m:r>
                </m:e>
                <m:sub>
                  <m:r>
                    <m:rPr>
                      <m:sty m:val="p"/>
                    </m:rPr>
                    <m:t>s</m:t>
                  </m:r>
                  <m:r>
                    <m:rPr>
                      <m:sty m:val="p"/>
                    </m:rPr>
                    <m:t>c</m:t>
                  </m:r>
                  <m:r>
                    <m:rPr>
                      <m:sty m:val="p"/>
                    </m:rPr>
                    <m:t>h</m:t>
                  </m:r>
                  <m:r>
                    <m:rPr>
                      <m:sty m:val="p"/>
                    </m:rPr>
                    <m:t>m</m:t>
                  </m:r>
                </m:sub>
              </m:sSub>
            </m:num>
            <m:den>
              <m:sSub>
                <m:e>
                  <m:r>
                    <m:t>p</m:t>
                  </m:r>
                </m:e>
                <m:sub>
                  <m:r>
                    <m:t>t</m:t>
                  </m:r>
                </m:sub>
              </m:sSub>
            </m:den>
          </m:f>
          <m:r>
            <m:rPr>
              <m:sty m:val="p"/>
            </m:rPr>
            <m:t>=</m:t>
          </m:r>
          <m:r>
            <m:t>1</m:t>
          </m:r>
          <m:r>
            <m:rPr>
              <m:sty m:val="p"/>
            </m:rPr>
            <m:t>+</m:t>
          </m:r>
          <m:sSub>
            <m:e>
              <m:r>
                <m:t>a</m:t>
              </m:r>
            </m:e>
            <m:sub>
              <m:r>
                <m:t>1</m:t>
              </m:r>
            </m:sub>
          </m:sSub>
          <m:d>
            <m:dPr>
              <m:begChr m:val="("/>
              <m:sepChr m:val=""/>
              <m:endChr m:val=")"/>
              <m:grow/>
            </m:dPr>
            <m:e>
              <m:f>
                <m:fPr>
                  <m:type m:val="bar"/>
                </m:fPr>
                <m:num>
                  <m:r>
                    <m:t>T</m:t>
                  </m:r>
                </m:num>
                <m:den>
                  <m:sSub>
                    <m:e>
                      <m:r>
                        <m:t>T</m:t>
                      </m:r>
                    </m:e>
                    <m:sub>
                      <m:r>
                        <m:t>t</m:t>
                      </m:r>
                    </m:sub>
                  </m:sSub>
                </m:den>
              </m:f>
              <m:r>
                <m:rPr>
                  <m:sty m:val="p"/>
                </m:rPr>
                <m:t>−</m:t>
              </m:r>
              <m:r>
                <m:t>1</m:t>
              </m:r>
            </m:e>
          </m:d>
          <m:r>
            <m:rPr>
              <m:sty m:val="p"/>
            </m:rPr>
            <m:t>+</m:t>
          </m:r>
          <m:sSub>
            <m:e>
              <m:r>
                <m:t>a</m:t>
              </m:r>
            </m:e>
            <m:sub>
              <m:r>
                <m:t>2</m:t>
              </m:r>
            </m:sub>
          </m:sSub>
          <m:sSup>
            <m:e>
              <m:d>
                <m:dPr>
                  <m:begChr m:val="("/>
                  <m:sepChr m:val=""/>
                  <m:endChr m:val=")"/>
                  <m:grow/>
                </m:dPr>
                <m:e>
                  <m:f>
                    <m:fPr>
                      <m:type m:val="bar"/>
                    </m:fPr>
                    <m:num>
                      <m:r>
                        <m:t>T</m:t>
                      </m:r>
                    </m:num>
                    <m:den>
                      <m:sSub>
                        <m:e>
                          <m:r>
                            <m:t>T</m:t>
                          </m:r>
                        </m:e>
                        <m:sub>
                          <m:r>
                            <m:t>t</m:t>
                          </m:r>
                        </m:sub>
                      </m:sSub>
                    </m:den>
                  </m:f>
                  <m:r>
                    <m:rPr>
                      <m:sty m:val="p"/>
                    </m:rPr>
                    <m:t>−</m:t>
                  </m:r>
                  <m:r>
                    <m:t>1</m:t>
                  </m:r>
                </m:e>
              </m:d>
            </m:e>
            <m:sup>
              <m:r>
                <m:t>2</m:t>
              </m:r>
            </m:sup>
          </m:sSup>
          <m:r>
            <m:rPr>
              <m:sty m:val="p"/>
            </m:rPr>
            <m:t>,</m:t>
          </m:r>
          <m:r>
            <m:t>  </m:t>
          </m:r>
          <m:sSub>
            <m:e>
              <m:r>
                <m:t>a</m:t>
              </m:r>
            </m:e>
            <m:sub>
              <m:r>
                <m:t>1</m:t>
              </m:r>
            </m:sub>
          </m:sSub>
          <m:r>
            <m:rPr>
              <m:sty m:val="p"/>
            </m:rPr>
            <m:t>=</m:t>
          </m:r>
          <m:r>
            <m:t>1955</m:t>
          </m:r>
          <m:r>
            <m:rPr>
              <m:sty m:val="p"/>
            </m:rPr>
            <m:t>,</m:t>
          </m:r>
          <m:r>
            <m:t>5390</m:t>
          </m:r>
          <m:r>
            <m:rPr>
              <m:sty m:val="p"/>
            </m:rPr>
            <m:t>,</m:t>
          </m:r>
          <m:r>
            <m:t> </m:t>
          </m:r>
          <m:sSub>
            <m:e>
              <m:r>
                <m:t>a</m:t>
              </m:r>
            </m:e>
            <m:sub>
              <m:r>
                <m:t>2</m:t>
              </m:r>
            </m:sub>
          </m:sSub>
          <m:r>
            <m:rPr>
              <m:sty m:val="p"/>
            </m:rPr>
            <m:t>=</m:t>
          </m:r>
          <m:r>
            <m:t>2055</m:t>
          </m:r>
          <m:r>
            <m:rPr>
              <m:sty m:val="p"/>
            </m:rPr>
            <m:t>,</m:t>
          </m:r>
          <m:r>
            <m:t>4593</m:t>
          </m:r>
        </m:oMath>
      </m:oMathPara>
    </w:p>
    <w:p>
      <w:pPr>
        <w:pStyle w:val="FirstParagraph"/>
      </w:pPr>
      <m:oMathPara>
        <m:oMathParaPr>
          <m:jc m:val="center"/>
        </m:oMathParaPr>
        <m:oMath>
          <m:r>
            <m:rPr>
              <m:sty m:val="p"/>
            </m:rPr>
            <m:t>ln</m:t>
          </m:r>
          <m:f>
            <m:fPr>
              <m:type m:val="bar"/>
            </m:fPr>
            <m:num>
              <m:sSub>
                <m:e>
                  <m:r>
                    <m:t>p</m:t>
                  </m:r>
                </m:e>
                <m:sub>
                  <m:r>
                    <m:rPr>
                      <m:sty m:val="p"/>
                    </m:rPr>
                    <m:t>s</m:t>
                  </m:r>
                  <m:r>
                    <m:rPr>
                      <m:sty m:val="p"/>
                    </m:rPr>
                    <m:t>u</m:t>
                  </m:r>
                  <m:r>
                    <m:rPr>
                      <m:sty m:val="p"/>
                    </m:rPr>
                    <m:t>b</m:t>
                  </m:r>
                  <m:r>
                    <m:rPr>
                      <m:sty m:val="p"/>
                    </m:rPr>
                    <m:t>l</m:t>
                  </m:r>
                </m:sub>
              </m:sSub>
            </m:num>
            <m:den>
              <m:sSub>
                <m:e>
                  <m:r>
                    <m:t>p</m:t>
                  </m:r>
                </m:e>
                <m:sub>
                  <m:r>
                    <m:t>t</m:t>
                  </m:r>
                </m:sub>
              </m:sSub>
            </m:den>
          </m:f>
          <m:r>
            <m:rPr>
              <m:sty m:val="p"/>
            </m:rPr>
            <m:t>=</m:t>
          </m:r>
          <m:f>
            <m:fPr>
              <m:type m:val="bar"/>
            </m:fPr>
            <m:num>
              <m:sSub>
                <m:e>
                  <m:r>
                    <m:t>T</m:t>
                  </m:r>
                </m:e>
                <m:sub>
                  <m:r>
                    <m:t>t</m:t>
                  </m:r>
                </m:sub>
              </m:sSub>
            </m:num>
            <m:den>
              <m:r>
                <m:t>T</m:t>
              </m:r>
            </m:den>
          </m:f>
          <m:d>
            <m:dPr>
              <m:begChr m:val="["/>
              <m:sepChr m:val=""/>
              <m:endChr m:val="]"/>
              <m:grow/>
            </m:dPr>
            <m:e>
              <m:sSub>
                <m:e>
                  <m:r>
                    <m:t>a</m:t>
                  </m:r>
                </m:e>
                <m:sub>
                  <m:r>
                    <m:t>1</m:t>
                  </m:r>
                </m:sub>
              </m:sSub>
              <m:d>
                <m:dPr>
                  <m:begChr m:val="("/>
                  <m:sepChr m:val=""/>
                  <m:endChr m:val=")"/>
                  <m:grow/>
                </m:dPr>
                <m:e>
                  <m:r>
                    <m:t>1</m:t>
                  </m:r>
                  <m:r>
                    <m:rPr>
                      <m:sty m:val="p"/>
                    </m:rPr>
                    <m:t>−</m:t>
                  </m:r>
                  <m:f>
                    <m:fPr>
                      <m:type m:val="bar"/>
                    </m:fPr>
                    <m:num>
                      <m:r>
                        <m:t>T</m:t>
                      </m:r>
                    </m:num>
                    <m:den>
                      <m:sSub>
                        <m:e>
                          <m:r>
                            <m:t>T</m:t>
                          </m:r>
                        </m:e>
                        <m:sub>
                          <m:r>
                            <m:t>t</m:t>
                          </m:r>
                        </m:sub>
                      </m:sSub>
                    </m:den>
                  </m:f>
                </m:e>
              </m:d>
              <m:r>
                <m:rPr>
                  <m:sty m:val="p"/>
                </m:rPr>
                <m:t>+</m:t>
              </m:r>
              <m:sSub>
                <m:e>
                  <m:r>
                    <m:t>a</m:t>
                  </m:r>
                </m:e>
                <m:sub>
                  <m:r>
                    <m:t>2</m:t>
                  </m:r>
                </m:sub>
              </m:sSub>
              <m:sSup>
                <m:e>
                  <m:d>
                    <m:dPr>
                      <m:begChr m:val="("/>
                      <m:sepChr m:val=""/>
                      <m:endChr m:val=")"/>
                      <m:grow/>
                    </m:dPr>
                    <m:e>
                      <m:r>
                        <m:t>1</m:t>
                      </m:r>
                      <m:r>
                        <m:rPr>
                          <m:sty m:val="p"/>
                        </m:rPr>
                        <m:t>−</m:t>
                      </m:r>
                      <m:f>
                        <m:fPr>
                          <m:type m:val="bar"/>
                        </m:fPr>
                        <m:num>
                          <m:r>
                            <m:t>T</m:t>
                          </m:r>
                        </m:num>
                        <m:den>
                          <m:sSub>
                            <m:e>
                              <m:r>
                                <m:t>T</m:t>
                              </m:r>
                            </m:e>
                            <m:sub>
                              <m:r>
                                <m:t>t</m:t>
                              </m:r>
                            </m:sub>
                          </m:sSub>
                        </m:den>
                      </m:f>
                    </m:e>
                  </m:d>
                </m:e>
                <m:sup>
                  <m:r>
                    <m:t>1</m:t>
                  </m:r>
                  <m:r>
                    <m:rPr>
                      <m:sty m:val="p"/>
                    </m:rPr>
                    <m:t>,</m:t>
                  </m:r>
                  <m:r>
                    <m:t>9</m:t>
                  </m:r>
                </m:sup>
              </m:sSup>
              <m:r>
                <m:rPr>
                  <m:sty m:val="p"/>
                </m:rPr>
                <m:t>+</m:t>
              </m:r>
              <m:sSub>
                <m:e>
                  <m:r>
                    <m:t>a</m:t>
                  </m:r>
                </m:e>
                <m:sub>
                  <m:r>
                    <m:t>3</m:t>
                  </m:r>
                </m:sub>
              </m:sSub>
              <m:sSup>
                <m:e>
                  <m:d>
                    <m:dPr>
                      <m:begChr m:val="("/>
                      <m:sepChr m:val=""/>
                      <m:endChr m:val=")"/>
                      <m:grow/>
                    </m:dPr>
                    <m:e>
                      <m:r>
                        <m:t>1</m:t>
                      </m:r>
                      <m:r>
                        <m:rPr>
                          <m:sty m:val="p"/>
                        </m:rPr>
                        <m:t>−</m:t>
                      </m:r>
                      <m:f>
                        <m:fPr>
                          <m:type m:val="bar"/>
                        </m:fPr>
                        <m:num>
                          <m:r>
                            <m:t>T</m:t>
                          </m:r>
                        </m:num>
                        <m:den>
                          <m:sSub>
                            <m:e>
                              <m:r>
                                <m:t>T</m:t>
                              </m:r>
                            </m:e>
                            <m:sub>
                              <m:r>
                                <m:t>t</m:t>
                              </m:r>
                            </m:sub>
                          </m:sSub>
                        </m:den>
                      </m:f>
                    </m:e>
                  </m:d>
                </m:e>
                <m:sup>
                  <m:r>
                    <m:t>2</m:t>
                  </m:r>
                  <m:r>
                    <m:rPr>
                      <m:sty m:val="p"/>
                    </m:rPr>
                    <m:t>,</m:t>
                  </m:r>
                  <m:r>
                    <m:t>9</m:t>
                  </m:r>
                </m:sup>
              </m:sSup>
            </m:e>
          </m:d>
        </m:oMath>
      </m:oMathPara>
    </w:p>
    <w:p>
      <w:pPr>
        <w:pStyle w:val="FirstParagraph"/>
      </w:pPr>
      <w:r>
        <w:t xml:space="preserve">mit</w:t>
      </w:r>
      <w:r>
        <w:t xml:space="preserve"> </w:t>
      </w:r>
      <w:r>
        <w:rPr>
          <w:i/>
          <w:iCs/>
        </w:rPr>
        <w:t xml:space="preserve">a</w:t>
      </w:r>
      <w:r>
        <w:rPr>
          <w:vertAlign w:val="subscript"/>
        </w:rPr>
        <w:t xml:space="preserve">1</w:t>
      </w:r>
      <w:r>
        <w:t xml:space="preserve"> </w:t>
      </w:r>
      <w:r>
        <w:t xml:space="preserve">= −14,740846,</w:t>
      </w:r>
      <w:r>
        <w:t xml:space="preserve"> </w:t>
      </w:r>
      <w:r>
        <w:rPr>
          <w:i/>
          <w:iCs/>
        </w:rPr>
        <w:t xml:space="preserve">a</w:t>
      </w:r>
      <w:r>
        <w:rPr>
          <w:vertAlign w:val="subscript"/>
        </w:rPr>
        <w:t xml:space="preserve">2</w:t>
      </w:r>
      <w:r>
        <w:t xml:space="preserve"> </w:t>
      </w:r>
      <w:r>
        <w:t xml:space="preserve">= 2,4327015 und</w:t>
      </w:r>
      <w:r>
        <w:t xml:space="preserve"> </w:t>
      </w:r>
      <w:r>
        <w:rPr>
          <w:i/>
          <w:iCs/>
        </w:rPr>
        <w:t xml:space="preserve">a</w:t>
      </w:r>
      <w:r>
        <w:rPr>
          <w:vertAlign w:val="subscript"/>
        </w:rPr>
        <w:t xml:space="preserve">3</w:t>
      </w:r>
      <w:r>
        <w:t xml:space="preserve"> </w:t>
      </w:r>
      <w:r>
        <w:t xml:space="preserve">= −5,3061778.</w:t>
      </w:r>
    </w:p>
    <w:p>
      <w:pPr>
        <w:pStyle w:val="BodyText"/>
      </w:pPr>
      <w:r>
        <w:t xml:space="preserve">Das Diagramm besteht damit aus vier Flächen: fest, flüssig, gasförmig und überkritisch. „Überkritisch“ ist keine eigene Phase, sondern eine Konvention für</w:t>
      </w:r>
      <w:r>
        <w:t xml:space="preserve"> </w:t>
      </w:r>
      <w:r>
        <w:rPr>
          <w:i/>
          <w:iCs/>
        </w:rPr>
        <w:t xml:space="preserve">T</w:t>
      </w:r>
      <w:r>
        <w:t xml:space="preserve"> </w:t>
      </w:r>
      <w:r>
        <w:t xml:space="preserve">&gt;</w:t>
      </w:r>
      <w:r>
        <w:t xml:space="preserve"> </w:t>
      </w:r>
      <w:r>
        <w:rPr>
          <w:i/>
          <w:iCs/>
        </w:rPr>
        <w:t xml:space="preserve">T</w:t>
      </w:r>
      <w:r>
        <w:rPr>
          <w:vertAlign w:val="subscript"/>
        </w:rPr>
        <w:t xml:space="preserve">c</w:t>
      </w:r>
      <w:r>
        <w:t xml:space="preserve"> </w:t>
      </w:r>
      <w:r>
        <w:t xml:space="preserve">und</w:t>
      </w:r>
      <w:r>
        <w:t xml:space="preserve"> </w:t>
      </w:r>
      <w:r>
        <w:rPr>
          <w:i/>
          <w:iCs/>
        </w:rPr>
        <w:t xml:space="preserve">p</w:t>
      </w:r>
      <w:r>
        <w:t xml:space="preserve"> </w:t>
      </w:r>
      <w:r>
        <w:t xml:space="preserve">&gt;</w:t>
      </w:r>
      <w:r>
        <w:t xml:space="preserve"> </w:t>
      </w:r>
      <w:r>
        <w:rPr>
          <w:i/>
          <w:iCs/>
        </w:rPr>
        <w:t xml:space="preserve">p</w:t>
      </w:r>
      <w:r>
        <w:rPr>
          <w:vertAlign w:val="subscript"/>
        </w:rPr>
        <w:t xml:space="preserve">c</w:t>
      </w:r>
      <w:r>
        <w:t xml:space="preserve">. Dort gibt es keinen Phasenübergang, nur einen stetigen Übergang von gas- zu flüssigkeitsähnlicher Dichte.</w:t>
      </w:r>
    </w:p>
    <w:bookmarkEnd w:id="18"/>
    <w:bookmarkEnd w:id="19"/>
    <w:bookmarkStart w:id="25" w:name="Xb05d23c7f6fab8c139cf06f55fd424bd799d7f2"/>
    <w:p>
      <w:pPr>
        <w:pStyle w:val="Heading1"/>
      </w:pPr>
      <w:r>
        <w:rPr>
          <w:rStyle w:val="SectionNumber"/>
        </w:rPr>
        <w:t xml:space="preserve">5</w:t>
      </w:r>
      <w:r>
        <w:tab/>
      </w:r>
      <w:r>
        <w:t xml:space="preserve">Gemisch: Mehrfluid-Helmholtz-Modell nach GERG-2008</w:t>
      </w:r>
    </w:p>
    <w:bookmarkStart w:id="20" w:name="zusammensetzung-worst-case-anlieferung"/>
    <w:p>
      <w:pPr>
        <w:pStyle w:val="Heading2"/>
      </w:pPr>
      <w:r>
        <w:rPr>
          <w:rStyle w:val="SectionNumber"/>
        </w:rPr>
        <w:t xml:space="preserve">5.1</w:t>
      </w:r>
      <w:r>
        <w:tab/>
      </w:r>
      <w:r>
        <w:t xml:space="preserve">Zusammensetzung (Worst Case Anlieferung)</w:t>
      </w:r>
    </w:p>
    <w:tbl>
      <w:tblPr>
        <w:tblStyle w:val="Table"/>
        <w:tblW w:type="dxa" w:w="9072"/>
        <w:tblLook w:firstRow="1" w:lastRow="0" w:firstColumn="0" w:lastColumn="0" w:noHBand="0" w:noVBand="0" w:val="0020"/>
      </w:tblPr>
      <w:tblGrid>
        <w:gridCol w:w="3074"/>
        <w:gridCol w:w="1906"/>
        <w:gridCol w:w="4090"/>
      </w:tblGrid>
      <w:tr>
        <w:trPr>
          <w:tblHeader w:val="on"/>
        </w:trPr>
        <w:tc>
          <w:tcPr/>
          <w:p>
            <w:pPr>
              <w:pStyle w:val="Compact"/>
            </w:pPr>
            <w:r>
              <w:t xml:space="preserve">Komponente</w:t>
            </w:r>
          </w:p>
        </w:tc>
        <w:tc>
          <w:tcPr/>
          <w:p>
            <w:pPr>
              <w:pStyle w:val="Compact"/>
            </w:pPr>
            <w:r>
              <w:t xml:space="preserve">mol-%</w:t>
            </w:r>
          </w:p>
        </w:tc>
        <w:tc>
          <w:tcPr/>
          <w:p>
            <w:pPr>
              <w:pStyle w:val="Compact"/>
            </w:pPr>
            <w:r>
              <w:t xml:space="preserve">Beleg</w:t>
            </w:r>
          </w:p>
        </w:tc>
      </w:tr>
      <w:tr>
        <w:tc>
          <w:tcPr/>
          <w:p>
            <w:pPr>
              <w:pStyle w:val="Compact"/>
            </w:pPr>
            <w:r>
              <w:t xml:space="preserve">CO₂</w:t>
            </w:r>
          </w:p>
        </w:tc>
        <w:tc>
          <w:tcPr/>
          <w:p>
            <w:pPr>
              <w:pStyle w:val="Compact"/>
            </w:pPr>
            <w:r>
              <w:t xml:space="preserve">95,0</w:t>
            </w:r>
          </w:p>
        </w:tc>
        <w:tc>
          <w:tcPr/>
          <w:p>
            <w:pPr>
              <w:pStyle w:val="Compact"/>
            </w:pPr>
            <w:r>
              <w:t xml:space="preserve">DIN EN 18397 / ISO 27913</w:t>
            </w:r>
          </w:p>
        </w:tc>
      </w:tr>
      <w:tr>
        <w:tc>
          <w:tcPr/>
          <w:p>
            <w:pPr>
              <w:pStyle w:val="Compact"/>
            </w:pPr>
            <w:r>
              <w:t xml:space="preserve">N₂</w:t>
            </w:r>
          </w:p>
        </w:tc>
        <w:tc>
          <w:tcPr/>
          <w:p>
            <w:pPr>
              <w:pStyle w:val="Compact"/>
            </w:pPr>
            <w:r>
              <w:t xml:space="preserve">2,4</w:t>
            </w:r>
          </w:p>
        </w:tc>
        <w:tc>
          <w:tcPr/>
          <w:p>
            <w:pPr>
              <w:pStyle w:val="Compact"/>
            </w:pPr>
            <w:r>
              <w:t xml:space="preserve">Porthos-Grenzwert</w:t>
            </w:r>
          </w:p>
        </w:tc>
      </w:tr>
      <w:tr>
        <w:tc>
          <w:tcPr/>
          <w:p>
            <w:pPr>
              <w:pStyle w:val="Compact"/>
            </w:pPr>
            <w:r>
              <w:t xml:space="preserve">Ar</w:t>
            </w:r>
          </w:p>
        </w:tc>
        <w:tc>
          <w:tcPr/>
          <w:p>
            <w:pPr>
              <w:pStyle w:val="Compact"/>
            </w:pPr>
            <w:r>
              <w:t xml:space="preserve">1,0</w:t>
            </w:r>
          </w:p>
        </w:tc>
        <w:tc>
          <w:tcPr/>
          <w:p>
            <w:pPr>
              <w:pStyle w:val="Compact"/>
            </w:pPr>
            <w:r>
              <w:t xml:space="preserve">ca. Oxyfuel-Zusammensetzung</w:t>
            </w:r>
          </w:p>
        </w:tc>
      </w:tr>
      <w:tr>
        <w:tc>
          <w:tcPr/>
          <w:p>
            <w:pPr>
              <w:pStyle w:val="Compact"/>
            </w:pPr>
            <w:r>
              <w:t xml:space="preserve">CH₄</w:t>
            </w:r>
          </w:p>
        </w:tc>
        <w:tc>
          <w:tcPr/>
          <w:p>
            <w:pPr>
              <w:pStyle w:val="Compact"/>
            </w:pPr>
            <w:r>
              <w:t xml:space="preserve">1,0</w:t>
            </w:r>
          </w:p>
        </w:tc>
        <w:tc>
          <w:tcPr/>
          <w:p>
            <w:pPr>
              <w:pStyle w:val="Compact"/>
            </w:pPr>
            <w:r>
              <w:t xml:space="preserve">Porthos-Grenzwert</w:t>
            </w:r>
          </w:p>
        </w:tc>
      </w:tr>
      <w:tr>
        <w:tc>
          <w:tcPr/>
          <w:p>
            <w:pPr>
              <w:pStyle w:val="Compact"/>
            </w:pPr>
            <w:r>
              <w:t xml:space="preserve">H₂</w:t>
            </w:r>
          </w:p>
        </w:tc>
        <w:tc>
          <w:tcPr/>
          <w:p>
            <w:pPr>
              <w:pStyle w:val="Compact"/>
            </w:pPr>
            <w:r>
              <w:t xml:space="preserve">0,5</w:t>
            </w:r>
          </w:p>
        </w:tc>
        <w:tc>
          <w:tcPr/>
          <w:p>
            <w:pPr>
              <w:pStyle w:val="Compact"/>
            </w:pPr>
            <w:r>
              <w:t xml:space="preserve">DIN EN 18397 / DVGW C 260</w:t>
            </w:r>
          </w:p>
        </w:tc>
      </w:tr>
      <w:tr>
        <w:tc>
          <w:tcPr/>
          <w:p>
            <w:pPr>
              <w:pStyle w:val="Compact"/>
            </w:pPr>
            <w:r>
              <w:t xml:space="preserve">CO</w:t>
            </w:r>
          </w:p>
        </w:tc>
        <w:tc>
          <w:tcPr/>
          <w:p>
            <w:pPr>
              <w:pStyle w:val="Compact"/>
            </w:pPr>
            <w:r>
              <w:t xml:space="preserve">0,1</w:t>
            </w:r>
          </w:p>
        </w:tc>
        <w:tc>
          <w:tcPr/>
          <w:p>
            <w:pPr>
              <w:pStyle w:val="Compact"/>
            </w:pPr>
            <w:r>
              <w:t xml:space="preserve">DIN EN 18397 (1000 ppm)</w:t>
            </w:r>
          </w:p>
        </w:tc>
      </w:tr>
      <w:tr>
        <w:tc>
          <w:tcPr/>
          <w:p>
            <w:pPr>
              <w:pStyle w:val="Compact"/>
            </w:pPr>
            <w:r>
              <w:t xml:space="preserve">Σ Begleitstoffe</w:t>
            </w:r>
          </w:p>
        </w:tc>
        <w:tc>
          <w:tcPr/>
          <w:p>
            <w:pPr>
              <w:pStyle w:val="Compact"/>
            </w:pPr>
            <w:r>
              <w:t xml:space="preserve">5,0</w:t>
            </w:r>
          </w:p>
        </w:tc>
        <w:tc>
          <w:tcPr/>
          <w:p>
            <w:pPr>
              <w:pStyle w:val="Compact"/>
            </w:pPr>
            <w:r>
              <w:t xml:space="preserve">= Grenze DIN EN 18397</w:t>
            </w:r>
          </w:p>
        </w:tc>
      </w:tr>
    </w:tbl>
    <w:p>
      <w:pPr>
        <w:pStyle w:val="BodyText"/>
      </w:pPr>
      <w:r>
        <w:rPr>
          <w:i/>
          <w:iCs/>
        </w:rPr>
        <w:t xml:space="preserve">Die Belege sind aus der Vorschlagstabelle übernommen; dort war die Spalte teilweise abgeschnitten. Bitte vervollständigen.</w:t>
      </w:r>
    </w:p>
    <w:bookmarkEnd w:id="20"/>
    <w:bookmarkStart w:id="21" w:name="aufbau-der-gemischgleichung"/>
    <w:p>
      <w:pPr>
        <w:pStyle w:val="Heading2"/>
      </w:pPr>
      <w:r>
        <w:rPr>
          <w:rStyle w:val="SectionNumber"/>
        </w:rPr>
        <w:t xml:space="preserve">5.2</w:t>
      </w:r>
      <w:r>
        <w:tab/>
      </w:r>
      <w:r>
        <w:t xml:space="preserve">Aufbau der Gemischgleichung</w:t>
      </w:r>
    </w:p>
    <w:p>
      <w:pPr>
        <w:pStyle w:val="FirstParagraph"/>
      </w:pPr>
      <w:r>
        <w:t xml:space="preserve">CoolProp kombiniert die Reinstoffgleichungen der sechs Komponenten über eine Mischungsregel zu einer Helmholtz-Gleichung für das Gemisch. Den mathematischen Aufbau hat CoolProp von GERG-2008 übernommen (Kunz &amp; Wagner 2012). Die CoolProp-Dokumentation schreibt dazu: „The mixture modeling used in CoolProp is based on the work of Kunz et al. and Lemmon.“</w:t>
      </w:r>
    </w:p>
    <w:p>
      <w:pPr>
        <w:pStyle w:val="BodyText"/>
      </w:pPr>
      <m:oMathPara>
        <m:oMathParaPr>
          <m:jc m:val="center"/>
        </m:oMathParaPr>
        <m:oMath>
          <m:r>
            <m:t>α</m:t>
          </m:r>
          <m:r>
            <m:rPr>
              <m:sty m:val="p"/>
            </m:rPr>
            <m:t>(</m:t>
          </m:r>
          <m:r>
            <m:t>δ</m:t>
          </m:r>
          <m:r>
            <m:rPr>
              <m:sty m:val="p"/>
            </m:rPr>
            <m:t>,</m:t>
          </m:r>
          <m:r>
            <m:t>τ</m:t>
          </m:r>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sSubSup>
                <m:e>
                  <m:r>
                    <m:t>α</m:t>
                  </m:r>
                </m:e>
                <m:sub>
                  <m:r>
                    <m:t>0</m:t>
                  </m:r>
                  <m:r>
                    <m:t>i</m:t>
                  </m:r>
                </m:sub>
                <m:sup>
                  <m:r>
                    <m:rPr>
                      <m:sty m:val="p"/>
                    </m:rPr>
                    <m:t>∘</m:t>
                  </m:r>
                </m:sup>
              </m:sSubSup>
              <m:r>
                <m:rPr>
                  <m:sty m:val="p"/>
                </m:rPr>
                <m:t>(</m:t>
              </m:r>
              <m:r>
                <m:t>ρ</m:t>
              </m:r>
              <m:r>
                <m:rPr>
                  <m:sty m:val="p"/>
                </m:rPr>
                <m:t>,</m:t>
              </m:r>
              <m:r>
                <m:t>T</m:t>
              </m:r>
              <m:r>
                <m:rPr>
                  <m:sty m:val="p"/>
                </m:rPr>
                <m:t>)</m:t>
              </m:r>
              <m:r>
                <m:rPr>
                  <m:sty m:val="p"/>
                </m:rPr>
                <m:t>+</m:t>
              </m:r>
              <m:r>
                <m:rPr>
                  <m:sty m:val="p"/>
                </m:rPr>
                <m:t>ln</m:t>
              </m:r>
              <m:sSub>
                <m:e>
                  <m:r>
                    <m:t>x</m:t>
                  </m:r>
                </m:e>
                <m:sub>
                  <m:r>
                    <m:t>i</m:t>
                  </m:r>
                </m:sub>
              </m:sSub>
            </m:e>
          </m:d>
          <m:r>
            <m:rPr>
              <m:sty m:val="p"/>
            </m:rPr>
            <m:t>+</m:t>
          </m:r>
          <m:nary>
            <m:naryPr>
              <m:chr m:val="∑"/>
              <m:limLoc m:val="undOvr"/>
              <m:subHide m:val="off"/>
              <m:supHide m:val="off"/>
            </m:naryPr>
            <m:sub>
              <m:r>
                <m:t>i</m:t>
              </m:r>
              <m:r>
                <m:rPr>
                  <m:sty m:val="p"/>
                </m:rPr>
                <m:t>=</m:t>
              </m:r>
              <m:r>
                <m:t>1</m:t>
              </m:r>
            </m:sub>
            <m:sup>
              <m:r>
                <m:t>N</m:t>
              </m:r>
            </m:sup>
            <m:e>
              <m:sSub>
                <m:e>
                  <m:r>
                    <m:t>x</m:t>
                  </m:r>
                </m:e>
                <m:sub>
                  <m:r>
                    <m:t>i</m:t>
                  </m:r>
                </m:sub>
              </m:sSub>
            </m:e>
          </m:nary>
          <m:r>
            <m:t> </m:t>
          </m:r>
          <m:sSubSup>
            <m:e>
              <m:r>
                <m:t>α</m:t>
              </m:r>
            </m:e>
            <m:sub>
              <m:r>
                <m:t>0</m:t>
              </m:r>
              <m:r>
                <m:t>i</m:t>
              </m:r>
            </m:sub>
            <m:sup>
              <m:r>
                <m:t>r</m:t>
              </m:r>
            </m:sup>
          </m:sSubSup>
          <m:r>
            <m:rPr>
              <m:sty m:val="p"/>
            </m:rPr>
            <m:t>(</m:t>
          </m:r>
          <m:r>
            <m:t>δ</m:t>
          </m:r>
          <m:r>
            <m:rPr>
              <m:sty m:val="p"/>
            </m:rPr>
            <m:t>,</m:t>
          </m:r>
          <m:r>
            <m:t>τ</m:t>
          </m:r>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sSub>
                    <m:e>
                      <m:r>
                        <m:t>x</m:t>
                      </m:r>
                    </m:e>
                    <m:sub>
                      <m:r>
                        <m:t>i</m:t>
                      </m:r>
                    </m:sub>
                  </m:sSub>
                </m:e>
              </m:nary>
            </m:e>
          </m:nary>
          <m:sSub>
            <m:e>
              <m:r>
                <m:t>x</m:t>
              </m:r>
            </m:e>
            <m:sub>
              <m:r>
                <m:t>j</m:t>
              </m:r>
            </m:sub>
          </m:sSub>
          <m:sSub>
            <m:e>
              <m:r>
                <m:t>F</m:t>
              </m:r>
            </m:e>
            <m:sub>
              <m:r>
                <m:t>i</m:t>
              </m:r>
              <m:r>
                <m:t>j</m:t>
              </m:r>
            </m:sub>
          </m:sSub>
          <m:r>
            <m:t> </m:t>
          </m:r>
          <m:sSubSup>
            <m:e>
              <m:r>
                <m:t>α</m:t>
              </m:r>
            </m:e>
            <m:sub>
              <m:r>
                <m:t>i</m:t>
              </m:r>
              <m:r>
                <m:t>j</m:t>
              </m:r>
            </m:sub>
            <m:sup>
              <m:r>
                <m:t>r</m:t>
              </m:r>
            </m:sup>
          </m:sSubSup>
          <m:r>
            <m:rPr>
              <m:sty m:val="p"/>
            </m:rPr>
            <m:t>(</m:t>
          </m:r>
          <m:r>
            <m:t>δ</m:t>
          </m:r>
          <m:r>
            <m:rPr>
              <m:sty m:val="p"/>
            </m:rPr>
            <m:t>,</m:t>
          </m:r>
          <m:r>
            <m:t>τ</m:t>
          </m:r>
          <m:r>
            <m:rPr>
              <m:sty m:val="p"/>
            </m:rPr>
            <m:t>)</m:t>
          </m:r>
        </m:oMath>
      </m:oMathPara>
    </w:p>
    <w:p>
      <w:pPr>
        <w:pStyle w:val="Compact"/>
        <w:numPr>
          <w:ilvl w:val="0"/>
          <w:numId w:val="1003"/>
        </w:numPr>
      </w:pPr>
      <w:r>
        <w:rPr>
          <w:b/>
          <w:bCs/>
        </w:rPr>
        <w:t xml:space="preserve">Erste Summe, ideales Gemisch:</w:t>
      </w:r>
      <w:r>
        <w:t xml:space="preserve"> </w:t>
      </w:r>
      <w:r>
        <w:t xml:space="preserve">Idealgasanteile der Reinstoffe plus Mischungsentropie (Term mit ln</w:t>
      </w:r>
      <w:r>
        <w:t xml:space="preserve"> </w:t>
      </w:r>
      <w:r>
        <w:rPr>
          <w:i/>
          <w:iCs/>
        </w:rPr>
        <w:t xml:space="preserve">x</w:t>
      </w:r>
      <w:r>
        <w:rPr>
          <w:vertAlign w:val="subscript"/>
        </w:rPr>
        <w:t xml:space="preserve">i</w:t>
      </w:r>
      <w:r>
        <w:t xml:space="preserve">).</w:t>
      </w:r>
    </w:p>
    <w:p>
      <w:pPr>
        <w:pStyle w:val="Compact"/>
        <w:numPr>
          <w:ilvl w:val="0"/>
          <w:numId w:val="1003"/>
        </w:numPr>
      </w:pPr>
      <w:r>
        <w:rPr>
          <w:b/>
          <w:bCs/>
        </w:rPr>
        <w:t xml:space="preserve">Zweite Summe, Realanteile der Reinstoffe:</w:t>
      </w:r>
      <w:r>
        <w:t xml:space="preserve"> </w:t>
      </w:r>
      <w:r>
        <w:t xml:space="preserve">die Residualanteile der Reinstoffgleichungen, ausgewertet bei den reduzierten Größen des Gemischs.</w:t>
      </w:r>
    </w:p>
    <w:p>
      <w:pPr>
        <w:pStyle w:val="Compact"/>
        <w:numPr>
          <w:ilvl w:val="0"/>
          <w:numId w:val="1003"/>
        </w:numPr>
      </w:pPr>
      <w:r>
        <w:rPr>
          <w:b/>
          <w:bCs/>
        </w:rPr>
        <w:t xml:space="preserve">Dritte Summe, Departure-Funktion:</w:t>
      </w:r>
      <w:r>
        <w:t xml:space="preserve"> </w:t>
      </w:r>
      <w:r>
        <w:t xml:space="preserve">zusätzlicher, an Gemisch-Messdaten angepasster Term für einzelne Stoffpaare; nur aktiv, wenn</w:t>
      </w:r>
      <w:r>
        <w:t xml:space="preserve"> </w:t>
      </w:r>
      <w:r>
        <w:rPr>
          <w:i/>
          <w:iCs/>
        </w:rPr>
        <w:t xml:space="preserve">F</w:t>
      </w:r>
      <w:r>
        <w:rPr>
          <w:vertAlign w:val="subscript"/>
        </w:rPr>
        <w:t xml:space="preserve">ij</w:t>
      </w:r>
      <w:r>
        <w:t xml:space="preserve"> </w:t>
      </w:r>
      <w:r>
        <w:t xml:space="preserve">= 1.</w:t>
      </w:r>
    </w:p>
    <w:bookmarkEnd w:id="21"/>
    <w:bookmarkStart w:id="22" w:name="reduzierende-funktionen"/>
    <w:p>
      <w:pPr>
        <w:pStyle w:val="Heading2"/>
      </w:pPr>
      <w:r>
        <w:rPr>
          <w:rStyle w:val="SectionNumber"/>
        </w:rPr>
        <w:t xml:space="preserve">5.3</w:t>
      </w:r>
      <w:r>
        <w:tab/>
      </w:r>
      <w:r>
        <w:t xml:space="preserve">Reduzierende Funktionen</w:t>
      </w:r>
    </w:p>
    <w:p>
      <w:pPr>
        <w:pStyle w:val="FirstParagraph"/>
      </w:pPr>
      <w:r>
        <w:t xml:space="preserve">Die Reinstoffgleichungen werden bei δ = ρ/ρ</w:t>
      </w:r>
      <w:r>
        <w:rPr>
          <w:vertAlign w:val="subscript"/>
        </w:rPr>
        <w:t xml:space="preserve">r</w:t>
      </w:r>
      <w:r>
        <w:t xml:space="preserve">(</w:t>
      </w:r>
      <w:r>
        <w:rPr>
          <w:i/>
          <w:iCs/>
        </w:rPr>
        <w:t xml:space="preserve">x</w:t>
      </w:r>
      <w:r>
        <w:t xml:space="preserve">) und τ =</w:t>
      </w:r>
      <w:r>
        <w:t xml:space="preserve"> </w:t>
      </w:r>
      <w:r>
        <w:rPr>
          <w:i/>
          <w:iCs/>
        </w:rPr>
        <w:t xml:space="preserve">T</w:t>
      </w:r>
      <w:r>
        <w:rPr>
          <w:vertAlign w:val="subscript"/>
        </w:rPr>
        <w:t xml:space="preserve">r</w:t>
      </w:r>
      <w:r>
        <w:t xml:space="preserve">(</w:t>
      </w:r>
      <w:r>
        <w:rPr>
          <w:i/>
          <w:iCs/>
        </w:rPr>
        <w:t xml:space="preserve">x</w:t>
      </w:r>
      <w:r>
        <w:t xml:space="preserve">)/</w:t>
      </w:r>
      <w:r>
        <w:rPr>
          <w:i/>
          <w:iCs/>
        </w:rPr>
        <w:t xml:space="preserve">T</w:t>
      </w:r>
      <w:r>
        <w:t xml:space="preserve"> </w:t>
      </w:r>
      <w:r>
        <w:t xml:space="preserve">ausgewertet. Die reduzierenden Größen sind „kritische Werte des Gemischs“, die von der Zusammensetzung abhängen:</w:t>
      </w:r>
    </w:p>
    <w:p>
      <w:pPr>
        <w:pStyle w:val="BodyText"/>
      </w:pPr>
      <m:oMathPara>
        <m:oMathParaPr>
          <m:jc m:val="center"/>
        </m:oMathParaPr>
        <m:oMath>
          <m:sSub>
            <m:e>
              <m:r>
                <m:t>T</m:t>
              </m:r>
            </m:e>
            <m:sub>
              <m:r>
                <m:t>r</m:t>
              </m:r>
            </m:sub>
          </m:sSub>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r>
            <m:t> </m:t>
          </m:r>
          <m:sSub>
            <m:e>
              <m:r>
                <m:t>T</m:t>
              </m:r>
            </m:e>
            <m:sub>
              <m:r>
                <m:t>c</m:t>
              </m:r>
              <m:r>
                <m:rPr>
                  <m:sty m:val="p"/>
                </m:rPr>
                <m:t>,</m:t>
              </m:r>
              <m:r>
                <m:t>i</m:t>
              </m:r>
            </m:sub>
          </m:sSub>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T</m:t>
              </m:r>
              <m:r>
                <m:rPr>
                  <m:sty m:val="p"/>
                </m:rPr>
                <m:t>,</m:t>
              </m:r>
              <m:r>
                <m:t>i</m:t>
              </m:r>
              <m:r>
                <m:t>j</m:t>
              </m:r>
            </m:sub>
          </m:sSub>
          <m:r>
            <m:t> </m:t>
          </m:r>
          <m:sSub>
            <m:e>
              <m:r>
                <m:t>γ</m:t>
              </m:r>
            </m:e>
            <m:sub>
              <m:r>
                <m:t>T</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T</m:t>
                  </m:r>
                  <m:r>
                    <m:rPr>
                      <m:sty m:val="p"/>
                    </m:rPr>
                    <m:t>,</m:t>
                  </m:r>
                  <m:r>
                    <m:t>i</m:t>
                  </m:r>
                  <m:r>
                    <m:t>j</m:t>
                  </m:r>
                </m:sub>
                <m:sup>
                  <m:r>
                    <m:t>2</m:t>
                  </m:r>
                </m:sup>
              </m:sSubSup>
              <m:sSub>
                <m:e>
                  <m:r>
                    <m:t>x</m:t>
                  </m:r>
                </m:e>
                <m:sub>
                  <m:r>
                    <m:t>i</m:t>
                  </m:r>
                </m:sub>
              </m:sSub>
              <m:r>
                <m:rPr>
                  <m:sty m:val="p"/>
                </m:rPr>
                <m:t>+</m:t>
              </m:r>
              <m:sSub>
                <m:e>
                  <m:r>
                    <m:t>x</m:t>
                  </m:r>
                </m:e>
                <m:sub>
                  <m:r>
                    <m:t>j</m:t>
                  </m:r>
                </m:sub>
              </m:sSub>
            </m:den>
          </m:f>
          <m:r>
            <m:t> </m:t>
          </m:r>
          <m:rad>
            <m:radPr>
              <m:degHide m:val="on"/>
            </m:radPr>
            <m:deg/>
            <m:e>
              <m:sSub>
                <m:e>
                  <m:r>
                    <m:t>T</m:t>
                  </m:r>
                </m:e>
                <m:sub>
                  <m:r>
                    <m:t>c</m:t>
                  </m:r>
                  <m:r>
                    <m:rPr>
                      <m:sty m:val="p"/>
                    </m:rPr>
                    <m:t>,</m:t>
                  </m:r>
                  <m:r>
                    <m:t>i</m:t>
                  </m:r>
                </m:sub>
              </m:sSub>
              <m:r>
                <m:t> </m:t>
              </m:r>
              <m:sSub>
                <m:e>
                  <m:r>
                    <m:t>T</m:t>
                  </m:r>
                </m:e>
                <m:sub>
                  <m:r>
                    <m:t>c</m:t>
                  </m:r>
                  <m:r>
                    <m:rPr>
                      <m:sty m:val="p"/>
                    </m:rPr>
                    <m:t>,</m:t>
                  </m:r>
                  <m:r>
                    <m:t>j</m:t>
                  </m:r>
                </m:sub>
              </m:sSub>
            </m:e>
          </m:rad>
        </m:oMath>
      </m:oMathPara>
    </w:p>
    <w:p>
      <w:pPr>
        <w:pStyle w:val="FirstParagraph"/>
      </w:pPr>
      <m:oMathPara>
        <m:oMathParaPr>
          <m:jc m:val="center"/>
        </m:oMathParaPr>
        <m:oMath>
          <m:f>
            <m:fPr>
              <m:type m:val="bar"/>
            </m:fPr>
            <m:num>
              <m:r>
                <m:t>1</m:t>
              </m:r>
            </m:num>
            <m:den>
              <m:sSub>
                <m:e>
                  <m:r>
                    <m:t>ρ</m:t>
                  </m:r>
                </m:e>
                <m:sub>
                  <m:r>
                    <m:t>r</m:t>
                  </m:r>
                </m:sub>
              </m:sSub>
              <m:r>
                <m:rPr>
                  <m:sty m:val="p"/>
                </m:rPr>
                <m:t>(</m:t>
              </m:r>
              <m:acc>
                <m:accPr>
                  <m:chr m:val="‾"/>
                </m:accPr>
                <m:e>
                  <m:r>
                    <m:t>x</m:t>
                  </m:r>
                </m:e>
              </m:acc>
              <m:r>
                <m:rPr>
                  <m:sty m:val="p"/>
                </m:rPr>
                <m:t>)</m:t>
              </m:r>
            </m:den>
          </m:f>
          <m:r>
            <m:rPr>
              <m:sty m:val="p"/>
            </m:rPr>
            <m:t>=</m:t>
          </m:r>
          <m:nary>
            <m:naryPr>
              <m:chr m:val="∑"/>
              <m:limLoc m:val="undOvr"/>
              <m:subHide m:val="off"/>
              <m:supHide m:val="off"/>
            </m:naryPr>
            <m:sub>
              <m:r>
                <m:t>i</m:t>
              </m:r>
              <m:r>
                <m:rPr>
                  <m:sty m:val="p"/>
                </m:rPr>
                <m:t>=</m:t>
              </m:r>
              <m:r>
                <m:t>1</m:t>
              </m:r>
            </m:sub>
            <m:sup>
              <m:r>
                <m:t>N</m:t>
              </m:r>
            </m:sup>
            <m:e>
              <m:f>
                <m:fPr>
                  <m:type m:val="bar"/>
                </m:fPr>
                <m:num>
                  <m:sSubSup>
                    <m:e>
                      <m:r>
                        <m:t>x</m:t>
                      </m:r>
                    </m:e>
                    <m:sub>
                      <m:r>
                        <m:t>i</m:t>
                      </m:r>
                    </m:sub>
                    <m:sup>
                      <m:r>
                        <m:t>2</m:t>
                      </m:r>
                    </m:sup>
                  </m:sSubSup>
                </m:num>
                <m:den>
                  <m:sSub>
                    <m:e>
                      <m:r>
                        <m:t>ρ</m:t>
                      </m:r>
                    </m:e>
                    <m:sub>
                      <m:r>
                        <m:t>c</m:t>
                      </m:r>
                      <m:r>
                        <m:rPr>
                          <m:sty m:val="p"/>
                        </m:rPr>
                        <m:t>,</m:t>
                      </m:r>
                      <m:r>
                        <m:t>i</m:t>
                      </m:r>
                    </m:sub>
                  </m:sSub>
                </m:den>
              </m:f>
            </m:e>
          </m:nary>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v</m:t>
              </m:r>
              <m:r>
                <m:rPr>
                  <m:sty m:val="p"/>
                </m:rPr>
                <m:t>,</m:t>
              </m:r>
              <m:r>
                <m:t>i</m:t>
              </m:r>
              <m:r>
                <m:t>j</m:t>
              </m:r>
            </m:sub>
          </m:sSub>
          <m:r>
            <m:t> </m:t>
          </m:r>
          <m:sSub>
            <m:e>
              <m:r>
                <m:t>γ</m:t>
              </m:r>
            </m:e>
            <m:sub>
              <m:r>
                <m:t>v</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v</m:t>
                  </m:r>
                  <m:r>
                    <m:rPr>
                      <m:sty m:val="p"/>
                    </m:rPr>
                    <m:t>,</m:t>
                  </m:r>
                  <m:r>
                    <m:t>i</m:t>
                  </m:r>
                  <m:r>
                    <m:t>j</m:t>
                  </m:r>
                </m:sub>
                <m:sup>
                  <m:r>
                    <m:t>2</m:t>
                  </m:r>
                </m:sup>
              </m:sSubSup>
              <m:sSub>
                <m:e>
                  <m:r>
                    <m:t>x</m:t>
                  </m:r>
                </m:e>
                <m:sub>
                  <m:r>
                    <m:t>i</m:t>
                  </m:r>
                </m:sub>
              </m:sSub>
              <m:r>
                <m:rPr>
                  <m:sty m:val="p"/>
                </m:rPr>
                <m:t>+</m:t>
              </m:r>
              <m:sSub>
                <m:e>
                  <m:r>
                    <m:t>x</m:t>
                  </m:r>
                </m:e>
                <m:sub>
                  <m:r>
                    <m:t>j</m:t>
                  </m:r>
                </m:sub>
              </m:sSub>
            </m:den>
          </m:f>
          <m:r>
            <m:t> </m:t>
          </m:r>
          <m:f>
            <m:fPr>
              <m:type m:val="bar"/>
            </m:fPr>
            <m:num>
              <m:r>
                <m:t>1</m:t>
              </m:r>
            </m:num>
            <m:den>
              <m:r>
                <m:t>8</m:t>
              </m:r>
            </m:den>
          </m:f>
          <m:sSup>
            <m:e>
              <m:d>
                <m:dPr>
                  <m:begChr m:val="("/>
                  <m:sepChr m:val=""/>
                  <m:endChr m:val=")"/>
                  <m:grow/>
                </m:dPr>
                <m:e>
                  <m:f>
                    <m:fPr>
                      <m:type m:val="bar"/>
                    </m:fPr>
                    <m:num>
                      <m:r>
                        <m:t>1</m:t>
                      </m:r>
                    </m:num>
                    <m:den>
                      <m:sSubSup>
                        <m:e>
                          <m:r>
                            <m:t>ρ</m:t>
                          </m:r>
                        </m:e>
                        <m:sub>
                          <m:r>
                            <m:t>c</m:t>
                          </m:r>
                          <m:r>
                            <m:rPr>
                              <m:sty m:val="p"/>
                            </m:rPr>
                            <m:t>,</m:t>
                          </m:r>
                          <m:r>
                            <m:t>i</m:t>
                          </m:r>
                        </m:sub>
                        <m:sup>
                          <m:r>
                            <m:t>1</m:t>
                          </m:r>
                          <m:r>
                            <m:rPr>
                              <m:sty m:val="p"/>
                            </m:rPr>
                            <m:t>/</m:t>
                          </m:r>
                          <m:r>
                            <m:t>3</m:t>
                          </m:r>
                        </m:sup>
                      </m:sSubSup>
                    </m:den>
                  </m:f>
                  <m:r>
                    <m:rPr>
                      <m:sty m:val="p"/>
                    </m:rPr>
                    <m:t>+</m:t>
                  </m:r>
                  <m:f>
                    <m:fPr>
                      <m:type m:val="bar"/>
                    </m:fPr>
                    <m:num>
                      <m:r>
                        <m:t>1</m:t>
                      </m:r>
                    </m:num>
                    <m:den>
                      <m:sSubSup>
                        <m:e>
                          <m:r>
                            <m:t>ρ</m:t>
                          </m:r>
                        </m:e>
                        <m:sub>
                          <m:r>
                            <m:t>c</m:t>
                          </m:r>
                          <m:r>
                            <m:rPr>
                              <m:sty m:val="p"/>
                            </m:rPr>
                            <m:t>,</m:t>
                          </m:r>
                          <m:r>
                            <m:t>j</m:t>
                          </m:r>
                        </m:sub>
                        <m:sup>
                          <m:r>
                            <m:t>1</m:t>
                          </m:r>
                          <m:r>
                            <m:rPr>
                              <m:sty m:val="p"/>
                            </m:rPr>
                            <m:t>/</m:t>
                          </m:r>
                          <m:r>
                            <m:t>3</m:t>
                          </m:r>
                        </m:sup>
                      </m:sSubSup>
                    </m:den>
                  </m:f>
                </m:e>
              </m:d>
            </m:e>
            <m:sup>
              <m:r>
                <m:t>3</m:t>
              </m:r>
            </m:sup>
          </m:sSup>
        </m:oMath>
      </m:oMathPara>
    </w:p>
    <w:p>
      <w:pPr>
        <w:pStyle w:val="FirstParagraph"/>
      </w:pPr>
      <w:r>
        <w:t xml:space="preserve">Pro Stoffpaar gibt es vier angepasste Parameter β</w:t>
      </w:r>
      <w:r>
        <w:rPr>
          <w:vertAlign w:val="subscript"/>
        </w:rPr>
        <w:t xml:space="preserve">T</w:t>
      </w:r>
      <w:r>
        <w:t xml:space="preserve">, γ</w:t>
      </w:r>
      <w:r>
        <w:rPr>
          <w:vertAlign w:val="subscript"/>
        </w:rPr>
        <w:t xml:space="preserve">T</w:t>
      </w:r>
      <w:r>
        <w:t xml:space="preserve">, β</w:t>
      </w:r>
      <w:r>
        <w:rPr>
          <w:vertAlign w:val="subscript"/>
        </w:rPr>
        <w:t xml:space="preserve">v</w:t>
      </w:r>
      <w:r>
        <w:t xml:space="preserve"> </w:t>
      </w:r>
      <w:r>
        <w:t xml:space="preserve">und γ</w:t>
      </w:r>
      <w:r>
        <w:rPr>
          <w:vertAlign w:val="subscript"/>
        </w:rPr>
        <w:t xml:space="preserve">v</w:t>
      </w:r>
      <w:r>
        <w:t xml:space="preserve">. Sind alle vier gleich 1, entspricht das der einfachen Lorentz-Berthelot-Kombinationsregel ohne Anpassung an Messdaten.</w:t>
      </w:r>
    </w:p>
    <w:bookmarkEnd w:id="22"/>
    <w:bookmarkStart w:id="23" w:name="verwendete-paarparameter"/>
    <w:p>
      <w:pPr>
        <w:pStyle w:val="Heading2"/>
      </w:pPr>
      <w:r>
        <w:rPr>
          <w:rStyle w:val="SectionNumber"/>
        </w:rPr>
        <w:t xml:space="preserve">5.4</w:t>
      </w:r>
      <w:r>
        <w:tab/>
      </w:r>
      <w:r>
        <w:t xml:space="preserve">Verwendete Paarparameter</w:t>
      </w:r>
    </w:p>
    <w:p>
      <w:pPr>
        <w:pStyle w:val="FirstParagraph"/>
      </w:pPr>
      <w:r>
        <w:t xml:space="preserve">Bei sechs Komponenten gibt es 15 Stoffpaare; alle sind in CoolProp mit angepassten Parametern hinterlegt. Ausgelesen mit</w:t>
      </w:r>
      <w:r>
        <w:t xml:space="preserve"> </w:t>
      </w:r>
      <w:r>
        <w:rPr>
          <w:rStyle w:val="VerbatimChar"/>
        </w:rPr>
        <w:t xml:space="preserve">CP.get_mixture_binary_pair_data(CAS_i, CAS_j, "BibTeX")</w:t>
      </w:r>
      <w:r>
        <w:t xml:space="preserve"> </w:t>
      </w:r>
      <w:r>
        <w:t xml:space="preserve">und</w:t>
      </w:r>
      <w:r>
        <w:t xml:space="preserve"> </w:t>
      </w:r>
      <w:r>
        <w:rPr>
          <w:rStyle w:val="VerbatimChar"/>
        </w:rPr>
        <w:t xml:space="preserve">"F"</w:t>
      </w:r>
      <w:r>
        <w:t xml:space="preserve"> </w:t>
      </w:r>
      <w:r>
        <w:t xml:space="preserve">(CoolProp 8.0.0).</w:t>
      </w:r>
    </w:p>
    <w:tbl>
      <w:tblPr>
        <w:tblStyle w:val="Table"/>
        <w:tblW w:type="dxa" w:w="9072"/>
        <w:tblLayout w:type="fixed"/>
        <w:tblLook w:firstRow="1" w:lastRow="0" w:firstColumn="0" w:lastColumn="0" w:noHBand="0" w:noVBand="0" w:val="0020"/>
      </w:tblPr>
      <w:tblGrid>
        <w:gridCol w:w="3502"/>
        <w:gridCol w:w="3044"/>
        <w:gridCol w:w="2525"/>
      </w:tblGrid>
      <w:tr>
        <w:trPr>
          <w:tblHeader w:val="on"/>
        </w:trPr>
        <w:tc>
          <w:tcPr/>
          <w:p>
            <w:pPr>
              <w:pStyle w:val="Compact"/>
            </w:pPr>
            <w:r>
              <w:t xml:space="preserve">Stoffpaar</w:t>
            </w:r>
          </w:p>
        </w:tc>
        <w:tc>
          <w:tcPr/>
          <w:p>
            <w:pPr>
              <w:pStyle w:val="Compact"/>
            </w:pPr>
            <w:r>
              <w:t xml:space="preserve">Quelle der Parameter</w:t>
            </w:r>
          </w:p>
        </w:tc>
        <w:tc>
          <w:tcPr/>
          <w:p>
            <w:pPr>
              <w:pStyle w:val="Compact"/>
            </w:pPr>
            <w:r>
              <w:t xml:space="preserve">Departure-Funktion</w:t>
            </w:r>
          </w:p>
        </w:tc>
      </w:tr>
      <w:tr>
        <w:tc>
          <w:tcPr/>
          <w:p>
            <w:pPr>
              <w:pStyle w:val="Compact"/>
            </w:pPr>
            <w:r>
              <w:t xml:space="preserve">CO₂ – N₂</w:t>
            </w:r>
          </w:p>
        </w:tc>
        <w:tc>
          <w:tcPr/>
          <w:p>
            <w:pPr>
              <w:pStyle w:val="Compact"/>
            </w:pPr>
            <w:r>
              <w:t xml:space="preserve">Gernert 2013 (EOS-CG)</w:t>
            </w:r>
          </w:p>
        </w:tc>
        <w:tc>
          <w:tcPr/>
          <w:p>
            <w:pPr>
              <w:pStyle w:val="Compact"/>
            </w:pPr>
            <w:r>
              <w:t xml:space="preserve">ja</w:t>
            </w:r>
          </w:p>
        </w:tc>
      </w:tr>
      <w:tr>
        <w:tc>
          <w:tcPr/>
          <w:p>
            <w:pPr>
              <w:pStyle w:val="Compact"/>
            </w:pPr>
            <w:r>
              <w:t xml:space="preserve">CO₂ – Ar</w:t>
            </w:r>
          </w:p>
        </w:tc>
        <w:tc>
          <w:tcPr/>
          <w:p>
            <w:pPr>
              <w:pStyle w:val="Compact"/>
            </w:pPr>
            <w:r>
              <w:t xml:space="preserve">Gernert 2013 (EOS-CG)</w:t>
            </w:r>
          </w:p>
        </w:tc>
        <w:tc>
          <w:tcPr/>
          <w:p>
            <w:pPr>
              <w:pStyle w:val="Compact"/>
            </w:pPr>
            <w:r>
              <w:t xml:space="preserve">ja</w:t>
            </w:r>
          </w:p>
        </w:tc>
      </w:tr>
      <w:tr>
        <w:tc>
          <w:tcPr/>
          <w:p>
            <w:pPr>
              <w:pStyle w:val="Compact"/>
            </w:pPr>
            <w:r>
              <w:t xml:space="preserve">CO₂ – CH₄</w:t>
            </w:r>
          </w:p>
        </w:tc>
        <w:tc>
          <w:tcPr/>
          <w:p>
            <w:pPr>
              <w:pStyle w:val="Compact"/>
            </w:pPr>
            <w:r>
              <w:t xml:space="preserve">Kunz &amp; Wagner 2012 (GERG-2008)</w:t>
            </w:r>
          </w:p>
        </w:tc>
        <w:tc>
          <w:tcPr/>
          <w:p>
            <w:pPr>
              <w:pStyle w:val="Compact"/>
            </w:pPr>
            <w:r>
              <w:t xml:space="preserve">ja</w:t>
            </w:r>
          </w:p>
        </w:tc>
      </w:tr>
      <w:tr>
        <w:tc>
          <w:tcPr/>
          <w:p>
            <w:pPr>
              <w:pStyle w:val="Compact"/>
            </w:pPr>
            <w:r>
              <w:t xml:space="preserve">CO₂ – H₂</w:t>
            </w:r>
          </w:p>
        </w:tc>
        <w:tc>
          <w:tcPr/>
          <w:p>
            <w:pPr>
              <w:pStyle w:val="Compact"/>
            </w:pPr>
            <w:r>
              <w:t xml:space="preserve">Kunz &amp; Wagner 2012 (GERG-2008)</w:t>
            </w:r>
          </w:p>
        </w:tc>
        <w:tc>
          <w:tcPr/>
          <w:p>
            <w:pPr>
              <w:pStyle w:val="Compact"/>
            </w:pPr>
            <w:r>
              <w:t xml:space="preserve">nein</w:t>
            </w:r>
          </w:p>
        </w:tc>
      </w:tr>
      <w:tr>
        <w:tc>
          <w:tcPr/>
          <w:p>
            <w:pPr>
              <w:pStyle w:val="Compact"/>
            </w:pPr>
            <w:r>
              <w:t xml:space="preserve">CO₂ – CO</w:t>
            </w:r>
          </w:p>
        </w:tc>
        <w:tc>
          <w:tcPr/>
          <w:p>
            <w:pPr>
              <w:pStyle w:val="Compact"/>
            </w:pPr>
            <w:r>
              <w:t xml:space="preserve">Gernert 2013 (EOS-CG)</w:t>
            </w:r>
          </w:p>
        </w:tc>
        <w:tc>
          <w:tcPr/>
          <w:p>
            <w:pPr>
              <w:pStyle w:val="Compact"/>
            </w:pPr>
            <w:r>
              <w:t xml:space="preserve">nein</w:t>
            </w:r>
          </w:p>
        </w:tc>
      </w:tr>
      <w:tr>
        <w:tc>
          <w:tcPr/>
          <w:p>
            <w:pPr>
              <w:pStyle w:val="Compact"/>
            </w:pPr>
            <w:r>
              <w:t xml:space="preserve">N₂ – CH₄, CH₄ – H₂</w:t>
            </w:r>
          </w:p>
        </w:tc>
        <w:tc>
          <w:tcPr/>
          <w:p>
            <w:pPr>
              <w:pStyle w:val="Compact"/>
            </w:pPr>
            <w:r>
              <w:t xml:space="preserve">Kunz &amp; Wagner 2012</w:t>
            </w:r>
          </w:p>
        </w:tc>
        <w:tc>
          <w:tcPr/>
          <w:p>
            <w:pPr>
              <w:pStyle w:val="Compact"/>
            </w:pPr>
            <w:r>
              <w:t xml:space="preserve">ja</w:t>
            </w:r>
          </w:p>
        </w:tc>
      </w:tr>
      <w:tr>
        <w:tc>
          <w:tcPr/>
          <w:p>
            <w:pPr>
              <w:pStyle w:val="Compact"/>
            </w:pPr>
            <w:r>
              <w:t xml:space="preserve">N₂ – Ar, N₂ – CO, Ar – CO</w:t>
            </w:r>
          </w:p>
        </w:tc>
        <w:tc>
          <w:tcPr/>
          <w:p>
            <w:pPr>
              <w:pStyle w:val="Compact"/>
            </w:pPr>
            <w:r>
              <w:t xml:space="preserve">Gernert 2013</w:t>
            </w:r>
          </w:p>
        </w:tc>
        <w:tc>
          <w:tcPr/>
          <w:p>
            <w:pPr>
              <w:pStyle w:val="Compact"/>
            </w:pPr>
            <w:r>
              <w:t xml:space="preserve">nein</w:t>
            </w:r>
          </w:p>
        </w:tc>
      </w:tr>
      <w:tr>
        <w:tc>
          <w:tcPr/>
          <w:p>
            <w:pPr>
              <w:pStyle w:val="Compact"/>
            </w:pPr>
            <w:r>
              <w:t xml:space="preserve">N₂ – H₂, Ar – CH₄, Ar – H₂, CH₄ – CO, H₂ – CO</w:t>
            </w:r>
          </w:p>
        </w:tc>
        <w:tc>
          <w:tcPr/>
          <w:p>
            <w:pPr>
              <w:pStyle w:val="Compact"/>
            </w:pPr>
            <w:r>
              <w:t xml:space="preserve">Kunz &amp; Wagner 2012</w:t>
            </w:r>
          </w:p>
        </w:tc>
        <w:tc>
          <w:tcPr/>
          <w:p>
            <w:pPr>
              <w:pStyle w:val="Compact"/>
            </w:pPr>
            <w:r>
              <w:t xml:space="preserve">nein</w:t>
            </w:r>
          </w:p>
        </w:tc>
      </w:tr>
    </w:tbl>
    <w:p>
      <w:pPr>
        <w:pStyle w:val="BodyText"/>
      </w:pPr>
      <w:r>
        <w:t xml:space="preserve">Für die Phasengrenze zählen vor allem die Paare mit CO₂, weil CO₂ 95 % ausmacht. CO₂–N₂ (größter Begleitstoff) und CO₂–Ar haben die genaueste Beschreibung mit Departure-Funktion aus EOS-CG. Für CO₂–H₂ und CO₂–CO gibt es nur angepasste reduzierende Funktionen; das ist die größte Modellunsicherheit, bei 0,5 % H₂ und 0,1 % CO aber begrenzt.</w:t>
      </w:r>
    </w:p>
    <w:bookmarkEnd w:id="23"/>
    <w:bookmarkStart w:id="24" w:name="unterschied-zum-originalen-gerg-2008"/>
    <w:p>
      <w:pPr>
        <w:pStyle w:val="Heading2"/>
      </w:pPr>
      <w:r>
        <w:rPr>
          <w:rStyle w:val="SectionNumber"/>
        </w:rPr>
        <w:t xml:space="preserve">5.5</w:t>
      </w:r>
      <w:r>
        <w:tab/>
      </w:r>
      <w:r>
        <w:t xml:space="preserve">Unterschied zum originalen GERG-2008</w:t>
      </w:r>
    </w:p>
    <w:p>
      <w:pPr>
        <w:pStyle w:val="FirstParagraph"/>
      </w:pPr>
      <w:r>
        <w:t xml:space="preserve">CoolProp übernimmt die Mischungsregel von GERG-2008, setzt für die Reinstoffe aber die jeweils genauesten Referenzgleichungen ein (zum Beispiel Span-Wagner mit 42 Termen für CO₂). Das originale GERG-2008 nutzt für jeden Stoff eine eigene, kürzere Gleichung. Formulierungsvorschlag für die Arbeit: „Mehrfluid-Helmholtz-Modell nach Kunz und Wagner (2012) mit Reinstoff-Referenzgleichungen und Paarparametern aus GERG-2008 und EOS-CG, ausgewertet mit CoolProp 8.0.0.“ Der Modellvergleich in Kapitel 8 nutzt das originale GERG-2008 und zeigt, wie viel dieser Unterschied ausmacht.</w:t>
      </w:r>
    </w:p>
    <w:bookmarkEnd w:id="24"/>
    <w:bookmarkEnd w:id="25"/>
    <w:bookmarkStart w:id="33" w:name="X84f8d492a3d4a1424a1bbebc326fbf718ba3f24"/>
    <w:p>
      <w:pPr>
        <w:pStyle w:val="Heading1"/>
      </w:pPr>
      <w:r>
        <w:rPr>
          <w:rStyle w:val="SectionNumber"/>
        </w:rPr>
        <w:t xml:space="preserve">6</w:t>
      </w:r>
      <w:r>
        <w:tab/>
      </w:r>
      <w:r>
        <w:t xml:space="preserve">Phasengleichgewicht Gemisch: so entsteht das Zweiphasengebiet</w:t>
      </w:r>
    </w:p>
    <w:p>
      <w:pPr>
        <w:pStyle w:val="FirstParagraph"/>
      </w:pPr>
      <w:r>
        <w:t xml:space="preserve">Beim Gemisch wird aus der Dampfdrucklinie ein Zweiphasengebiet zwischen Taulinie und Blasenlinie. Bei 15 °C liegt es zwischen 55,7 bar (Taulinie) und 71,9 bar (Blasenlinie); reines CO₂ siedet bei 15 °C bei 50,9 bar. Flüssigkeit und Dampf haben im Gleichgewicht unterschiedliche Zusammensetzungen: Die leichtflüchtigen Begleitstoffe reichern sich im Dampf an. Deshalb braucht man mehr Druck, damit das Gemisch vollständig flüssig bleibt.</w:t>
      </w:r>
    </w:p>
    <w:p>
      <w:pPr>
        <w:pStyle w:val="CaptionedFigure"/>
      </w:pPr>
      <w:r>
        <w:drawing>
          <wp:inline>
            <wp:extent cx="5753100" cy="2608072"/>
            <wp:effectExtent b="0" l="0" r="0" t="0"/>
            <wp:docPr descr="Abbildung 1: p-T-Diagramm reines CO₂ vs. Worst-Case-Gemisch mit den Betriebspunkten der Einspeicherung (Skript 01_phasendiagramm_rein_vs_gemisch.py)" title="" id="27" name="Picture"/>
            <a:graphic>
              <a:graphicData uri="http://schemas.openxmlformats.org/drawingml/2006/picture">
                <pic:pic>
                  <pic:nvPicPr>
                    <pic:cNvPr descr="abb_phasendiagramm_rein_vs_gemisch.png" id="28" name="Picture"/>
                    <pic:cNvPicPr>
                      <a:picLocks noChangeArrowheads="1" noChangeAspect="1"/>
                    </pic:cNvPicPr>
                  </pic:nvPicPr>
                  <pic:blipFill>
                    <a:blip r:embed="rId26"/>
                    <a:stretch>
                      <a:fillRect/>
                    </a:stretch>
                  </pic:blipFill>
                  <pic:spPr bwMode="auto">
                    <a:xfrm>
                      <a:off x="0" y="0"/>
                      <a:ext cx="5753100" cy="2608072"/>
                    </a:xfrm>
                    <a:prstGeom prst="rect">
                      <a:avLst/>
                    </a:prstGeom>
                    <a:noFill/>
                    <a:ln w="9525">
                      <a:noFill/>
                      <a:headEnd/>
                      <a:tailEnd/>
                    </a:ln>
                  </pic:spPr>
                </pic:pic>
              </a:graphicData>
            </a:graphic>
          </wp:inline>
        </w:drawing>
      </w:r>
    </w:p>
    <w:p>
      <w:pPr>
        <w:pStyle w:val="ImageCaption"/>
      </w:pPr>
      <w:r>
        <w:t xml:space="preserve">Abbildung 1: p-T-Diagramm reines CO₂ vs. Worst-Case-Gemisch mit den Betriebspunkten der Einspeicherung (Skript 01_phasendiagramm_rein_vs_gemisch.py)</w:t>
      </w:r>
    </w:p>
    <w:bookmarkStart w:id="29" w:name="gleichgewichtsbedingung"/>
    <w:p>
      <w:pPr>
        <w:pStyle w:val="Heading2"/>
      </w:pPr>
      <w:r>
        <w:rPr>
          <w:rStyle w:val="SectionNumber"/>
        </w:rPr>
        <w:t xml:space="preserve">6.1</w:t>
      </w:r>
      <w:r>
        <w:tab/>
      </w:r>
      <w:r>
        <w:t xml:space="preserve">Gleichgewichtsbedingung</w:t>
      </w:r>
    </w:p>
    <w:p>
      <w:pPr>
        <w:pStyle w:val="FirstParagraph"/>
      </w:pPr>
      <w:r>
        <w:t xml:space="preserve">Im Gleichgewicht sind Temperatur und Druck in beiden Phasen gleich, und für jede Komponente</w:t>
      </w:r>
      <w:r>
        <w:t xml:space="preserve"> </w:t>
      </w:r>
      <w:r>
        <w:rPr>
          <w:i/>
          <w:iCs/>
        </w:rPr>
        <w:t xml:space="preserve">i</w:t>
      </w:r>
      <w:r>
        <w:t xml:space="preserve"> </w:t>
      </w:r>
      <w:r>
        <w:t xml:space="preserve">ist die Fugazität in der Flüssigkeit (Molanteile</w:t>
      </w:r>
      <w:r>
        <w:t xml:space="preserve"> </w:t>
      </w:r>
      <w:r>
        <w:rPr>
          <w:i/>
          <w:iCs/>
        </w:rPr>
        <w:t xml:space="preserve">x</w:t>
      </w:r>
      <w:r>
        <w:rPr>
          <w:vertAlign w:val="subscript"/>
        </w:rPr>
        <w:t xml:space="preserve">i</w:t>
      </w:r>
      <w:r>
        <w:t xml:space="preserve">) gleich der im Dampf (Molanteile</w:t>
      </w:r>
      <w:r>
        <w:t xml:space="preserve"> </w:t>
      </w:r>
      <w:r>
        <w:rPr>
          <w:i/>
          <w:iCs/>
        </w:rPr>
        <w:t xml:space="preserve">y</w:t>
      </w:r>
      <w:r>
        <w:rPr>
          <w:vertAlign w:val="subscript"/>
        </w:rPr>
        <w:t xml:space="preserve">i</w:t>
      </w:r>
      <w:r>
        <w:t xml:space="preserve">):</w:t>
      </w:r>
    </w:p>
    <w:p>
      <w:pPr>
        <w:pStyle w:val="BodyText"/>
      </w:pPr>
      <m:oMathPara>
        <m:oMathParaPr>
          <m:jc m:val="center"/>
        </m:oMathParaPr>
        <m:oMath>
          <m:sSub>
            <m:e>
              <m:r>
                <m:t>x</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x</m:t>
              </m:r>
            </m:e>
          </m:acc>
          <m:r>
            <m:rPr>
              <m:sty m:val="p"/>
            </m:rPr>
            <m:t>)</m:t>
          </m:r>
          <m:r>
            <m:rPr>
              <m:sty m:val="p"/>
            </m:rPr>
            <m:t>=</m:t>
          </m:r>
          <m:sSub>
            <m:e>
              <m:r>
                <m:t>y</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y</m:t>
              </m:r>
            </m:e>
          </m:acc>
          <m:r>
            <m:rPr>
              <m:sty m:val="p"/>
            </m:rPr>
            <m:t>)</m:t>
          </m:r>
          <m:r>
            <m:t> </m:t>
          </m:r>
          <m:r>
            <m:rPr>
              <m:sty m:val="p"/>
            </m:rPr>
            <m:t>⇔</m:t>
          </m:r>
          <m:r>
            <m:t> </m:t>
          </m:r>
          <m:sSub>
            <m:e>
              <m:r>
                <m:t>K</m:t>
              </m:r>
            </m:e>
            <m:sub>
              <m:r>
                <m:t>i</m:t>
              </m:r>
            </m:sub>
          </m:sSub>
          <m:r>
            <m:rPr>
              <m:sty m:val="p"/>
            </m:rPr>
            <m:t>=</m:t>
          </m:r>
          <m:f>
            <m:fPr>
              <m:type m:val="bar"/>
            </m:fPr>
            <m:num>
              <m:sSub>
                <m:e>
                  <m:r>
                    <m:t>y</m:t>
                  </m:r>
                </m:e>
                <m:sub>
                  <m:r>
                    <m:t>i</m:t>
                  </m:r>
                </m:sub>
              </m:sSub>
            </m:num>
            <m:den>
              <m:sSub>
                <m:e>
                  <m:r>
                    <m:t>x</m:t>
                  </m:r>
                </m:e>
                <m:sub>
                  <m:r>
                    <m:t>i</m:t>
                  </m:r>
                </m:sub>
              </m:sSub>
            </m:den>
          </m:f>
          <m:r>
            <m:rPr>
              <m:sty m:val="p"/>
            </m:rPr>
            <m:t>=</m:t>
          </m:r>
          <m:f>
            <m:fPr>
              <m:type m:val="bar"/>
            </m:fPr>
            <m:num>
              <m:sSubSup>
                <m:e>
                  <m:r>
                    <m:t>φ</m:t>
                  </m:r>
                </m:e>
                <m:sub>
                  <m:r>
                    <m:t>i</m:t>
                  </m:r>
                </m:sub>
                <m:sup>
                  <m:r>
                    <m:rPr>
                      <m:sty m:val="p"/>
                    </m:rPr>
                    <m:t>′</m:t>
                  </m:r>
                </m:sup>
              </m:sSubSup>
            </m:num>
            <m:den>
              <m:sSubSup>
                <m:e>
                  <m:r>
                    <m:t>φ</m:t>
                  </m:r>
                </m:e>
                <m:sub>
                  <m:r>
                    <m:t>i</m:t>
                  </m:r>
                </m:sub>
                <m:sup>
                  <m:r>
                    <m:rPr>
                      <m:sty m:val="p"/>
                    </m:rPr>
                    <m:t>″</m:t>
                  </m:r>
                </m:sup>
              </m:sSubSup>
            </m:den>
          </m:f>
          <m:r>
            <m:rPr>
              <m:sty m:val="p"/>
            </m:rPr>
            <m:t>,</m:t>
          </m:r>
          <m:r>
            <m:t>  </m:t>
          </m:r>
          <m:r>
            <m:t>i</m:t>
          </m:r>
          <m:r>
            <m:rPr>
              <m:sty m:val="p"/>
            </m:rPr>
            <m:t>=</m:t>
          </m:r>
          <m:r>
            <m:t>1</m:t>
          </m:r>
          <m:r>
            <m:rPr>
              <m:sty m:val="p"/>
            </m:rPr>
            <m:t>…</m:t>
          </m:r>
          <m:r>
            <m:t>N</m:t>
          </m:r>
        </m:oMath>
      </m:oMathPara>
    </w:p>
    <w:p>
      <w:pPr>
        <w:pStyle w:val="FirstParagraph"/>
      </w:pPr>
      <w:r>
        <w:t xml:space="preserve">Die Fugazitätskoeffizienten folgen wieder aus der Helmholtz-Gleichung des Gemischs, durch Ableitung nach der Stoffmenge:</w:t>
      </w:r>
    </w:p>
    <w:p>
      <w:pPr>
        <w:pStyle w:val="BodyText"/>
      </w:pPr>
      <m:oMathPara>
        <m:oMathParaPr>
          <m:jc m:val="center"/>
        </m:oMathParaPr>
        <m:oMath>
          <m:r>
            <m:rPr>
              <m:sty m:val="p"/>
            </m:rPr>
            <m:t>ln</m:t>
          </m:r>
          <m:sSub>
            <m:e>
              <m:r>
                <m:t>φ</m:t>
              </m:r>
            </m:e>
            <m:sub>
              <m:r>
                <m:t>i</m:t>
              </m:r>
            </m:sub>
          </m:sSub>
          <m:r>
            <m:rPr>
              <m:sty m:val="p"/>
            </m:rPr>
            <m:t>=</m:t>
          </m:r>
          <m:sSub>
            <m:e>
              <m:d>
                <m:dPr>
                  <m:begChr m:val="("/>
                  <m:sepChr m:val=""/>
                  <m:endChr m:val=")"/>
                  <m:grow/>
                </m:dPr>
                <m:e>
                  <m:f>
                    <m:fPr>
                      <m:type m:val="bar"/>
                    </m:fPr>
                    <m:num>
                      <m:r>
                        <m:rPr>
                          <m:sty m:val="p"/>
                        </m:rPr>
                        <m:t>∂</m:t>
                      </m:r>
                      <m:r>
                        <m:t> </m:t>
                      </m:r>
                      <m:r>
                        <m:rPr>
                          <m:sty m:val="p"/>
                        </m:rPr>
                        <m:t>(</m:t>
                      </m:r>
                      <m:r>
                        <m:t>n</m:t>
                      </m:r>
                      <m:r>
                        <m:t> </m:t>
                      </m:r>
                      <m:sSup>
                        <m:e>
                          <m:r>
                            <m:t>α</m:t>
                          </m:r>
                        </m:e>
                        <m:sup>
                          <m:r>
                            <m:t>r</m:t>
                          </m:r>
                        </m:sup>
                      </m:sSup>
                      <m:r>
                        <m:rPr>
                          <m:sty m:val="p"/>
                        </m:rPr>
                        <m:t>)</m:t>
                      </m:r>
                    </m:num>
                    <m:den>
                      <m:r>
                        <m:rPr>
                          <m:sty m:val="p"/>
                        </m:rPr>
                        <m:t>∂</m:t>
                      </m:r>
                      <m:sSub>
                        <m:e>
                          <m:r>
                            <m:t>n</m:t>
                          </m:r>
                        </m:e>
                        <m:sub>
                          <m:r>
                            <m:t>i</m:t>
                          </m:r>
                        </m:sub>
                      </m:sSub>
                    </m:den>
                  </m:f>
                </m:e>
              </m:d>
            </m:e>
            <m:sub>
              <m:r>
                <m:t>T</m:t>
              </m:r>
              <m:r>
                <m:rPr>
                  <m:sty m:val="p"/>
                </m:rPr>
                <m:t>,</m:t>
              </m:r>
              <m:r>
                <m:t>V</m:t>
              </m:r>
              <m:r>
                <m:rPr>
                  <m:sty m:val="p"/>
                </m:rPr>
                <m:t>,</m:t>
              </m:r>
              <m:sSub>
                <m:e>
                  <m:r>
                    <m:t>n</m:t>
                  </m:r>
                </m:e>
                <m:sub>
                  <m:r>
                    <m:t>j</m:t>
                  </m:r>
                </m:sub>
              </m:sSub>
            </m:sub>
          </m:sSub>
          <m:r>
            <m:rPr>
              <m:sty m:val="p"/>
            </m:rPr>
            <m:t>−</m:t>
          </m:r>
          <m:r>
            <m:rPr>
              <m:sty m:val="p"/>
            </m:rPr>
            <m:t>ln</m:t>
          </m:r>
          <m:r>
            <m:t>Z</m:t>
          </m:r>
          <m:r>
            <m:rPr>
              <m:sty m:val="p"/>
            </m:rPr>
            <m:t>,</m:t>
          </m:r>
          <m:r>
            <m:t>  </m:t>
          </m:r>
          <m:r>
            <m:t>Z</m:t>
          </m:r>
          <m:r>
            <m:rPr>
              <m:sty m:val="p"/>
            </m:rPr>
            <m:t>=</m:t>
          </m:r>
          <m:f>
            <m:fPr>
              <m:type m:val="bar"/>
            </m:fPr>
            <m:num>
              <m:r>
                <m:t>p</m:t>
              </m:r>
            </m:num>
            <m:den>
              <m:r>
                <m:t>ρ</m:t>
              </m:r>
              <m:r>
                <m:t>R</m:t>
              </m:r>
              <m:r>
                <m:t>T</m:t>
              </m:r>
            </m:den>
          </m:f>
        </m:oMath>
      </m:oMathPara>
    </w:p>
    <w:p>
      <w:pPr>
        <w:pStyle w:val="FirstParagraph"/>
      </w:pPr>
      <w:r>
        <w:t xml:space="preserve">Daraus ergeben sich die beiden Phasengrenzen für die Gesamtzusammensetzung</w:t>
      </w:r>
      <w:r>
        <w:t xml:space="preserve"> </w:t>
      </w:r>
      <w:r>
        <w:rPr>
          <w:i/>
          <w:iCs/>
        </w:rPr>
        <w:t xml:space="preserve">z</w:t>
      </w:r>
      <w:r>
        <w:t xml:space="preserve">:</w:t>
      </w:r>
    </w:p>
    <w:p>
      <w:pPr>
        <w:pStyle w:val="Compact"/>
        <w:numPr>
          <w:ilvl w:val="0"/>
          <w:numId w:val="1004"/>
        </w:numPr>
      </w:pPr>
      <w:r>
        <w:rPr>
          <w:b/>
          <w:bCs/>
        </w:rPr>
        <w:t xml:space="preserve">Blasenlinie (Q = 0):</w:t>
      </w:r>
      <w:r>
        <w:t xml:space="preserve"> </w:t>
      </w:r>
      <w:r>
        <w:t xml:space="preserve">Die Flüssigkeit hat noch die Zusammensetzung</w:t>
      </w:r>
      <w:r>
        <w:t xml:space="preserve"> </w:t>
      </w:r>
      <w:r>
        <w:rPr>
          <w:i/>
          <w:iCs/>
        </w:rPr>
        <w:t xml:space="preserve">z</w:t>
      </w:r>
      <w:r>
        <w:t xml:space="preserve">, die erste Gasblase erfüllt Σ</w:t>
      </w:r>
      <w:r>
        <w:t xml:space="preserve"> </w:t>
      </w:r>
      <w:r>
        <w:rPr>
          <w:i/>
          <w:iCs/>
        </w:rPr>
        <w:t xml:space="preserve">K</w:t>
      </w:r>
      <w:r>
        <w:rPr>
          <w:vertAlign w:val="subscript"/>
        </w:rPr>
        <w:t xml:space="preserve">i</w:t>
      </w:r>
      <w:r>
        <w:t xml:space="preserve"> </w:t>
      </w:r>
      <w:r>
        <w:rPr>
          <w:i/>
          <w:iCs/>
        </w:rPr>
        <w:t xml:space="preserve">z</w:t>
      </w:r>
      <w:r>
        <w:rPr>
          <w:vertAlign w:val="subscript"/>
        </w:rPr>
        <w:t xml:space="preserve">i</w:t>
      </w:r>
      <w:r>
        <w:t xml:space="preserve"> </w:t>
      </w:r>
      <w:r>
        <w:t xml:space="preserve">= 1.</w:t>
      </w:r>
    </w:p>
    <w:p>
      <w:pPr>
        <w:pStyle w:val="Compact"/>
        <w:numPr>
          <w:ilvl w:val="0"/>
          <w:numId w:val="1004"/>
        </w:numPr>
      </w:pPr>
      <w:r>
        <w:rPr>
          <w:b/>
          <w:bCs/>
        </w:rPr>
        <w:t xml:space="preserve">Taulinie (Q = 1):</w:t>
      </w:r>
      <w:r>
        <w:t xml:space="preserve"> </w:t>
      </w:r>
      <w:r>
        <w:t xml:space="preserve">Der Dampf hat noch die Zusammensetzung</w:t>
      </w:r>
      <w:r>
        <w:t xml:space="preserve"> </w:t>
      </w:r>
      <w:r>
        <w:rPr>
          <w:i/>
          <w:iCs/>
        </w:rPr>
        <w:t xml:space="preserve">z</w:t>
      </w:r>
      <w:r>
        <w:t xml:space="preserve">, der erste Tropfen erfüllt Σ</w:t>
      </w:r>
      <w:r>
        <w:t xml:space="preserve"> </w:t>
      </w:r>
      <w:r>
        <w:rPr>
          <w:i/>
          <w:iCs/>
        </w:rPr>
        <w:t xml:space="preserve">z</w:t>
      </w:r>
      <w:r>
        <w:rPr>
          <w:vertAlign w:val="subscript"/>
        </w:rPr>
        <w:t xml:space="preserve">i</w:t>
      </w:r>
      <w:r>
        <w:t xml:space="preserve"> </w:t>
      </w:r>
      <w:r>
        <w:t xml:space="preserve">/</w:t>
      </w:r>
      <w:r>
        <w:t xml:space="preserve"> </w:t>
      </w:r>
      <w:r>
        <w:rPr>
          <w:i/>
          <w:iCs/>
        </w:rPr>
        <w:t xml:space="preserve">K</w:t>
      </w:r>
      <w:r>
        <w:rPr>
          <w:vertAlign w:val="subscript"/>
        </w:rPr>
        <w:t xml:space="preserve">i</w:t>
      </w:r>
      <w:r>
        <w:t xml:space="preserve"> </w:t>
      </w:r>
      <w:r>
        <w:t xml:space="preserve">= 1.</w:t>
      </w:r>
    </w:p>
    <w:bookmarkEnd w:id="29"/>
    <w:bookmarkStart w:id="30" w:name="phasenhüllkurve-in-coolprop"/>
    <w:p>
      <w:pPr>
        <w:pStyle w:val="Heading2"/>
      </w:pPr>
      <w:r>
        <w:rPr>
          <w:rStyle w:val="SectionNumber"/>
        </w:rPr>
        <w:t xml:space="preserve">6.2</w:t>
      </w:r>
      <w:r>
        <w:tab/>
      </w:r>
      <w:r>
        <w:t xml:space="preserve">Phasenhüllkurve in CoolProp</w:t>
      </w:r>
    </w:p>
    <w:p>
      <w:pPr>
        <w:pStyle w:val="FirstParagraph"/>
      </w:pPr>
      <w:r>
        <w:rPr>
          <w:rStyle w:val="VerbatimChar"/>
        </w:rPr>
        <w:t xml:space="preserve">gemisch_worstcase.phasengrenze()</w:t>
      </w:r>
      <w:r>
        <w:t xml:space="preserve"> </w:t>
      </w:r>
      <w:r>
        <w:t xml:space="preserve">rechnet die Grenze in zwei Schritten:</w:t>
      </w:r>
    </w:p>
    <w:p>
      <w:pPr>
        <w:pStyle w:val="Compact"/>
        <w:numPr>
          <w:ilvl w:val="0"/>
          <w:numId w:val="1005"/>
        </w:numPr>
      </w:pPr>
      <w:r>
        <w:rPr>
          <w:rStyle w:val="VerbatimChar"/>
        </w:rPr>
        <w:t xml:space="preserve">AS.build_phase_envelope("")</w:t>
      </w:r>
      <w:r>
        <w:t xml:space="preserve"> </w:t>
      </w:r>
      <w:r>
        <w:t xml:space="preserve">verfolgt die ganze Hüllkurve: Start bei niedrigem Druck auf der Taulinie (Startwerte per sukzessiver Substitution), dann Newton-Verfahren entlang der Kurve über den kritischen Punkt und auf der Blasenlinie zurück. Der CoolProp-Quellcode (PhaseEnvelopeRoutines.cpp) verweist dazu auf das Verfahren von Gernert et al. (2014).</w:t>
      </w:r>
    </w:p>
    <w:p>
      <w:pPr>
        <w:pStyle w:val="Compact"/>
        <w:numPr>
          <w:ilvl w:val="0"/>
          <w:numId w:val="1005"/>
        </w:numPr>
      </w:pPr>
      <w:r>
        <w:t xml:space="preserve">Die Hüllkurve hat nur etwa 80 Stützpunkte. Bis 10 K unter dem kritischen Punkt wird sie mit Einzelrechnungen im 0,5-K-Raster verdichtet (</w:t>
      </w:r>
      <w:r>
        <w:rPr>
          <w:rStyle w:val="VerbatimChar"/>
        </w:rPr>
        <w:t xml:space="preserve">AS.update(QT_INPUTS, Q, T)</w:t>
      </w:r>
      <w:r>
        <w:t xml:space="preserve">). Näher am kritischen Punkt konvergiert diese Einzelrechnung nicht zuverlässig; dort bleiben die Punkte der Hüllkurve stehen. Geprüft: Wo beide Methoden Ergebnisse liefern, stimmen sie auf 0,001 bar überein.</w:t>
      </w:r>
    </w:p>
    <w:p>
      <w:pPr>
        <w:pStyle w:val="FirstParagraph"/>
      </w:pPr>
      <w:r>
        <w:t xml:space="preserve">Unterhalb des Tripelpunkts von reinem CO₂ (−56,6 °C) wird abgeschnitten, weil dort Trockeneis ausfallen würde und das Modell keinen Feststoff kennt.</w:t>
      </w:r>
    </w:p>
    <w:bookmarkEnd w:id="30"/>
    <w:bookmarkStart w:id="31" w:name="kennpunkte-des-zweiphasengebiets"/>
    <w:p>
      <w:pPr>
        <w:pStyle w:val="Heading2"/>
      </w:pPr>
      <w:r>
        <w:rPr>
          <w:rStyle w:val="SectionNumber"/>
        </w:rPr>
        <w:t xml:space="preserve">6.3</w:t>
      </w:r>
      <w:r>
        <w:tab/>
      </w:r>
      <w:r>
        <w:t xml:space="preserve">Kennpunkte des Zweiphasengebiets</w:t>
      </w:r>
    </w:p>
    <w:tbl>
      <w:tblPr>
        <w:tblStyle w:val="Table"/>
        <w:tblW w:type="dxa" w:w="9072"/>
        <w:tblLayout w:type="fixed"/>
        <w:tblLook w:firstRow="1" w:lastRow="0" w:firstColumn="0" w:lastColumn="0" w:noHBand="0" w:noVBand="0" w:val="0020"/>
      </w:tblPr>
      <w:tblGrid>
        <w:gridCol w:w="2296"/>
        <w:gridCol w:w="4170"/>
        <w:gridCol w:w="2604"/>
      </w:tblGrid>
      <w:tr>
        <w:trPr>
          <w:tblHeader w:val="on"/>
        </w:trPr>
        <w:tc>
          <w:tcPr/>
          <w:p>
            <w:pPr>
              <w:pStyle w:val="Compact"/>
            </w:pPr>
            <w:r>
              <w:t xml:space="preserve">Kennpunkt</w:t>
            </w:r>
          </w:p>
        </w:tc>
        <w:tc>
          <w:tcPr/>
          <w:p>
            <w:pPr>
              <w:pStyle w:val="Compact"/>
            </w:pPr>
            <w:r>
              <w:t xml:space="preserve">Bedeutung</w:t>
            </w:r>
          </w:p>
        </w:tc>
        <w:tc>
          <w:tcPr/>
          <w:p>
            <w:pPr>
              <w:pStyle w:val="Compact"/>
            </w:pPr>
            <w:r>
              <w:t xml:space="preserve">Worst-Case-Gemisch</w:t>
            </w:r>
          </w:p>
        </w:tc>
      </w:tr>
      <w:tr>
        <w:tc>
          <w:tcPr/>
          <w:p>
            <w:pPr>
              <w:pStyle w:val="Compact"/>
            </w:pPr>
            <w:r>
              <w:t xml:space="preserve">Kritischer Punkt</w:t>
            </w:r>
          </w:p>
        </w:tc>
        <w:tc>
          <w:tcPr/>
          <w:p>
            <w:pPr>
              <w:pStyle w:val="Compact"/>
            </w:pPr>
            <w:r>
              <w:t xml:space="preserve">Tau- und Blasenlinie treffen sich, beide Phasen werden gleich</w:t>
            </w:r>
          </w:p>
        </w:tc>
        <w:tc>
          <w:tcPr/>
          <w:p>
            <w:pPr>
              <w:pStyle w:val="Compact"/>
            </w:pPr>
            <w:r>
              <w:t xml:space="preserve">28,0 °C / 81,5 bar</w:t>
            </w:r>
          </w:p>
        </w:tc>
      </w:tr>
      <w:tr>
        <w:tc>
          <w:tcPr/>
          <w:p>
            <w:pPr>
              <w:pStyle w:val="Compact"/>
            </w:pPr>
            <w:r>
              <w:t xml:space="preserve">Cricondenbar</w:t>
            </w:r>
          </w:p>
        </w:tc>
        <w:tc>
          <w:tcPr/>
          <w:p>
            <w:pPr>
              <w:pStyle w:val="Compact"/>
            </w:pPr>
            <w:r>
              <w:t xml:space="preserve">höchster Druck des Zweiphasengebiets; darüber bei jeder Temperatur einphasig</w:t>
            </w:r>
          </w:p>
        </w:tc>
        <w:tc>
          <w:tcPr/>
          <w:p>
            <w:pPr>
              <w:pStyle w:val="Compact"/>
            </w:pPr>
            <w:r>
              <w:t xml:space="preserve">27,2 °C / 82,2 bar</w:t>
            </w:r>
          </w:p>
        </w:tc>
      </w:tr>
      <w:tr>
        <w:tc>
          <w:tcPr/>
          <w:p>
            <w:pPr>
              <w:pStyle w:val="Compact"/>
            </w:pPr>
            <w:r>
              <w:t xml:space="preserve">Cricondentherm</w:t>
            </w:r>
          </w:p>
        </w:tc>
        <w:tc>
          <w:tcPr/>
          <w:p>
            <w:pPr>
              <w:pStyle w:val="Compact"/>
            </w:pPr>
            <w:r>
              <w:t xml:space="preserve">höchste Temperatur des Zweiphasengebiets; darüber bei jedem Druck einphasig</w:t>
            </w:r>
          </w:p>
        </w:tc>
        <w:tc>
          <w:tcPr/>
          <w:p>
            <w:pPr>
              <w:pStyle w:val="Compact"/>
            </w:pPr>
            <w:r>
              <w:t xml:space="preserve">28,1 °C / 80,9 bar</w:t>
            </w:r>
          </w:p>
        </w:tc>
      </w:tr>
    </w:tbl>
    <w:p>
      <w:pPr>
        <w:pStyle w:val="BodyText"/>
      </w:pPr>
      <w:r>
        <w:t xml:space="preserve">Anders als bei reinem CO₂ fällt der kritische Punkt nicht mit dem höchsten Druck zusammen. Der Code bestimmt den kritischen Punkt als Mitte zwischen dem letzten Punkt der Taulinie und dem ersten der Blasenlinie (Fehler etwa 0,1 K bzw. 0,25 bar). Für die Auslegung zählt ohnehin die Cricondenbar.</w:t>
      </w:r>
    </w:p>
    <w:bookmarkEnd w:id="31"/>
    <w:bookmarkStart w:id="32" w:name="phase-an-einem-betriebspunkt"/>
    <w:p>
      <w:pPr>
        <w:pStyle w:val="Heading2"/>
      </w:pPr>
      <w:r>
        <w:rPr>
          <w:rStyle w:val="SectionNumber"/>
        </w:rPr>
        <w:t xml:space="preserve">6.4</w:t>
      </w:r>
      <w:r>
        <w:tab/>
      </w:r>
      <w:r>
        <w:t xml:space="preserve">Phase an einem Betriebspunkt</w:t>
      </w:r>
    </w:p>
    <w:p>
      <w:pPr>
        <w:pStyle w:val="FirstParagraph"/>
      </w:pPr>
      <w:r>
        <w:t xml:space="preserve">Für die Betriebspunkte ruft</w:t>
      </w:r>
      <w:r>
        <w:t xml:space="preserve"> </w:t>
      </w:r>
      <w:r>
        <w:rPr>
          <w:rStyle w:val="VerbatimChar"/>
        </w:rPr>
        <w:t xml:space="preserve">stoffwerte(p, T)</w:t>
      </w:r>
      <w:r>
        <w:t xml:space="preserve"> </w:t>
      </w:r>
      <w:r>
        <w:t xml:space="preserve">einen PT-Flash auf (</w:t>
      </w:r>
      <w:r>
        <w:rPr>
          <w:rStyle w:val="VerbatimChar"/>
        </w:rPr>
        <w:t xml:space="preserve">AS.update(PT_INPUTS, p, T)</w:t>
      </w:r>
      <w:r>
        <w:t xml:space="preserve">). CoolProp prüft dabei zuerst mit einer Stabilitätsanalyse nach Michelsen (1982), ob das Gemisch einphasig stabil ist. Wenn nicht, berechnet es die Aufteilung in Flüssigkeit und Dampf und gibt den Dampfanteil</w:t>
      </w:r>
      <w:r>
        <w:t xml:space="preserve"> </w:t>
      </w:r>
      <w:r>
        <w:rPr>
          <w:i/>
          <w:iCs/>
        </w:rPr>
        <w:t xml:space="preserve">Q</w:t>
      </w:r>
      <w:r>
        <w:t xml:space="preserve"> </w:t>
      </w:r>
      <w:r>
        <w:t xml:space="preserve">zurück. So ergibt sich für den S2-Kühleraustritt (80 bar / 25 °C) „zweiphasig,</w:t>
      </w:r>
      <w:r>
        <w:t xml:space="preserve"> </w:t>
      </w:r>
      <w:r>
        <w:rPr>
          <w:i/>
          <w:iCs/>
        </w:rPr>
        <w:t xml:space="preserve">Q</w:t>
      </w:r>
      <w:r>
        <w:t xml:space="preserve"> </w:t>
      </w:r>
      <w:r>
        <w:t xml:space="preserve">= 0,11“.</w:t>
      </w:r>
    </w:p>
    <w:bookmarkEnd w:id="32"/>
    <w:bookmarkEnd w:id="33"/>
    <w:bookmarkStart w:id="34" w:name="umsetzung-im-code"/>
    <w:p>
      <w:pPr>
        <w:pStyle w:val="Heading1"/>
      </w:pPr>
      <w:r>
        <w:rPr>
          <w:rStyle w:val="SectionNumber"/>
        </w:rPr>
        <w:t xml:space="preserve">7</w:t>
      </w:r>
      <w:r>
        <w:tab/>
      </w:r>
      <w:r>
        <w:t xml:space="preserve">Umsetzung im Code</w:t>
      </w:r>
    </w:p>
    <w:p>
      <w:pPr>
        <w:pStyle w:val="FirstParagraph"/>
      </w:pPr>
      <w:r>
        <w:t xml:space="preserve">CoolProp rechnet intern in SI-Einheiten (Pa, K, J/kg, kg/m³). Die Skripte rechnen an den Schnittstellen um:</w:t>
      </w:r>
      <w:r>
        <w:t xml:space="preserve"> </w:t>
      </w:r>
      <w:r>
        <w:rPr>
          <w:i/>
          <w:iCs/>
        </w:rPr>
        <w:t xml:space="preserve">p</w:t>
      </w:r>
      <w:r>
        <w:t xml:space="preserve"> </w:t>
      </w:r>
      <w:r>
        <w:t xml:space="preserve">[Pa] =</w:t>
      </w:r>
      <w:r>
        <w:t xml:space="preserve"> </w:t>
      </w:r>
      <w:r>
        <w:rPr>
          <w:i/>
          <w:iCs/>
        </w:rPr>
        <w:t xml:space="preserve">p</w:t>
      </w:r>
      <w:r>
        <w:t xml:space="preserve"> </w:t>
      </w:r>
      <w:r>
        <w:t xml:space="preserve">[bar] · 10⁵,</w:t>
      </w:r>
      <w:r>
        <w:t xml:space="preserve"> </w:t>
      </w:r>
      <w:r>
        <w:rPr>
          <w:i/>
          <w:iCs/>
        </w:rPr>
        <w:t xml:space="preserve">T</w:t>
      </w:r>
      <w:r>
        <w:t xml:space="preserve"> </w:t>
      </w:r>
      <w:r>
        <w:t xml:space="preserve">[K] =</w:t>
      </w:r>
      <w:r>
        <w:t xml:space="preserve"> </w:t>
      </w:r>
      <w:r>
        <w:rPr>
          <w:i/>
          <w:iCs/>
        </w:rPr>
        <w:t xml:space="preserve">T</w:t>
      </w:r>
      <w:r>
        <w:t xml:space="preserve"> </w:t>
      </w:r>
      <w:r>
        <w:t xml:space="preserve">[°C] + 273,15.</w:t>
      </w:r>
    </w:p>
    <w:tbl>
      <w:tblPr>
        <w:tblStyle w:val="Table"/>
        <w:tblW w:type="dxa" w:w="9072"/>
        <w:tblLayout w:type="fixed"/>
        <w:tblLook w:firstRow="1" w:lastRow="0" w:firstColumn="0" w:lastColumn="0" w:noHBand="0" w:noVBand="0" w:val="0020"/>
      </w:tblPr>
      <w:tblGrid>
        <w:gridCol w:w="3235"/>
        <w:gridCol w:w="2738"/>
        <w:gridCol w:w="3097"/>
      </w:tblGrid>
      <w:tr>
        <w:trPr>
          <w:tblHeader w:val="on"/>
        </w:trPr>
        <w:tc>
          <w:tcPr/>
          <w:p>
            <w:pPr>
              <w:pStyle w:val="Compact"/>
            </w:pPr>
            <w:r>
              <w:t xml:space="preserve">Aufruf im Code</w:t>
            </w:r>
          </w:p>
        </w:tc>
        <w:tc>
          <w:tcPr/>
          <w:p>
            <w:pPr>
              <w:pStyle w:val="Compact"/>
            </w:pPr>
            <w:r>
              <w:t xml:space="preserve">Was berechnet wird</w:t>
            </w:r>
          </w:p>
        </w:tc>
        <w:tc>
          <w:tcPr/>
          <w:p>
            <w:pPr>
              <w:pStyle w:val="Compact"/>
            </w:pPr>
            <w:r>
              <w:t xml:space="preserve">Grundlage</w:t>
            </w:r>
          </w:p>
        </w:tc>
      </w:tr>
      <w:tr>
        <w:tc>
          <w:tcPr/>
          <w:p>
            <w:pPr>
              <w:pStyle w:val="Compact"/>
            </w:pPr>
            <w:r>
              <w:rPr>
                <w:rStyle w:val="VerbatimChar"/>
              </w:rPr>
              <w:t xml:space="preserve">PropsSI("D", "P", p, "T", T, "CO2")</w:t>
            </w:r>
          </w:p>
        </w:tc>
        <w:tc>
          <w:tcPr/>
          <w:p>
            <w:pPr>
              <w:pStyle w:val="Compact"/>
            </w:pPr>
            <w:r>
              <w:t xml:space="preserve">Dichte reines CO₂</w:t>
            </w:r>
          </w:p>
        </w:tc>
        <w:tc>
          <w:tcPr/>
          <w:p>
            <w:pPr>
              <w:pStyle w:val="Compact"/>
            </w:pPr>
            <w:r>
              <w:t xml:space="preserve">Span-Wagner, Druckgleichung iterativ nach ρ gelöst</w:t>
            </w:r>
          </w:p>
        </w:tc>
      </w:tr>
      <w:tr>
        <w:tc>
          <w:tcPr/>
          <w:p>
            <w:pPr>
              <w:pStyle w:val="Compact"/>
            </w:pPr>
            <w:r>
              <w:rPr>
                <w:rStyle w:val="VerbatimChar"/>
              </w:rPr>
              <w:t xml:space="preserve">PropsSI("H"/"S", "P", p, "T", T, "CO2")</w:t>
            </w:r>
          </w:p>
        </w:tc>
        <w:tc>
          <w:tcPr/>
          <w:p>
            <w:pPr>
              <w:pStyle w:val="Compact"/>
            </w:pPr>
            <w:r>
              <w:t xml:space="preserve">Enthalpie, Entropie</w:t>
            </w:r>
          </w:p>
        </w:tc>
        <w:tc>
          <w:tcPr/>
          <w:p>
            <w:pPr>
              <w:pStyle w:val="Compact"/>
            </w:pPr>
            <w:r>
              <w:t xml:space="preserve">Span-Wagner, Ableitungen nach τ und δ</w:t>
            </w:r>
          </w:p>
        </w:tc>
      </w:tr>
      <w:tr>
        <w:tc>
          <w:tcPr/>
          <w:p>
            <w:pPr>
              <w:pStyle w:val="Compact"/>
            </w:pPr>
            <w:r>
              <w:rPr>
                <w:rStyle w:val="VerbatimChar"/>
              </w:rPr>
              <w:t xml:space="preserve">PropsSI("H", "P", p2, "S", s1, "CO2")</w:t>
            </w:r>
          </w:p>
        </w:tc>
        <w:tc>
          <w:tcPr/>
          <w:p>
            <w:pPr>
              <w:pStyle w:val="Compact"/>
            </w:pPr>
            <w:r>
              <w:t xml:space="preserve">isentroper Endzustand (Pumpe, Verdichter)</w:t>
            </w:r>
          </w:p>
        </w:tc>
        <w:tc>
          <w:tcPr/>
          <w:p>
            <w:pPr>
              <w:pStyle w:val="Compact"/>
            </w:pPr>
            <w:r>
              <w:t xml:space="preserve">Span-Wagner, iterativ bei vorgegebenem</w:t>
            </w:r>
            <w:r>
              <w:t xml:space="preserve"> </w:t>
            </w:r>
            <w:r>
              <w:rPr>
                <w:i/>
                <w:iCs/>
              </w:rPr>
              <w:t xml:space="preserve">p</w:t>
            </w:r>
            <w:r>
              <w:t xml:space="preserve"> </w:t>
            </w:r>
            <w:r>
              <w:t xml:space="preserve">und</w:t>
            </w:r>
            <w:r>
              <w:t xml:space="preserve"> </w:t>
            </w:r>
            <w:r>
              <w:rPr>
                <w:i/>
                <w:iCs/>
              </w:rPr>
              <w:t xml:space="preserve">s</w:t>
            </w:r>
          </w:p>
        </w:tc>
      </w:tr>
      <w:tr>
        <w:tc>
          <w:tcPr/>
          <w:p>
            <w:pPr>
              <w:pStyle w:val="Compact"/>
            </w:pPr>
            <w:r>
              <w:rPr>
                <w:rStyle w:val="VerbatimChar"/>
              </w:rPr>
              <w:t xml:space="preserve">PropsSI("P", "T", T, "Q", 0, "CO2")</w:t>
            </w:r>
          </w:p>
        </w:tc>
        <w:tc>
          <w:tcPr/>
          <w:p>
            <w:pPr>
              <w:pStyle w:val="Compact"/>
            </w:pPr>
            <w:r>
              <w:t xml:space="preserve">Dampfdruck, Siedelinie</w:t>
            </w:r>
          </w:p>
        </w:tc>
        <w:tc>
          <w:tcPr/>
          <w:p>
            <w:pPr>
              <w:pStyle w:val="Compact"/>
            </w:pPr>
            <w:r>
              <w:t xml:space="preserve">Maxwell-Kriterium</w:t>
            </w:r>
          </w:p>
        </w:tc>
      </w:tr>
      <w:tr>
        <w:tc>
          <w:tcPr/>
          <w:p>
            <w:pPr>
              <w:pStyle w:val="Compact"/>
            </w:pPr>
            <w:r>
              <w:rPr>
                <w:rStyle w:val="VerbatimChar"/>
              </w:rPr>
              <w:t xml:space="preserve">PhaseSI("P", p, "T", T, "CO2")</w:t>
            </w:r>
          </w:p>
        </w:tc>
        <w:tc>
          <w:tcPr/>
          <w:p>
            <w:pPr>
              <w:pStyle w:val="Compact"/>
            </w:pPr>
            <w:r>
              <w:t xml:space="preserve">Phasenbezeichnung</w:t>
            </w:r>
          </w:p>
        </w:tc>
        <w:tc>
          <w:tcPr/>
          <w:p>
            <w:pPr>
              <w:pStyle w:val="Compact"/>
            </w:pPr>
            <w:r>
              <w:t xml:space="preserve">Vergleich mit</w:t>
            </w:r>
            <w:r>
              <w:t xml:space="preserve"> </w:t>
            </w:r>
            <w:r>
              <w:rPr>
                <w:i/>
                <w:iCs/>
              </w:rPr>
              <w:t xml:space="preserve">p</w:t>
            </w:r>
            <w:r>
              <w:rPr>
                <w:vertAlign w:val="subscript"/>
              </w:rPr>
              <w:t xml:space="preserve">s</w:t>
            </w:r>
            <w:r>
              <w:t xml:space="preserve">(</w:t>
            </w:r>
            <w:r>
              <w:rPr>
                <w:i/>
                <w:iCs/>
              </w:rPr>
              <w:t xml:space="preserve">T</w:t>
            </w:r>
            <w:r>
              <w:t xml:space="preserve">),</w:t>
            </w:r>
            <w:r>
              <w:t xml:space="preserve"> </w:t>
            </w:r>
            <w:r>
              <w:rPr>
                <w:i/>
                <w:iCs/>
              </w:rPr>
              <w:t xml:space="preserve">T</w:t>
            </w:r>
            <w:r>
              <w:rPr>
                <w:vertAlign w:val="subscript"/>
              </w:rPr>
              <w:t xml:space="preserve">c</w:t>
            </w:r>
            <w:r>
              <w:t xml:space="preserve">,</w:t>
            </w:r>
            <w:r>
              <w:t xml:space="preserve"> </w:t>
            </w:r>
            <w:r>
              <w:rPr>
                <w:i/>
                <w:iCs/>
              </w:rPr>
              <w:t xml:space="preserve">p</w:t>
            </w:r>
            <w:r>
              <w:rPr>
                <w:vertAlign w:val="subscript"/>
              </w:rPr>
              <w:t xml:space="preserve">c</w:t>
            </w:r>
          </w:p>
        </w:tc>
      </w:tr>
      <w:tr>
        <w:tc>
          <w:tcPr/>
          <w:p>
            <w:pPr>
              <w:pStyle w:val="Compact"/>
            </w:pPr>
            <w:r>
              <w:rPr>
                <w:rStyle w:val="VerbatimChar"/>
              </w:rPr>
              <w:t xml:space="preserve">schmelz_bar</w:t>
            </w:r>
            <w:r>
              <w:t xml:space="preserve">,</w:t>
            </w:r>
            <w:r>
              <w:t xml:space="preserve"> </w:t>
            </w:r>
            <w:r>
              <w:rPr>
                <w:rStyle w:val="VerbatimChar"/>
              </w:rPr>
              <w:t xml:space="preserve">sublimation_bar</w:t>
            </w:r>
          </w:p>
        </w:tc>
        <w:tc>
          <w:tcPr/>
          <w:p>
            <w:pPr>
              <w:pStyle w:val="Compact"/>
            </w:pPr>
            <w:r>
              <w:t xml:space="preserve">Schmelz- und Sublimationslinie</w:t>
            </w:r>
          </w:p>
        </w:tc>
        <w:tc>
          <w:tcPr/>
          <w:p>
            <w:pPr>
              <w:pStyle w:val="Compact"/>
            </w:pPr>
            <w:r>
              <w:t xml:space="preserve">Korrelationen Span &amp; Wagner (1996)</w:t>
            </w:r>
          </w:p>
        </w:tc>
      </w:tr>
      <w:tr>
        <w:tc>
          <w:tcPr/>
          <w:p>
            <w:pPr>
              <w:pStyle w:val="Compact"/>
            </w:pPr>
            <w:r>
              <w:rPr>
                <w:rStyle w:val="VerbatimChar"/>
              </w:rPr>
              <w:t xml:space="preserve">gw.gemisch()</w:t>
            </w:r>
          </w:p>
        </w:tc>
        <w:tc>
          <w:tcPr/>
          <w:p>
            <w:pPr>
              <w:pStyle w:val="Compact"/>
            </w:pPr>
            <w:r>
              <w:t xml:space="preserve">Gemisch einstellen</w:t>
            </w:r>
          </w:p>
        </w:tc>
        <w:tc>
          <w:tcPr/>
          <w:p>
            <w:pPr>
              <w:pStyle w:val="Compact"/>
            </w:pPr>
            <w:r>
              <w:rPr>
                <w:rStyle w:val="VerbatimChar"/>
              </w:rPr>
              <w:t xml:space="preserve">AbstractState("HEOS", …)</w:t>
            </w:r>
            <w:r>
              <w:t xml:space="preserve"> </w:t>
            </w:r>
            <w:r>
              <w:t xml:space="preserve">+</w:t>
            </w:r>
            <w:r>
              <w:t xml:space="preserve"> </w:t>
            </w:r>
            <w:r>
              <w:rPr>
                <w:rStyle w:val="VerbatimChar"/>
              </w:rPr>
              <w:t xml:space="preserve">set_mole_fractions</w:t>
            </w:r>
          </w:p>
        </w:tc>
      </w:tr>
      <w:tr>
        <w:tc>
          <w:tcPr/>
          <w:p>
            <w:pPr>
              <w:pStyle w:val="Compact"/>
            </w:pPr>
            <w:r>
              <w:rPr>
                <w:rStyle w:val="VerbatimChar"/>
              </w:rPr>
              <w:t xml:space="preserve">gw.stoffwerte(p, T)</w:t>
            </w:r>
          </w:p>
        </w:tc>
        <w:tc>
          <w:tcPr/>
          <w:p>
            <w:pPr>
              <w:pStyle w:val="Compact"/>
            </w:pPr>
            <w:r>
              <w:t xml:space="preserve">Phase, Dichte,</w:t>
            </w:r>
            <w:r>
              <w:t xml:space="preserve"> </w:t>
            </w:r>
            <w:r>
              <w:rPr>
                <w:i/>
                <w:iCs/>
              </w:rPr>
              <w:t xml:space="preserve">h</w:t>
            </w:r>
            <w:r>
              <w:t xml:space="preserve">,</w:t>
            </w:r>
            <w:r>
              <w:t xml:space="preserve"> </w:t>
            </w:r>
            <w:r>
              <w:rPr>
                <w:i/>
                <w:iCs/>
              </w:rPr>
              <w:t xml:space="preserve">s</w:t>
            </w:r>
            <w:r>
              <w:t xml:space="preserve">, ggf.</w:t>
            </w:r>
            <w:r>
              <w:t xml:space="preserve"> </w:t>
            </w:r>
            <w:r>
              <w:rPr>
                <w:i/>
                <w:iCs/>
              </w:rPr>
              <w:t xml:space="preserve">Q</w:t>
            </w:r>
          </w:p>
        </w:tc>
        <w:tc>
          <w:tcPr/>
          <w:p>
            <w:pPr>
              <w:pStyle w:val="Compact"/>
            </w:pPr>
            <w:r>
              <w:t xml:space="preserve">PT-Flash mit Stabilitätsanalyse</w:t>
            </w:r>
          </w:p>
        </w:tc>
      </w:tr>
      <w:tr>
        <w:tc>
          <w:tcPr/>
          <w:p>
            <w:pPr>
              <w:pStyle w:val="Compact"/>
            </w:pPr>
            <w:r>
              <w:rPr>
                <w:rStyle w:val="VerbatimChar"/>
              </w:rPr>
              <w:t xml:space="preserve">gw.phasengrenze()</w:t>
            </w:r>
          </w:p>
        </w:tc>
        <w:tc>
          <w:tcPr/>
          <w:p>
            <w:pPr>
              <w:pStyle w:val="Compact"/>
            </w:pPr>
            <w:r>
              <w:t xml:space="preserve">Tau-/Blasenlinie, krit. Punkt, Cricondenbar</w:t>
            </w:r>
          </w:p>
        </w:tc>
        <w:tc>
          <w:tcPr/>
          <w:p>
            <w:pPr>
              <w:pStyle w:val="Compact"/>
            </w:pPr>
            <w:r>
              <w:t xml:space="preserve">Hüllkurve + QT-Flash-Raster</w:t>
            </w:r>
          </w:p>
        </w:tc>
      </w:tr>
      <w:tr>
        <w:tc>
          <w:tcPr/>
          <w:p>
            <w:pPr>
              <w:pStyle w:val="Compact"/>
            </w:pPr>
            <w:r>
              <w:rPr>
                <w:rStyle w:val="VerbatimChar"/>
              </w:rPr>
              <w:t xml:space="preserve">gw.blasendruck(T)</w:t>
            </w:r>
            <w:r>
              <w:t xml:space="preserve">,</w:t>
            </w:r>
            <w:r>
              <w:t xml:space="preserve"> </w:t>
            </w:r>
            <w:r>
              <w:rPr>
                <w:rStyle w:val="VerbatimChar"/>
              </w:rPr>
              <w:t xml:space="preserve">gw.taudruck(T)</w:t>
            </w:r>
          </w:p>
        </w:tc>
        <w:tc>
          <w:tcPr/>
          <w:p>
            <w:pPr>
              <w:pStyle w:val="Compact"/>
            </w:pPr>
            <w:r>
              <w:t xml:space="preserve">Druck auf Blasen- bzw. Taulinie</w:t>
            </w:r>
          </w:p>
        </w:tc>
        <w:tc>
          <w:tcPr/>
          <w:p>
            <w:pPr>
              <w:pStyle w:val="Compact"/>
            </w:pPr>
            <w:r>
              <w:t xml:space="preserve">Interpolation auf der verdichteten Phasengrenze</w:t>
            </w:r>
          </w:p>
        </w:tc>
      </w:tr>
    </w:tbl>
    <w:p>
      <w:pPr>
        <w:pStyle w:val="BodyText"/>
      </w:pPr>
      <w:r>
        <w:t xml:space="preserve">Beispiel Rechenkette Clean Case (S1, Pumpe): Aus Eintrittsdruck und -temperatur werden</w:t>
      </w:r>
      <w:r>
        <w:t xml:space="preserve"> </w:t>
      </w:r>
      <w:r>
        <w:rPr>
          <w:i/>
          <w:iCs/>
        </w:rPr>
        <w:t xml:space="preserve">h</w:t>
      </w:r>
      <w:r>
        <w:rPr>
          <w:vertAlign w:val="subscript"/>
        </w:rPr>
        <w:t xml:space="preserve">1</w:t>
      </w:r>
      <w:r>
        <w:t xml:space="preserve"> </w:t>
      </w:r>
      <w:r>
        <w:t xml:space="preserve">und</w:t>
      </w:r>
      <w:r>
        <w:t xml:space="preserve"> </w:t>
      </w:r>
      <w:r>
        <w:rPr>
          <w:i/>
          <w:iCs/>
        </w:rPr>
        <w:t xml:space="preserve">s</w:t>
      </w:r>
      <w:r>
        <w:rPr>
          <w:vertAlign w:val="subscript"/>
        </w:rPr>
        <w:t xml:space="preserve">1</w:t>
      </w:r>
      <w:r>
        <w:t xml:space="preserve"> </w:t>
      </w:r>
      <w:r>
        <w:t xml:space="preserve">berechnet, dann</w:t>
      </w:r>
      <w:r>
        <w:t xml:space="preserve"> </w:t>
      </w:r>
      <w:r>
        <w:rPr>
          <w:i/>
          <w:iCs/>
        </w:rPr>
        <w:t xml:space="preserve">h</w:t>
      </w:r>
      <w:r>
        <w:rPr>
          <w:vertAlign w:val="subscript"/>
        </w:rPr>
        <w:t xml:space="preserve">2s</w:t>
      </w:r>
      <w:r>
        <w:t xml:space="preserve"> </w:t>
      </w:r>
      <w:r>
        <w:t xml:space="preserve">bei Austrittsdruck und</w:t>
      </w:r>
      <w:r>
        <w:t xml:space="preserve"> </w:t>
      </w:r>
      <w:r>
        <w:rPr>
          <w:i/>
          <w:iCs/>
        </w:rPr>
        <w:t xml:space="preserve">s</w:t>
      </w:r>
      <w:r>
        <w:rPr>
          <w:vertAlign w:val="subscript"/>
        </w:rPr>
        <w:t xml:space="preserve">1</w:t>
      </w:r>
      <w:r>
        <w:t xml:space="preserve">, dann die reale Enthalpie</w:t>
      </w:r>
      <w:r>
        <w:t xml:space="preserve"> </w:t>
      </w:r>
      <w:r>
        <w:rPr>
          <w:i/>
          <w:iCs/>
        </w:rPr>
        <w:t xml:space="preserve">h</w:t>
      </w:r>
      <w:r>
        <w:rPr>
          <w:vertAlign w:val="subscript"/>
        </w:rPr>
        <w:t xml:space="preserve">2</w:t>
      </w:r>
      <w:r>
        <w:t xml:space="preserve"> </w:t>
      </w:r>
      <w:r>
        <w:t xml:space="preserve">=</w:t>
      </w:r>
      <w:r>
        <w:t xml:space="preserve"> </w:t>
      </w:r>
      <w:r>
        <w:rPr>
          <w:i/>
          <w:iCs/>
        </w:rPr>
        <w:t xml:space="preserve">h</w:t>
      </w:r>
      <w:r>
        <w:rPr>
          <w:vertAlign w:val="subscript"/>
        </w:rPr>
        <w:t xml:space="preserve">1</w:t>
      </w:r>
      <w:r>
        <w:t xml:space="preserve"> </w:t>
      </w:r>
      <w:r>
        <w:t xml:space="preserve">+ (</w:t>
      </w:r>
      <w:r>
        <w:rPr>
          <w:i/>
          <w:iCs/>
        </w:rPr>
        <w:t xml:space="preserve">h</w:t>
      </w:r>
      <w:r>
        <w:rPr>
          <w:vertAlign w:val="subscript"/>
        </w:rPr>
        <w:t xml:space="preserve">2s</w:t>
      </w:r>
      <w:r>
        <w:t xml:space="preserve"> </w:t>
      </w:r>
      <w:r>
        <w:t xml:space="preserve">−</w:t>
      </w:r>
      <w:r>
        <w:t xml:space="preserve"> </w:t>
      </w:r>
      <w:r>
        <w:rPr>
          <w:i/>
          <w:iCs/>
        </w:rPr>
        <w:t xml:space="preserve">h</w:t>
      </w:r>
      <w:r>
        <w:rPr>
          <w:vertAlign w:val="subscript"/>
        </w:rPr>
        <w:t xml:space="preserve">1</w:t>
      </w:r>
      <w:r>
        <w:t xml:space="preserve">)/η und daraus</w:t>
      </w:r>
      <w:r>
        <w:t xml:space="preserve"> </w:t>
      </w:r>
      <w:r>
        <w:rPr>
          <w:i/>
          <w:iCs/>
        </w:rPr>
        <w:t xml:space="preserve">T</w:t>
      </w:r>
      <w:r>
        <w:rPr>
          <w:vertAlign w:val="subscript"/>
        </w:rPr>
        <w:t xml:space="preserve">2</w:t>
      </w:r>
      <w:r>
        <w:t xml:space="preserve">. Für die Gassäule wird d</w:t>
      </w:r>
      <w:r>
        <w:rPr>
          <w:i/>
          <w:iCs/>
        </w:rPr>
        <w:t xml:space="preserve">p</w:t>
      </w:r>
      <w:r>
        <w:t xml:space="preserve">/d</w:t>
      </w:r>
      <w:r>
        <w:rPr>
          <w:i/>
          <w:iCs/>
        </w:rPr>
        <w:t xml:space="preserve">z</w:t>
      </w:r>
      <w:r>
        <w:t xml:space="preserve"> </w:t>
      </w:r>
      <w:r>
        <w:t xml:space="preserve">= ρ(</w:t>
      </w:r>
      <w:r>
        <w:rPr>
          <w:i/>
          <w:iCs/>
        </w:rPr>
        <w:t xml:space="preserve">p</w:t>
      </w:r>
      <w:r>
        <w:t xml:space="preserve">,</w:t>
      </w:r>
      <w:r>
        <w:t xml:space="preserve"> </w:t>
      </w:r>
      <w:r>
        <w:rPr>
          <w:i/>
          <w:iCs/>
        </w:rPr>
        <w:t xml:space="preserve">T</w:t>
      </w:r>
      <w:r>
        <w:t xml:space="preserve">) ·</w:t>
      </w:r>
      <w:r>
        <w:t xml:space="preserve"> </w:t>
      </w:r>
      <w:r>
        <w:rPr>
          <w:i/>
          <w:iCs/>
        </w:rPr>
        <w:t xml:space="preserve">g</w:t>
      </w:r>
      <w:r>
        <w:t xml:space="preserve"> </w:t>
      </w:r>
      <w:r>
        <w:t xml:space="preserve">schrittweise integriert. Jeder dieser Schritte ist eine Auswertung der Span-Wagner-Gleichung.</w:t>
      </w:r>
    </w:p>
    <w:tbl>
      <w:tblPr>
        <w:tblStyle w:val="Table"/>
        <w:tblW w:type="dxa" w:w="9072"/>
        <w:tblLayout w:type="fixed"/>
        <w:tblLook w:firstRow="1" w:lastRow="0" w:firstColumn="0" w:lastColumn="0" w:noHBand="0" w:noVBand="0" w:val="0020"/>
      </w:tblPr>
      <w:tblGrid>
        <w:gridCol w:w="3068"/>
        <w:gridCol w:w="2975"/>
        <w:gridCol w:w="3028"/>
      </w:tblGrid>
      <w:tr>
        <w:trPr>
          <w:tblHeader w:val="on"/>
        </w:trPr>
        <w:tc>
          <w:tcPr/>
          <w:p>
            <w:pPr>
              <w:pStyle w:val="Compact"/>
            </w:pPr>
            <w:r>
              <w:t xml:space="preserve">Skript</w:t>
            </w:r>
          </w:p>
        </w:tc>
        <w:tc>
          <w:tcPr/>
          <w:p>
            <w:pPr>
              <w:pStyle w:val="Compact"/>
            </w:pPr>
            <w:r>
              <w:t xml:space="preserve">Ordner</w:t>
            </w:r>
          </w:p>
        </w:tc>
        <w:tc>
          <w:tcPr/>
          <w:p>
            <w:pPr>
              <w:pStyle w:val="Compact"/>
            </w:pPr>
            <w:r>
              <w:t xml:space="preserve">Ergebnis</w:t>
            </w:r>
          </w:p>
        </w:tc>
      </w:tr>
      <w:tr>
        <w:tc>
          <w:tcPr/>
          <w:p>
            <w:pPr>
              <w:pStyle w:val="Compact"/>
            </w:pPr>
            <w:r>
              <w:rPr>
                <w:rStyle w:val="VerbatimChar"/>
              </w:rPr>
              <w:t xml:space="preserve">01_02_start_netzuebergabe_filter_messungen.py</w:t>
            </w:r>
          </w:p>
        </w:tc>
        <w:tc>
          <w:tcPr/>
          <w:p>
            <w:pPr>
              <w:pStyle w:val="Compact"/>
            </w:pPr>
            <w:r>
              <w:rPr>
                <w:rStyle w:val="VerbatimChar"/>
              </w:rPr>
              <w:t xml:space="preserve">Clean_CO2/Reines_CO2_S1_dichte_Phase</w:t>
            </w:r>
            <w:r>
              <w:t xml:space="preserve"> </w:t>
            </w:r>
            <w:r>
              <w:t xml:space="preserve">und</w:t>
            </w:r>
            <w:r>
              <w:t xml:space="preserve"> </w:t>
            </w:r>
            <w:r>
              <w:rPr>
                <w:rStyle w:val="VerbatimChar"/>
              </w:rPr>
              <w:t xml:space="preserve">…_S2_gas_Phase</w:t>
            </w:r>
          </w:p>
        </w:tc>
        <w:tc>
          <w:tcPr/>
          <w:p>
            <w:pPr>
              <w:pStyle w:val="Compact"/>
            </w:pPr>
            <w:r>
              <w:t xml:space="preserve">Zustand an der Netzübergabe, p-T-Diagramm reines CO₂</w:t>
            </w:r>
          </w:p>
        </w:tc>
      </w:tr>
      <w:tr>
        <w:tc>
          <w:tcPr/>
          <w:p>
            <w:pPr>
              <w:pStyle w:val="Compact"/>
            </w:pPr>
            <w:r>
              <w:rPr>
                <w:rStyle w:val="VerbatimChar"/>
              </w:rPr>
              <w:t xml:space="preserve">03_Pumpe_Verdichtung.py</w:t>
            </w:r>
            <w:r>
              <w:t xml:space="preserve">,</w:t>
            </w:r>
            <w:r>
              <w:t xml:space="preserve"> </w:t>
            </w:r>
            <w:r>
              <w:rPr>
                <w:rStyle w:val="VerbatimChar"/>
              </w:rPr>
              <w:t xml:space="preserve">03_Verdichtung_Kuehlung_Pumpe.py</w:t>
            </w:r>
          </w:p>
        </w:tc>
        <w:tc>
          <w:tcPr/>
          <w:p>
            <w:pPr>
              <w:pStyle w:val="Compact"/>
            </w:pPr>
            <w:r>
              <w:t xml:space="preserve">wie oben</w:t>
            </w:r>
          </w:p>
        </w:tc>
        <w:tc>
          <w:tcPr/>
          <w:p>
            <w:pPr>
              <w:pStyle w:val="Compact"/>
            </w:pPr>
            <w:r>
              <w:t xml:space="preserve">Zieldruck aus Gassäule, Pumpen- und Verdichterarbeit</w:t>
            </w:r>
          </w:p>
        </w:tc>
      </w:tr>
      <w:tr>
        <w:tc>
          <w:tcPr/>
          <w:p>
            <w:pPr>
              <w:pStyle w:val="Compact"/>
            </w:pPr>
            <w:r>
              <w:rPr>
                <w:rStyle w:val="VerbatimChar"/>
              </w:rPr>
              <w:t xml:space="preserve">gemisch_worstcase.py</w:t>
            </w:r>
          </w:p>
        </w:tc>
        <w:tc>
          <w:tcPr/>
          <w:p>
            <w:pPr>
              <w:pStyle w:val="Compact"/>
            </w:pPr>
            <w:r>
              <w:rPr>
                <w:rStyle w:val="VerbatimChar"/>
              </w:rPr>
              <w:t xml:space="preserve">Begleitstoffe_CO2</w:t>
            </w:r>
          </w:p>
        </w:tc>
        <w:tc>
          <w:tcPr/>
          <w:p>
            <w:pPr>
              <w:pStyle w:val="Compact"/>
            </w:pPr>
            <w:r>
              <w:t xml:space="preserve">Zusammensetzung, Stoffwerte und Phasengrenze des Gemischs</w:t>
            </w:r>
          </w:p>
        </w:tc>
      </w:tr>
      <w:tr>
        <w:tc>
          <w:tcPr/>
          <w:p>
            <w:pPr>
              <w:pStyle w:val="Compact"/>
            </w:pPr>
            <w:r>
              <w:rPr>
                <w:rStyle w:val="VerbatimChar"/>
              </w:rPr>
              <w:t xml:space="preserve">01_phasendiagramm_rein_vs_gemisch.py</w:t>
            </w:r>
          </w:p>
        </w:tc>
        <w:tc>
          <w:tcPr/>
          <w:p>
            <w:pPr>
              <w:pStyle w:val="Compact"/>
            </w:pPr>
            <w:r>
              <w:rPr>
                <w:rStyle w:val="VerbatimChar"/>
              </w:rPr>
              <w:t xml:space="preserve">Begleitstoffe_CO2</w:t>
            </w:r>
          </w:p>
        </w:tc>
        <w:tc>
          <w:tcPr/>
          <w:p>
            <w:pPr>
              <w:pStyle w:val="Compact"/>
            </w:pPr>
            <w:r>
              <w:t xml:space="preserve">Vergleich rein vs. Gemisch, Phase an den Betriebspunkten</w:t>
            </w:r>
          </w:p>
        </w:tc>
      </w:tr>
      <w:tr>
        <w:tc>
          <w:tcPr/>
          <w:p>
            <w:pPr>
              <w:pStyle w:val="Compact"/>
            </w:pPr>
            <w:r>
              <w:rPr>
                <w:rStyle w:val="VerbatimChar"/>
              </w:rPr>
              <w:t xml:space="preserve">02_validierung_stoffmodelle.py</w:t>
            </w:r>
          </w:p>
        </w:tc>
        <w:tc>
          <w:tcPr/>
          <w:p>
            <w:pPr>
              <w:pStyle w:val="Compact"/>
            </w:pPr>
            <w:r>
              <w:rPr>
                <w:rStyle w:val="VerbatimChar"/>
              </w:rPr>
              <w:t xml:space="preserve">Begleitstoffe_CO2</w:t>
            </w:r>
          </w:p>
        </w:tc>
        <w:tc>
          <w:tcPr/>
          <w:p>
            <w:pPr>
              <w:pStyle w:val="Compact"/>
            </w:pPr>
            <w:r>
              <w:t xml:space="preserve">Modellvergleich mit thermopack (Kapitel 8)</w:t>
            </w:r>
          </w:p>
        </w:tc>
      </w:tr>
    </w:tbl>
    <w:bookmarkEnd w:id="34"/>
    <w:bookmarkStart w:id="43" w:name="validierung-durch-modellvergleich"/>
    <w:p>
      <w:pPr>
        <w:pStyle w:val="Heading1"/>
      </w:pPr>
      <w:r>
        <w:rPr>
          <w:rStyle w:val="SectionNumber"/>
        </w:rPr>
        <w:t xml:space="preserve">8</w:t>
      </w:r>
      <w:r>
        <w:tab/>
      </w:r>
      <w:r>
        <w:t xml:space="preserve">Validierung durch Modellvergleich</w:t>
      </w:r>
    </w:p>
    <w:bookmarkStart w:id="35" w:name="was-gemacht-wurde"/>
    <w:p>
      <w:pPr>
        <w:pStyle w:val="Heading2"/>
      </w:pPr>
      <w:r>
        <w:rPr>
          <w:rStyle w:val="SectionNumber"/>
        </w:rPr>
        <w:t xml:space="preserve">8.1</w:t>
      </w:r>
      <w:r>
        <w:tab/>
      </w:r>
      <w:r>
        <w:t xml:space="preserve">Was gemacht wurde</w:t>
      </w:r>
    </w:p>
    <w:p>
      <w:pPr>
        <w:pStyle w:val="FirstParagraph"/>
      </w:pPr>
      <w:r>
        <w:t xml:space="preserve">Um zu prüfen, ob die CoolProp-Ergebnisse stimmen, wurden dieselben Größen zusätzlich mit</w:t>
      </w:r>
      <w:r>
        <w:t xml:space="preserve"> </w:t>
      </w:r>
      <w:r>
        <w:rPr>
          <w:b/>
          <w:bCs/>
        </w:rPr>
        <w:t xml:space="preserve">weiteren Rechenmodellen</w:t>
      </w:r>
      <w:r>
        <w:t xml:space="preserve"> </w:t>
      </w:r>
      <w:r>
        <w:t xml:space="preserve">berechnet und verglichen. Dafür wurde eine</w:t>
      </w:r>
      <w:r>
        <w:t xml:space="preserve"> </w:t>
      </w:r>
      <w:r>
        <w:rPr>
          <w:b/>
          <w:bCs/>
        </w:rPr>
        <w:t xml:space="preserve">zweite, unabhängig programmierte Stoffdatenbibliothek</w:t>
      </w:r>
      <w:r>
        <w:t xml:space="preserve"> </w:t>
      </w:r>
      <w:r>
        <w:t xml:space="preserve">verwendet: thermopack (SINTEF Energy Research, Norwegen; Wilhelmsen et al. 2017). Sie hat eigenen Programmcode und eigene Gleichungsdatensätze. Stimmen beide Programme überein, ist ein Programmier- oder Anwendungsfehler praktisch ausgeschlossen.</w:t>
      </w:r>
    </w:p>
    <w:tbl>
      <w:tblPr>
        <w:tblStyle w:val="Table"/>
        <w:tblW w:type="dxa" w:w="9072"/>
        <w:tblLayout w:type="fixed"/>
        <w:tblLook w:firstRow="1" w:lastRow="0" w:firstColumn="0" w:lastColumn="0" w:noHBand="0" w:noVBand="0" w:val="0020"/>
      </w:tblPr>
      <w:tblGrid>
        <w:gridCol w:w="1914"/>
        <w:gridCol w:w="3092"/>
        <w:gridCol w:w="1597"/>
        <w:gridCol w:w="1262"/>
        <w:gridCol w:w="1204"/>
      </w:tblGrid>
      <w:tr>
        <w:trPr>
          <w:tblHeader w:val="on"/>
        </w:trPr>
        <w:tc>
          <w:tcPr/>
          <w:p>
            <w:pPr>
              <w:pStyle w:val="Compact"/>
            </w:pPr>
            <w:r>
              <w:t xml:space="preserve">Rolle</w:t>
            </w:r>
          </w:p>
        </w:tc>
        <w:tc>
          <w:tcPr/>
          <w:p>
            <w:pPr>
              <w:pStyle w:val="Compact"/>
            </w:pPr>
            <w:r>
              <w:t xml:space="preserve">Modell</w:t>
            </w:r>
          </w:p>
        </w:tc>
        <w:tc>
          <w:tcPr/>
          <w:p>
            <w:pPr>
              <w:pStyle w:val="Compact"/>
            </w:pPr>
            <w:r>
              <w:t xml:space="preserve">Software</w:t>
            </w:r>
          </w:p>
        </w:tc>
        <w:tc>
          <w:tcPr/>
          <w:p>
            <w:pPr>
              <w:pStyle w:val="Compact"/>
            </w:pPr>
            <w:r>
              <w:t xml:space="preserve">reines CO₂</w:t>
            </w:r>
          </w:p>
        </w:tc>
        <w:tc>
          <w:tcPr/>
          <w:p>
            <w:pPr>
              <w:pStyle w:val="Compact"/>
            </w:pPr>
            <w:r>
              <w:t xml:space="preserve">Gemisch</w:t>
            </w:r>
          </w:p>
        </w:tc>
      </w:tr>
      <w:tr>
        <w:tc>
          <w:tcPr/>
          <w:p>
            <w:pPr>
              <w:pStyle w:val="Compact"/>
            </w:pPr>
            <w:r>
              <w:rPr>
                <w:b/>
                <w:bCs/>
              </w:rPr>
              <w:t xml:space="preserve">Hauptmodell (verwendet)</w:t>
            </w:r>
          </w:p>
        </w:tc>
        <w:tc>
          <w:tcPr/>
          <w:p>
            <w:pPr>
              <w:pStyle w:val="Compact"/>
            </w:pPr>
            <w:r>
              <w:t xml:space="preserve">Span-Wagner bzw. Mehrfluid-Modell nach GERG-2008 mit Referenzgleichungen</w:t>
            </w:r>
          </w:p>
        </w:tc>
        <w:tc>
          <w:tcPr/>
          <w:p>
            <w:pPr>
              <w:pStyle w:val="Compact"/>
            </w:pPr>
            <w:r>
              <w:t xml:space="preserve">CoolProp 8.0.0</w:t>
            </w:r>
          </w:p>
        </w:tc>
        <w:tc>
          <w:tcPr/>
          <w:p>
            <w:pPr>
              <w:pStyle w:val="Compact"/>
            </w:pPr>
            <w:r>
              <w:t xml:space="preserve">ja</w:t>
            </w:r>
          </w:p>
        </w:tc>
        <w:tc>
          <w:tcPr/>
          <w:p>
            <w:pPr>
              <w:pStyle w:val="Compact"/>
            </w:pPr>
            <w:r>
              <w:t xml:space="preserve">ja</w:t>
            </w:r>
          </w:p>
        </w:tc>
      </w:tr>
      <w:tr>
        <w:tc>
          <w:tcPr/>
          <w:p>
            <w:pPr>
              <w:pStyle w:val="Compact"/>
            </w:pPr>
            <w:r>
              <w:t xml:space="preserve">Vergleichsmodell 1</w:t>
            </w:r>
          </w:p>
        </w:tc>
        <w:tc>
          <w:tcPr/>
          <w:p>
            <w:pPr>
              <w:pStyle w:val="Compact"/>
            </w:pPr>
            <w:r>
              <w:t xml:space="preserve">GERG-2008 im Original (eigene Reinstoffgleichungen und Paarparameter nach Kunz &amp; Wagner 2012)</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2</w:t>
            </w:r>
          </w:p>
        </w:tc>
        <w:tc>
          <w:tcPr/>
          <w:p>
            <w:pPr>
              <w:pStyle w:val="Compact"/>
            </w:pPr>
            <w:r>
              <w:t xml:space="preserve">Peng-Robinson (kubische Zustandsgleichung)</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3</w:t>
            </w:r>
          </w:p>
        </w:tc>
        <w:tc>
          <w:tcPr/>
          <w:p>
            <w:pPr>
              <w:pStyle w:val="Compact"/>
            </w:pPr>
            <w:r>
              <w:t xml:space="preserve">Soave-Redlich-Kwong (SRK, kubische Zustandsgleichung)</w:t>
            </w:r>
          </w:p>
        </w:tc>
        <w:tc>
          <w:tcPr/>
          <w:p>
            <w:pPr>
              <w:pStyle w:val="Compact"/>
            </w:pPr>
            <w:r>
              <w:t xml:space="preserve">thermopack 2.2.3</w:t>
            </w:r>
          </w:p>
        </w:tc>
        <w:tc>
          <w:tcPr/>
          <w:p>
            <w:pPr>
              <w:pStyle w:val="Compact"/>
            </w:pPr>
            <w:r>
              <w:t xml:space="preserve">ja</w:t>
            </w:r>
          </w:p>
        </w:tc>
        <w:tc>
          <w:tcPr/>
          <w:p>
            <w:pPr>
              <w:pStyle w:val="Compact"/>
            </w:pPr>
            <w:r>
              <w:t xml:space="preserve">–</w:t>
            </w:r>
          </w:p>
        </w:tc>
      </w:tr>
    </w:tbl>
    <w:p>
      <w:pPr>
        <w:pStyle w:val="BodyText"/>
      </w:pPr>
      <w:r>
        <w:t xml:space="preserve">Reines CO₂ wurde also gegen</w:t>
      </w:r>
      <w:r>
        <w:t xml:space="preserve"> </w:t>
      </w:r>
      <w:r>
        <w:rPr>
          <w:b/>
          <w:bCs/>
        </w:rPr>
        <w:t xml:space="preserve">drei</w:t>
      </w:r>
      <w:r>
        <w:t xml:space="preserve"> </w:t>
      </w:r>
      <w:r>
        <w:t xml:space="preserve">weitere Modelle verglichen, das Gemisch gegen</w:t>
      </w:r>
      <w:r>
        <w:t xml:space="preserve"> </w:t>
      </w:r>
      <w:r>
        <w:rPr>
          <w:b/>
          <w:bCs/>
        </w:rPr>
        <w:t xml:space="preserve">zwei</w:t>
      </w:r>
      <w:r>
        <w:t xml:space="preserve">. Die Vergleichsmodelle haben unterschiedliche Aufgaben:</w:t>
      </w:r>
    </w:p>
    <w:p>
      <w:pPr>
        <w:pStyle w:val="Compact"/>
        <w:numPr>
          <w:ilvl w:val="0"/>
          <w:numId w:val="1006"/>
        </w:numPr>
      </w:pPr>
      <w:r>
        <w:rPr>
          <w:b/>
          <w:bCs/>
        </w:rPr>
        <w:t xml:space="preserve">GERG-2008 (Original):</w:t>
      </w:r>
      <w:r>
        <w:t xml:space="preserve"> </w:t>
      </w:r>
      <w:r>
        <w:t xml:space="preserve">gleichwertiges Präzisionsmodell mit anderem Datensatz. Die Abweichung zu CoolProp zeigt, ob richtig gerechnet wurde, und beim Gemisch, wie groß die</w:t>
      </w:r>
      <w:r>
        <w:t xml:space="preserve"> </w:t>
      </w:r>
      <w:r>
        <w:rPr>
          <w:b/>
          <w:bCs/>
        </w:rPr>
        <w:t xml:space="preserve">Modellunsicherheit</w:t>
      </w:r>
      <w:r>
        <w:t xml:space="preserve"> </w:t>
      </w:r>
      <w:r>
        <w:t xml:space="preserve">ist.</w:t>
      </w:r>
    </w:p>
    <w:p>
      <w:pPr>
        <w:pStyle w:val="Compact"/>
        <w:numPr>
          <w:ilvl w:val="0"/>
          <w:numId w:val="1006"/>
        </w:numPr>
      </w:pPr>
      <w:r>
        <w:rPr>
          <w:b/>
          <w:bCs/>
        </w:rPr>
        <w:t xml:space="preserve">Peng-Robinson und SRK:</w:t>
      </w:r>
      <w:r>
        <w:t xml:space="preserve"> </w:t>
      </w:r>
      <w:r>
        <w:t xml:space="preserve">einfache, in der Verfahrenstechnik weit verbreitete Gleichungen. Sie zeigen, wie groß der Fehler mit einem einfacheren Modell wäre, und begründen damit die Wahl der Helmholtz-Referenzgleichungen.</w:t>
      </w:r>
    </w:p>
    <w:p>
      <w:pPr>
        <w:pStyle w:val="FirstParagraph"/>
      </w:pPr>
      <w:r>
        <w:t xml:space="preserve">Verglichen wurden: Dampfdruck von reinem CO₂ (−50 bis 30 °C), Dichte an fünf Betriebspunkten, kritischer Punkt, Phasengrenze des Gemischs (kritischer Punkt, Cricondenbar, Blasen- und Taudruck bei 15 °C) sowie die Gemischdichte an den Betriebspunkten. Skript:</w:t>
      </w:r>
      <w:r>
        <w:t xml:space="preserve"> </w:t>
      </w:r>
      <w:r>
        <w:rPr>
          <w:rStyle w:val="VerbatimChar"/>
        </w:rPr>
        <w:t xml:space="preserve">02_validierung_stoffmodelle.py</w:t>
      </w:r>
      <w:r>
        <w:t xml:space="preserve">.</w:t>
      </w:r>
    </w:p>
    <w:p>
      <w:pPr>
        <w:pStyle w:val="BodyText"/>
      </w:pPr>
      <w:r>
        <w:t xml:space="preserve">Zur Einordnung werden zwei Begriffe unterschieden:</w:t>
      </w:r>
    </w:p>
    <w:p>
      <w:pPr>
        <w:pStyle w:val="Compact"/>
        <w:numPr>
          <w:ilvl w:val="0"/>
          <w:numId w:val="1007"/>
        </w:numPr>
      </w:pPr>
      <w:r>
        <w:rPr>
          <w:b/>
          <w:bCs/>
        </w:rPr>
        <w:t xml:space="preserve">Verifikation:</w:t>
      </w:r>
      <w:r>
        <w:t xml:space="preserve"> </w:t>
      </w:r>
      <w:r>
        <w:t xml:space="preserve">Rechnet das Programm die Gleichung richtig? → geprüft durch den Vergleich CoolProp gegen thermopack.</w:t>
      </w:r>
    </w:p>
    <w:p>
      <w:pPr>
        <w:pStyle w:val="Compact"/>
        <w:numPr>
          <w:ilvl w:val="0"/>
          <w:numId w:val="1007"/>
        </w:numPr>
      </w:pPr>
      <w:r>
        <w:rPr>
          <w:b/>
          <w:bCs/>
        </w:rPr>
        <w:t xml:space="preserve">Validierung gegen Messdaten:</w:t>
      </w:r>
      <w:r>
        <w:t xml:space="preserve"> </w:t>
      </w:r>
      <w:r>
        <w:t xml:space="preserve">Beschreibt die Gleichung die Wirklichkeit? → für Span-Wagner und GERG-2008 von den Modellautoren durchgeführt (Unsicherheiten in Kapitel 3 und 9). Ein eigener Vergleich mit Messdaten steht noch aus (Kapitel 11).</w:t>
      </w:r>
    </w:p>
    <w:bookmarkEnd w:id="35"/>
    <w:bookmarkStart w:id="36" w:name="ergebnis-reines-co₂-dampfdruck-in-bar"/>
    <w:p>
      <w:pPr>
        <w:pStyle w:val="Heading2"/>
      </w:pPr>
      <w:r>
        <w:rPr>
          <w:rStyle w:val="SectionNumber"/>
        </w:rPr>
        <w:t xml:space="preserve">8.2</w:t>
      </w:r>
      <w:r>
        <w:tab/>
      </w:r>
      <w:r>
        <w:t xml:space="preserve">Ergebnis reines CO₂: Dampfdruck in bar</w:t>
      </w:r>
    </w:p>
    <w:tbl>
      <w:tblPr>
        <w:tblStyle w:val="Table"/>
        <w:tblW w:type="dxa" w:w="9072"/>
        <w:tblLayout w:type="fixed"/>
        <w:tblLook w:firstRow="1" w:lastRow="0" w:firstColumn="0" w:lastColumn="0" w:noHBand="0" w:noVBand="0" w:val="0020"/>
      </w:tblPr>
      <w:tblGrid>
        <w:gridCol w:w="1114"/>
        <w:gridCol w:w="2133"/>
        <w:gridCol w:w="2133"/>
        <w:gridCol w:w="1870"/>
        <w:gridCol w:w="1819"/>
      </w:tblGrid>
      <w:tr>
        <w:trPr>
          <w:tblHeader w:val="on"/>
        </w:trPr>
        <w:tc>
          <w:tcPr/>
          <w:p>
            <w:pPr>
              <w:pStyle w:val="Compact"/>
            </w:pPr>
            <w:r>
              <w:rPr>
                <w:i/>
                <w:iCs/>
              </w:rPr>
              <w:t xml:space="preserve">T</w:t>
            </w:r>
            <w:r>
              <w:t xml:space="preserve"> </w:t>
            </w:r>
            <w:r>
              <w:t xml:space="preserve">[°C]</w:t>
            </w:r>
          </w:p>
        </w:tc>
        <w:tc>
          <w:tcPr/>
          <w:p>
            <w:pPr>
              <w:pStyle w:val="Compact"/>
            </w:pPr>
            <w:r>
              <w:t xml:space="preserve">CoolProp (Span-Wagner)</w:t>
            </w:r>
          </w:p>
        </w:tc>
        <w:tc>
          <w:tcPr/>
          <w:p>
            <w:pPr>
              <w:pStyle w:val="Compact"/>
            </w:pPr>
            <w:r>
              <w:t xml:space="preserve">GERG-2008 (thermopack)</w:t>
            </w:r>
          </w:p>
        </w:tc>
        <w:tc>
          <w:tcPr/>
          <w:p>
            <w:pPr>
              <w:pStyle w:val="Compact"/>
            </w:pPr>
            <w:r>
              <w:t xml:space="preserve">Peng-Robinson</w:t>
            </w:r>
          </w:p>
        </w:tc>
        <w:tc>
          <w:tcPr/>
          <w:p>
            <w:pPr>
              <w:pStyle w:val="Compact"/>
            </w:pPr>
            <w:r>
              <w:t xml:space="preserve">SRK</w:t>
            </w:r>
          </w:p>
        </w:tc>
      </w:tr>
      <w:tr>
        <w:tc>
          <w:tcPr/>
          <w:p>
            <w:pPr>
              <w:pStyle w:val="Compact"/>
            </w:pPr>
            <w:r>
              <w:t xml:space="preserve">−50</w:t>
            </w:r>
          </w:p>
        </w:tc>
        <w:tc>
          <w:tcPr/>
          <w:p>
            <w:pPr>
              <w:pStyle w:val="Compact"/>
            </w:pPr>
            <w:r>
              <w:t xml:space="preserve">6,823</w:t>
            </w:r>
          </w:p>
        </w:tc>
        <w:tc>
          <w:tcPr/>
          <w:p>
            <w:pPr>
              <w:pStyle w:val="Compact"/>
            </w:pPr>
            <w:r>
              <w:t xml:space="preserve">6,823 (0,00 %)</w:t>
            </w:r>
          </w:p>
        </w:tc>
        <w:tc>
          <w:tcPr/>
          <w:p>
            <w:pPr>
              <w:pStyle w:val="Compact"/>
            </w:pPr>
            <w:r>
              <w:t xml:space="preserve">6,750 (−1,08 %)</w:t>
            </w:r>
          </w:p>
        </w:tc>
        <w:tc>
          <w:tcPr/>
          <w:p>
            <w:pPr>
              <w:pStyle w:val="Compact"/>
            </w:pPr>
            <w:r>
              <w:t xml:space="preserve">6,803 (−0,29 %)</w:t>
            </w:r>
          </w:p>
        </w:tc>
      </w:tr>
      <w:tr>
        <w:tc>
          <w:tcPr/>
          <w:p>
            <w:pPr>
              <w:pStyle w:val="Compact"/>
            </w:pPr>
            <w:r>
              <w:t xml:space="preserve">−20</w:t>
            </w:r>
          </w:p>
        </w:tc>
        <w:tc>
          <w:tcPr/>
          <w:p>
            <w:pPr>
              <w:pStyle w:val="Compact"/>
            </w:pPr>
            <w:r>
              <w:t xml:space="preserve">19,696</w:t>
            </w:r>
          </w:p>
        </w:tc>
        <w:tc>
          <w:tcPr/>
          <w:p>
            <w:pPr>
              <w:pStyle w:val="Compact"/>
            </w:pPr>
            <w:r>
              <w:t xml:space="preserve">19,696 (0,00 %)</w:t>
            </w:r>
          </w:p>
        </w:tc>
        <w:tc>
          <w:tcPr/>
          <w:p>
            <w:pPr>
              <w:pStyle w:val="Compact"/>
            </w:pPr>
            <w:r>
              <w:t xml:space="preserve">19,490 (−1,05 %)</w:t>
            </w:r>
          </w:p>
        </w:tc>
        <w:tc>
          <w:tcPr/>
          <w:p>
            <w:pPr>
              <w:pStyle w:val="Compact"/>
            </w:pPr>
            <w:r>
              <w:t xml:space="preserve">19,746 (+0,25 %)</w:t>
            </w:r>
          </w:p>
        </w:tc>
      </w:tr>
      <w:tr>
        <w:tc>
          <w:tcPr/>
          <w:p>
            <w:pPr>
              <w:pStyle w:val="Compact"/>
            </w:pPr>
            <w:r>
              <w:t xml:space="preserve">0</w:t>
            </w:r>
          </w:p>
        </w:tc>
        <w:tc>
          <w:tcPr/>
          <w:p>
            <w:pPr>
              <w:pStyle w:val="Compact"/>
            </w:pPr>
            <w:r>
              <w:t xml:space="preserve">34,851</w:t>
            </w:r>
          </w:p>
        </w:tc>
        <w:tc>
          <w:tcPr/>
          <w:p>
            <w:pPr>
              <w:pStyle w:val="Compact"/>
            </w:pPr>
            <w:r>
              <w:t xml:space="preserve">34,850 (0,00 %)</w:t>
            </w:r>
          </w:p>
        </w:tc>
        <w:tc>
          <w:tcPr/>
          <w:p>
            <w:pPr>
              <w:pStyle w:val="Compact"/>
            </w:pPr>
            <w:r>
              <w:t xml:space="preserve">34,689 (−0,47 %)</w:t>
            </w:r>
          </w:p>
        </w:tc>
        <w:tc>
          <w:tcPr/>
          <w:p>
            <w:pPr>
              <w:pStyle w:val="Compact"/>
            </w:pPr>
            <w:r>
              <w:t xml:space="preserve">35,074 (+0,64 %)</w:t>
            </w:r>
          </w:p>
        </w:tc>
      </w:tr>
      <w:tr>
        <w:tc>
          <w:tcPr/>
          <w:p>
            <w:pPr>
              <w:pStyle w:val="Compact"/>
            </w:pPr>
            <w:r>
              <w:t xml:space="preserve">15</w:t>
            </w:r>
          </w:p>
        </w:tc>
        <w:tc>
          <w:tcPr/>
          <w:p>
            <w:pPr>
              <w:pStyle w:val="Compact"/>
            </w:pPr>
            <w:r>
              <w:t xml:space="preserve">50,871</w:t>
            </w:r>
          </w:p>
        </w:tc>
        <w:tc>
          <w:tcPr/>
          <w:p>
            <w:pPr>
              <w:pStyle w:val="Compact"/>
            </w:pPr>
            <w:r>
              <w:t xml:space="preserve">50,866 (−0,01 %)</w:t>
            </w:r>
          </w:p>
        </w:tc>
        <w:tc>
          <w:tcPr/>
          <w:p>
            <w:pPr>
              <w:pStyle w:val="Compact"/>
            </w:pPr>
            <w:r>
              <w:t xml:space="preserve">50,855 (−0,03 %)</w:t>
            </w:r>
          </w:p>
        </w:tc>
        <w:tc>
          <w:tcPr/>
          <w:p>
            <w:pPr>
              <w:pStyle w:val="Compact"/>
            </w:pPr>
            <w:r>
              <w:t xml:space="preserve">51,208 (+0,66 %)</w:t>
            </w:r>
          </w:p>
        </w:tc>
      </w:tr>
      <w:tr>
        <w:tc>
          <w:tcPr/>
          <w:p>
            <w:pPr>
              <w:pStyle w:val="Compact"/>
            </w:pPr>
            <w:r>
              <w:t xml:space="preserve">20</w:t>
            </w:r>
          </w:p>
        </w:tc>
        <w:tc>
          <w:tcPr/>
          <w:p>
            <w:pPr>
              <w:pStyle w:val="Compact"/>
            </w:pPr>
            <w:r>
              <w:t xml:space="preserve">57,291</w:t>
            </w:r>
          </w:p>
        </w:tc>
        <w:tc>
          <w:tcPr/>
          <w:p>
            <w:pPr>
              <w:pStyle w:val="Compact"/>
            </w:pPr>
            <w:r>
              <w:t xml:space="preserve">57,283 (−0,01 %)</w:t>
            </w:r>
          </w:p>
        </w:tc>
        <w:tc>
          <w:tcPr/>
          <w:p>
            <w:pPr>
              <w:pStyle w:val="Compact"/>
            </w:pPr>
            <w:r>
              <w:t xml:space="preserve">57,318 (+0,05 %)</w:t>
            </w:r>
          </w:p>
        </w:tc>
        <w:tc>
          <w:tcPr/>
          <w:p>
            <w:pPr>
              <w:pStyle w:val="Compact"/>
            </w:pPr>
            <w:r>
              <w:t xml:space="preserve">57,608 (+0,55 %)</w:t>
            </w:r>
          </w:p>
        </w:tc>
      </w:tr>
      <w:tr>
        <w:tc>
          <w:tcPr/>
          <w:p>
            <w:pPr>
              <w:pStyle w:val="Compact"/>
            </w:pPr>
            <w:r>
              <w:t xml:space="preserve">25</w:t>
            </w:r>
          </w:p>
        </w:tc>
        <w:tc>
          <w:tcPr/>
          <w:p>
            <w:pPr>
              <w:pStyle w:val="Compact"/>
            </w:pPr>
            <w:r>
              <w:t xml:space="preserve">64,342</w:t>
            </w:r>
          </w:p>
        </w:tc>
        <w:tc>
          <w:tcPr/>
          <w:p>
            <w:pPr>
              <w:pStyle w:val="Compact"/>
            </w:pPr>
            <w:r>
              <w:t xml:space="preserve">64,332 (−0,02 %)</w:t>
            </w:r>
          </w:p>
        </w:tc>
        <w:tc>
          <w:tcPr/>
          <w:p>
            <w:pPr>
              <w:pStyle w:val="Compact"/>
            </w:pPr>
            <w:r>
              <w:t xml:space="preserve">64,376 (+0,05 %)</w:t>
            </w:r>
          </w:p>
        </w:tc>
        <w:tc>
          <w:tcPr/>
          <w:p>
            <w:pPr>
              <w:pStyle w:val="Compact"/>
            </w:pPr>
            <w:r>
              <w:t xml:space="preserve">64,565 (+0,35 %)</w:t>
            </w:r>
          </w:p>
        </w:tc>
      </w:tr>
      <w:tr>
        <w:tc>
          <w:tcPr/>
          <w:p>
            <w:pPr>
              <w:pStyle w:val="Compact"/>
            </w:pPr>
            <w:r>
              <w:t xml:space="preserve">30</w:t>
            </w:r>
          </w:p>
        </w:tc>
        <w:tc>
          <w:tcPr/>
          <w:p>
            <w:pPr>
              <w:pStyle w:val="Compact"/>
            </w:pPr>
            <w:r>
              <w:t xml:space="preserve">72,137</w:t>
            </w:r>
          </w:p>
        </w:tc>
        <w:tc>
          <w:tcPr/>
          <w:p>
            <w:pPr>
              <w:pStyle w:val="Compact"/>
            </w:pPr>
            <w:r>
              <w:t xml:space="preserve">72,131 (−0,01 %)</w:t>
            </w:r>
          </w:p>
        </w:tc>
        <w:tc>
          <w:tcPr/>
          <w:p>
            <w:pPr>
              <w:pStyle w:val="Compact"/>
            </w:pPr>
            <w:r>
              <w:t xml:space="preserve">72,066 (−0,10 %)</w:t>
            </w:r>
          </w:p>
        </w:tc>
        <w:tc>
          <w:tcPr/>
          <w:p>
            <w:pPr>
              <w:pStyle w:val="Compact"/>
            </w:pPr>
            <w:r>
              <w:t xml:space="preserve">72,105 (−0,04 %)</w:t>
            </w:r>
          </w:p>
        </w:tc>
      </w:tr>
    </w:tbl>
    <w:bookmarkEnd w:id="36"/>
    <w:bookmarkStart w:id="37" w:name="X27969337894320828b51055190ba3f7a8450257"/>
    <w:p>
      <w:pPr>
        <w:pStyle w:val="Heading2"/>
      </w:pPr>
      <w:r>
        <w:rPr>
          <w:rStyle w:val="SectionNumber"/>
        </w:rPr>
        <w:t xml:space="preserve">8.3</w:t>
      </w:r>
      <w:r>
        <w:tab/>
      </w:r>
      <w:r>
        <w:t xml:space="preserve">Ergebnis reines CO₂: Dichte an den Betriebspunkten in kg/m³</w:t>
      </w:r>
    </w:p>
    <w:tbl>
      <w:tblPr>
        <w:tblStyle w:val="Table"/>
        <w:tblW w:type="dxa" w:w="9072"/>
        <w:tblLayout w:type="fixed"/>
        <w:tblLook w:firstRow="1" w:lastRow="0" w:firstColumn="0" w:lastColumn="0" w:noHBand="0" w:noVBand="0" w:val="0020"/>
      </w:tblPr>
      <w:tblGrid>
        <w:gridCol w:w="1648"/>
        <w:gridCol w:w="1593"/>
        <w:gridCol w:w="1246"/>
        <w:gridCol w:w="1496"/>
        <w:gridCol w:w="1588"/>
        <w:gridCol w:w="1496"/>
      </w:tblGrid>
      <w:tr>
        <w:trPr>
          <w:tblHeader w:val="on"/>
        </w:trPr>
        <w:tc>
          <w:tcPr/>
          <w:p>
            <w:pPr>
              <w:pStyle w:val="Compact"/>
            </w:pPr>
            <w:r>
              <w:t xml:space="preserve">Betriebspunkt</w:t>
            </w:r>
          </w:p>
        </w:tc>
        <w:tc>
          <w:tcPr/>
          <w:p>
            <w:pPr>
              <w:pStyle w:val="Compact"/>
            </w:pPr>
            <w:r>
              <w:rPr>
                <w:i/>
                <w:iCs/>
              </w:rPr>
              <w:t xml:space="preserve">p</w:t>
            </w:r>
            <w:r>
              <w:t xml:space="preserve"> </w:t>
            </w:r>
            <w:r>
              <w:t xml:space="preserve">/</w:t>
            </w:r>
            <w:r>
              <w:t xml:space="preserve"> </w:t>
            </w:r>
            <w:r>
              <w:rPr>
                <w:i/>
                <w:iCs/>
              </w:rPr>
              <w:t xml:space="preserve">T</w:t>
            </w:r>
          </w:p>
        </w:tc>
        <w:tc>
          <w:tcPr/>
          <w:p>
            <w:pPr>
              <w:pStyle w:val="Compact"/>
            </w:pPr>
            <w:r>
              <w:t xml:space="preserve">CoolProp</w:t>
            </w:r>
          </w:p>
        </w:tc>
        <w:tc>
          <w:tcPr/>
          <w:p>
            <w:pPr>
              <w:pStyle w:val="Compact"/>
            </w:pPr>
            <w:r>
              <w:t xml:space="preserve">GERG-2008</w:t>
            </w:r>
          </w:p>
        </w:tc>
        <w:tc>
          <w:tcPr/>
          <w:p>
            <w:pPr>
              <w:pStyle w:val="Compact"/>
            </w:pPr>
            <w:r>
              <w:t xml:space="preserve">Peng-Robinson</w:t>
            </w:r>
          </w:p>
        </w:tc>
        <w:tc>
          <w:tcPr/>
          <w:p>
            <w:pPr>
              <w:pStyle w:val="Compact"/>
            </w:pPr>
            <w:r>
              <w:t xml:space="preserve">SRK</w:t>
            </w:r>
          </w:p>
        </w:tc>
      </w:tr>
      <w:tr>
        <w:tc>
          <w:tcPr/>
          <w:p>
            <w:pPr>
              <w:pStyle w:val="Compact"/>
            </w:pPr>
            <w:r>
              <w:t xml:space="preserve">S1 Netzübergabe</w:t>
            </w:r>
          </w:p>
        </w:tc>
        <w:tc>
          <w:tcPr/>
          <w:p>
            <w:pPr>
              <w:pStyle w:val="Compact"/>
            </w:pPr>
            <w:r>
              <w:t xml:space="preserve">91 bar / 15 °C</w:t>
            </w:r>
          </w:p>
        </w:tc>
        <w:tc>
          <w:tcPr/>
          <w:p>
            <w:pPr>
              <w:pStyle w:val="Compact"/>
            </w:pPr>
            <w:r>
              <w:t xml:space="preserve">881,0</w:t>
            </w:r>
          </w:p>
        </w:tc>
        <w:tc>
          <w:tcPr/>
          <w:p>
            <w:pPr>
              <w:pStyle w:val="Compact"/>
            </w:pPr>
            <w:r>
              <w:t xml:space="preserve">881,1 (+0,01 %)</w:t>
            </w:r>
          </w:p>
        </w:tc>
        <w:tc>
          <w:tcPr/>
          <w:p>
            <w:pPr>
              <w:pStyle w:val="Compact"/>
            </w:pPr>
            <w:r>
              <w:t xml:space="preserve">861,4 (−2,2 %)</w:t>
            </w:r>
          </w:p>
        </w:tc>
        <w:tc>
          <w:tcPr/>
          <w:p>
            <w:pPr>
              <w:pStyle w:val="Compact"/>
            </w:pPr>
            <w:r>
              <w:t xml:space="preserve">767,3 (−12,9 %)</w:t>
            </w:r>
          </w:p>
        </w:tc>
      </w:tr>
      <w:tr>
        <w:tc>
          <w:tcPr/>
          <w:p>
            <w:pPr>
              <w:pStyle w:val="Compact"/>
            </w:pPr>
            <w:r>
              <w:t xml:space="preserve">S2 Netzübergabe</w:t>
            </w:r>
          </w:p>
        </w:tc>
        <w:tc>
          <w:tcPr/>
          <w:p>
            <w:pPr>
              <w:pStyle w:val="Compact"/>
            </w:pPr>
            <w:r>
              <w:t xml:space="preserve">30 bar / 15 °C</w:t>
            </w:r>
          </w:p>
        </w:tc>
        <w:tc>
          <w:tcPr/>
          <w:p>
            <w:pPr>
              <w:pStyle w:val="Compact"/>
            </w:pPr>
            <w:r>
              <w:t xml:space="preserve">68,4</w:t>
            </w:r>
          </w:p>
        </w:tc>
        <w:tc>
          <w:tcPr/>
          <w:p>
            <w:pPr>
              <w:pStyle w:val="Compact"/>
            </w:pPr>
            <w:r>
              <w:t xml:space="preserve">68,4 (−0,01 %)</w:t>
            </w:r>
          </w:p>
        </w:tc>
        <w:tc>
          <w:tcPr/>
          <w:p>
            <w:pPr>
              <w:pStyle w:val="Compact"/>
            </w:pPr>
            <w:r>
              <w:t xml:space="preserve">69,5 (+1,5 %)</w:t>
            </w:r>
          </w:p>
        </w:tc>
        <w:tc>
          <w:tcPr/>
          <w:p>
            <w:pPr>
              <w:pStyle w:val="Compact"/>
            </w:pPr>
            <w:r>
              <w:t xml:space="preserve">68,1 (−0,5 %)</w:t>
            </w:r>
          </w:p>
        </w:tc>
      </w:tr>
      <w:tr>
        <w:tc>
          <w:tcPr/>
          <w:p>
            <w:pPr>
              <w:pStyle w:val="Compact"/>
            </w:pPr>
            <w:r>
              <w:t xml:space="preserve">S2 Kühleraustritt</w:t>
            </w:r>
          </w:p>
        </w:tc>
        <w:tc>
          <w:tcPr/>
          <w:p>
            <w:pPr>
              <w:pStyle w:val="Compact"/>
            </w:pPr>
            <w:r>
              <w:t xml:space="preserve">80 bar / 25 °C</w:t>
            </w:r>
          </w:p>
        </w:tc>
        <w:tc>
          <w:tcPr/>
          <w:p>
            <w:pPr>
              <w:pStyle w:val="Compact"/>
            </w:pPr>
            <w:r>
              <w:t xml:space="preserve">776,6</w:t>
            </w:r>
          </w:p>
        </w:tc>
        <w:tc>
          <w:tcPr/>
          <w:p>
            <w:pPr>
              <w:pStyle w:val="Compact"/>
            </w:pPr>
            <w:r>
              <w:t xml:space="preserve">776,5 (−0,02 %)</w:t>
            </w:r>
          </w:p>
        </w:tc>
        <w:tc>
          <w:tcPr/>
          <w:p>
            <w:pPr>
              <w:pStyle w:val="Compact"/>
            </w:pPr>
            <w:r>
              <w:t xml:space="preserve">720,9 (−7,2 %)</w:t>
            </w:r>
          </w:p>
        </w:tc>
        <w:tc>
          <w:tcPr/>
          <w:p>
            <w:pPr>
              <w:pStyle w:val="Compact"/>
            </w:pPr>
            <w:r>
              <w:t xml:space="preserve">646,7 (−16,7 %)</w:t>
            </w:r>
          </w:p>
        </w:tc>
      </w:tr>
      <w:tr>
        <w:tc>
          <w:tcPr/>
          <w:p>
            <w:pPr>
              <w:pStyle w:val="Compact"/>
            </w:pPr>
            <w:r>
              <w:t xml:space="preserve">Bohrlochkopf</w:t>
            </w:r>
          </w:p>
        </w:tc>
        <w:tc>
          <w:tcPr/>
          <w:p>
            <w:pPr>
              <w:pStyle w:val="Compact"/>
            </w:pPr>
            <w:r>
              <w:t xml:space="preserve">107,6 bar / 20 °C</w:t>
            </w:r>
          </w:p>
        </w:tc>
        <w:tc>
          <w:tcPr/>
          <w:p>
            <w:pPr>
              <w:pStyle w:val="Compact"/>
            </w:pPr>
            <w:r>
              <w:t xml:space="preserve">865,2</w:t>
            </w:r>
          </w:p>
        </w:tc>
        <w:tc>
          <w:tcPr/>
          <w:p>
            <w:pPr>
              <w:pStyle w:val="Compact"/>
            </w:pPr>
            <w:r>
              <w:t xml:space="preserve">865,3 (+0,01 %)</w:t>
            </w:r>
          </w:p>
        </w:tc>
        <w:tc>
          <w:tcPr/>
          <w:p>
            <w:pPr>
              <w:pStyle w:val="Compact"/>
            </w:pPr>
            <w:r>
              <w:t xml:space="preserve">844,3 (−2,4 %)</w:t>
            </w:r>
          </w:p>
        </w:tc>
        <w:tc>
          <w:tcPr/>
          <w:p>
            <w:pPr>
              <w:pStyle w:val="Compact"/>
            </w:pPr>
            <w:r>
              <w:t xml:space="preserve">754,5 (−12,8 %)</w:t>
            </w:r>
          </w:p>
        </w:tc>
      </w:tr>
      <w:tr>
        <w:tc>
          <w:tcPr/>
          <w:p>
            <w:pPr>
              <w:pStyle w:val="Compact"/>
            </w:pPr>
            <w:r>
              <w:t xml:space="preserve">Kaverne max.</w:t>
            </w:r>
          </w:p>
        </w:tc>
        <w:tc>
          <w:tcPr/>
          <w:p>
            <w:pPr>
              <w:pStyle w:val="Compact"/>
            </w:pPr>
            <w:r>
              <w:t xml:space="preserve">210 bar / 50 °C</w:t>
            </w:r>
          </w:p>
        </w:tc>
        <w:tc>
          <w:tcPr/>
          <w:p>
            <w:pPr>
              <w:pStyle w:val="Compact"/>
            </w:pPr>
            <w:r>
              <w:t xml:space="preserve">795,9</w:t>
            </w:r>
          </w:p>
        </w:tc>
        <w:tc>
          <w:tcPr/>
          <w:p>
            <w:pPr>
              <w:pStyle w:val="Compact"/>
            </w:pPr>
            <w:r>
              <w:t xml:space="preserve">795,9 (0,00 %)</w:t>
            </w:r>
          </w:p>
        </w:tc>
        <w:tc>
          <w:tcPr/>
          <w:p>
            <w:pPr>
              <w:pStyle w:val="Compact"/>
            </w:pPr>
            <w:r>
              <w:t xml:space="preserve">778,6 (−2,2 %)</w:t>
            </w:r>
          </w:p>
        </w:tc>
        <w:tc>
          <w:tcPr/>
          <w:p>
            <w:pPr>
              <w:pStyle w:val="Compact"/>
            </w:pPr>
            <w:r>
              <w:t xml:space="preserve">706,5 (−11,2 %)</w:t>
            </w:r>
          </w:p>
        </w:tc>
      </w:tr>
    </w:tbl>
    <w:p>
      <w:pPr>
        <w:pStyle w:val="BodyText"/>
      </w:pPr>
      <w:r>
        <w:t xml:space="preserve">Auch der kritische Punkt stimmt: GERG-2008 (thermopack) liefert 304,1282 K und 7,3773 MPa, identisch mit Span-Wagner.</w:t>
      </w:r>
    </w:p>
    <w:p>
      <w:pPr>
        <w:pStyle w:val="BodyText"/>
      </w:pPr>
      <w:r>
        <w:rPr>
          <w:b/>
          <w:bCs/>
        </w:rPr>
        <w:t xml:space="preserve">Bewertung reines CO₂:</w:t>
      </w:r>
      <w:r>
        <w:t xml:space="preserve"> </w:t>
      </w:r>
      <w:r>
        <w:t xml:space="preserve">CoolProp und das originale GERG-2008 stimmen auf höchstens 0,02 % überein; die Berechnung ist damit verifiziert. Die kubischen Gleichungen liegen in der dichten Phase 2 bis 17 % daneben und wären für die Auslegung (Pumpe, Gassäule, Kavernenkapazität) nicht geeignet.</w:t>
      </w:r>
    </w:p>
    <w:bookmarkEnd w:id="37"/>
    <w:bookmarkStart w:id="41" w:name="ergebnis-gemisch-phasengrenze"/>
    <w:p>
      <w:pPr>
        <w:pStyle w:val="Heading2"/>
      </w:pPr>
      <w:r>
        <w:rPr>
          <w:rStyle w:val="SectionNumber"/>
        </w:rPr>
        <w:t xml:space="preserve">8.4</w:t>
      </w:r>
      <w:r>
        <w:tab/>
      </w:r>
      <w:r>
        <w:t xml:space="preserve">Ergebnis Gemisch: Phasengrenze</w:t>
      </w:r>
    </w:p>
    <w:p>
      <w:pPr>
        <w:pStyle w:val="CaptionedFigure"/>
      </w:pPr>
      <w:r>
        <w:drawing>
          <wp:inline>
            <wp:extent cx="5039999" cy="3677471"/>
            <wp:effectExtent b="0" l="0" r="0" t="0"/>
            <wp:docPr descr="Abbildung 2: Phasengrenze des Worst-Case-Gemischs nach drei Stoffmodellen (Skript 02_validierung_stoffmodelle.py)" title="" id="39" name="Picture"/>
            <a:graphic>
              <a:graphicData uri="http://schemas.openxmlformats.org/drawingml/2006/picture">
                <pic:pic>
                  <pic:nvPicPr>
                    <pic:cNvPr descr="abb_validierung_phasengrenze.png" id="40" name="Picture"/>
                    <pic:cNvPicPr>
                      <a:picLocks noChangeArrowheads="1" noChangeAspect="1"/>
                    </pic:cNvPicPr>
                  </pic:nvPicPr>
                  <pic:blipFill>
                    <a:blip r:embed="rId38"/>
                    <a:stretch>
                      <a:fillRect/>
                    </a:stretch>
                  </pic:blipFill>
                  <pic:spPr bwMode="auto">
                    <a:xfrm>
                      <a:off x="0" y="0"/>
                      <a:ext cx="5039999" cy="3677471"/>
                    </a:xfrm>
                    <a:prstGeom prst="rect">
                      <a:avLst/>
                    </a:prstGeom>
                    <a:noFill/>
                    <a:ln w="9525">
                      <a:noFill/>
                      <a:headEnd/>
                      <a:tailEnd/>
                    </a:ln>
                  </pic:spPr>
                </pic:pic>
              </a:graphicData>
            </a:graphic>
          </wp:inline>
        </w:drawing>
      </w:r>
    </w:p>
    <w:p>
      <w:pPr>
        <w:pStyle w:val="ImageCaption"/>
      </w:pPr>
      <w:r>
        <w:t xml:space="preserve">Abbildung 2: Phasengrenze des Worst-Case-Gemischs nach drei Stoffmodellen (Skript 02_validierung_stoffmodelle.py)</w:t>
      </w:r>
    </w:p>
    <w:tbl>
      <w:tblPr>
        <w:tblStyle w:val="Table"/>
        <w:tblW w:type="dxa" w:w="9072"/>
        <w:tblLayout w:type="fixed"/>
        <w:tblLook w:firstRow="1" w:lastRow="0" w:firstColumn="0" w:lastColumn="0" w:noHBand="0" w:noVBand="0" w:val="0020"/>
      </w:tblPr>
      <w:tblGrid>
        <w:gridCol w:w="2304"/>
        <w:gridCol w:w="1756"/>
        <w:gridCol w:w="1756"/>
        <w:gridCol w:w="1706"/>
        <w:gridCol w:w="1548"/>
      </w:tblGrid>
      <w:tr>
        <w:trPr>
          <w:tblHeader w:val="on"/>
        </w:trPr>
        <w:tc>
          <w:tcPr/>
          <w:p>
            <w:pPr>
              <w:pStyle w:val="Compact"/>
            </w:pPr>
            <w:r>
              <w:t xml:space="preserve">Modell</w:t>
            </w:r>
          </w:p>
        </w:tc>
        <w:tc>
          <w:tcPr/>
          <w:p>
            <w:pPr>
              <w:pStyle w:val="Compact"/>
            </w:pPr>
            <w:r>
              <w:t xml:space="preserve">Kritischer Punkt</w:t>
            </w:r>
          </w:p>
        </w:tc>
        <w:tc>
          <w:tcPr/>
          <w:p>
            <w:pPr>
              <w:pStyle w:val="Compact"/>
            </w:pPr>
            <w:r>
              <w:t xml:space="preserve">Cricondenbar</w:t>
            </w:r>
          </w:p>
        </w:tc>
        <w:tc>
          <w:tcPr/>
          <w:p>
            <w:pPr>
              <w:pStyle w:val="Compact"/>
            </w:pPr>
            <w:r>
              <w:t xml:space="preserve">Blasendruck 15 °C</w:t>
            </w:r>
          </w:p>
        </w:tc>
        <w:tc>
          <w:tcPr/>
          <w:p>
            <w:pPr>
              <w:pStyle w:val="Compact"/>
            </w:pPr>
            <w:r>
              <w:t xml:space="preserve">Taudruck 15 °C</w:t>
            </w:r>
          </w:p>
        </w:tc>
      </w:tr>
      <w:tr>
        <w:tc>
          <w:tcPr/>
          <w:p>
            <w:pPr>
              <w:pStyle w:val="Compact"/>
            </w:pPr>
            <w:r>
              <w:t xml:space="preserve">CoolProp HEOS (Hauptmodell)</w:t>
            </w:r>
          </w:p>
        </w:tc>
        <w:tc>
          <w:tcPr/>
          <w:p>
            <w:pPr>
              <w:pStyle w:val="Compact"/>
            </w:pPr>
            <w:r>
              <w:t xml:space="preserve">28,0 °C / 81,5 bar</w:t>
            </w:r>
          </w:p>
        </w:tc>
        <w:tc>
          <w:tcPr/>
          <w:p>
            <w:pPr>
              <w:pStyle w:val="Compact"/>
            </w:pPr>
            <w:r>
              <w:t xml:space="preserve">27,2 °C / 82,2 bar</w:t>
            </w:r>
          </w:p>
        </w:tc>
        <w:tc>
          <w:tcPr/>
          <w:p>
            <w:pPr>
              <w:pStyle w:val="Compact"/>
            </w:pPr>
            <w:r>
              <w:t xml:space="preserve">71,9 bar</w:t>
            </w:r>
          </w:p>
        </w:tc>
        <w:tc>
          <w:tcPr/>
          <w:p>
            <w:pPr>
              <w:pStyle w:val="Compact"/>
            </w:pPr>
            <w:r>
              <w:t xml:space="preserve">55,7 bar</w:t>
            </w:r>
          </w:p>
        </w:tc>
      </w:tr>
      <w:tr>
        <w:tc>
          <w:tcPr/>
          <w:p>
            <w:pPr>
              <w:pStyle w:val="Compact"/>
            </w:pPr>
            <w:r>
              <w:t xml:space="preserve">GERG-2008 Original (thermopack)</w:t>
            </w:r>
          </w:p>
        </w:tc>
        <w:tc>
          <w:tcPr/>
          <w:p>
            <w:pPr>
              <w:pStyle w:val="Compact"/>
            </w:pPr>
            <w:r>
              <w:t xml:space="preserve">28,4 °C / 82,8 bar</w:t>
            </w:r>
          </w:p>
        </w:tc>
        <w:tc>
          <w:tcPr/>
          <w:p>
            <w:pPr>
              <w:pStyle w:val="Compact"/>
            </w:pPr>
            <w:r>
              <w:t xml:space="preserve">28,0 °C / 83,2 bar</w:t>
            </w:r>
          </w:p>
        </w:tc>
        <w:tc>
          <w:tcPr/>
          <w:p>
            <w:pPr>
              <w:pStyle w:val="Compact"/>
            </w:pPr>
            <w:r>
              <w:t xml:space="preserve">72,3 bar</w:t>
            </w:r>
          </w:p>
        </w:tc>
        <w:tc>
          <w:tcPr/>
          <w:p>
            <w:pPr>
              <w:pStyle w:val="Compact"/>
            </w:pPr>
            <w:r>
              <w:t xml:space="preserve">55,6 bar</w:t>
            </w:r>
          </w:p>
        </w:tc>
      </w:tr>
      <w:tr>
        <w:tc>
          <w:tcPr/>
          <w:p>
            <w:pPr>
              <w:pStyle w:val="Compact"/>
            </w:pPr>
            <w:r>
              <w:t xml:space="preserve">Peng-Robinson (thermopack)</w:t>
            </w:r>
          </w:p>
        </w:tc>
        <w:tc>
          <w:tcPr/>
          <w:p>
            <w:pPr>
              <w:pStyle w:val="Compact"/>
            </w:pPr>
            <w:r>
              <w:t xml:space="preserve">27,7 °C / 80,2 bar</w:t>
            </w:r>
          </w:p>
        </w:tc>
        <w:tc>
          <w:tcPr/>
          <w:p>
            <w:pPr>
              <w:pStyle w:val="Compact"/>
            </w:pPr>
            <w:r>
              <w:t xml:space="preserve">27,5 °C / 80,5 bar</w:t>
            </w:r>
          </w:p>
        </w:tc>
        <w:tc>
          <w:tcPr/>
          <w:p>
            <w:pPr>
              <w:pStyle w:val="Compact"/>
            </w:pPr>
            <w:r>
              <w:t xml:space="preserve">69,9 bar</w:t>
            </w:r>
          </w:p>
        </w:tc>
        <w:tc>
          <w:tcPr/>
          <w:p>
            <w:pPr>
              <w:pStyle w:val="Compact"/>
            </w:pPr>
            <w:r>
              <w:t xml:space="preserve">55,6 bar</w:t>
            </w:r>
          </w:p>
        </w:tc>
      </w:tr>
    </w:tbl>
    <w:bookmarkEnd w:id="41"/>
    <w:bookmarkStart w:id="42" w:name="X9b27e266cd0d562cc0cebf3b05f173f94c933ad"/>
    <w:p>
      <w:pPr>
        <w:pStyle w:val="Heading2"/>
      </w:pPr>
      <w:r>
        <w:rPr>
          <w:rStyle w:val="SectionNumber"/>
        </w:rPr>
        <w:t xml:space="preserve">8.5</w:t>
      </w:r>
      <w:r>
        <w:tab/>
      </w:r>
      <w:r>
        <w:t xml:space="preserve">Ergebnis Gemisch: Dichte an den Betriebspunkten in kg/m³</w:t>
      </w:r>
    </w:p>
    <w:tbl>
      <w:tblPr>
        <w:tblStyle w:val="Table"/>
        <w:tblW w:type="dxa" w:w="9072"/>
        <w:tblLayout w:type="fixed"/>
        <w:tblLook w:firstRow="1" w:lastRow="0" w:firstColumn="0" w:lastColumn="0" w:noHBand="0" w:noVBand="0" w:val="0020"/>
      </w:tblPr>
      <w:tblGrid>
        <w:gridCol w:w="1893"/>
        <w:gridCol w:w="1899"/>
        <w:gridCol w:w="1661"/>
        <w:gridCol w:w="1723"/>
        <w:gridCol w:w="1893"/>
      </w:tblGrid>
      <w:tr>
        <w:trPr>
          <w:tblHeader w:val="on"/>
        </w:trPr>
        <w:tc>
          <w:tcPr/>
          <w:p>
            <w:pPr>
              <w:pStyle w:val="Compact"/>
            </w:pPr>
            <w:r>
              <w:t xml:space="preserve">Betriebspunkt</w:t>
            </w:r>
          </w:p>
        </w:tc>
        <w:tc>
          <w:tcPr/>
          <w:p>
            <w:pPr>
              <w:pStyle w:val="Compact"/>
            </w:pPr>
            <w:r>
              <w:rPr>
                <w:i/>
                <w:iCs/>
              </w:rPr>
              <w:t xml:space="preserve">p</w:t>
            </w:r>
            <w:r>
              <w:t xml:space="preserve"> </w:t>
            </w:r>
            <w:r>
              <w:t xml:space="preserve">/</w:t>
            </w:r>
            <w:r>
              <w:t xml:space="preserve"> </w:t>
            </w:r>
            <w:r>
              <w:rPr>
                <w:i/>
                <w:iCs/>
              </w:rPr>
              <w:t xml:space="preserve">T</w:t>
            </w:r>
          </w:p>
        </w:tc>
        <w:tc>
          <w:tcPr/>
          <w:p>
            <w:pPr>
              <w:pStyle w:val="Compact"/>
            </w:pPr>
            <w:r>
              <w:t xml:space="preserve">CoolProp HEOS</w:t>
            </w:r>
          </w:p>
        </w:tc>
        <w:tc>
          <w:tcPr/>
          <w:p>
            <w:pPr>
              <w:pStyle w:val="Compact"/>
            </w:pPr>
            <w:r>
              <w:t xml:space="preserve">GERG-2008</w:t>
            </w:r>
          </w:p>
        </w:tc>
        <w:tc>
          <w:tcPr/>
          <w:p>
            <w:pPr>
              <w:pStyle w:val="Compact"/>
            </w:pPr>
            <w:r>
              <w:t xml:space="preserve">Peng-Robinson</w:t>
            </w:r>
          </w:p>
        </w:tc>
      </w:tr>
      <w:tr>
        <w:tc>
          <w:tcPr/>
          <w:p>
            <w:pPr>
              <w:pStyle w:val="Compact"/>
            </w:pPr>
            <w:r>
              <w:t xml:space="preserve">S1 Netzübergabe</w:t>
            </w:r>
          </w:p>
        </w:tc>
        <w:tc>
          <w:tcPr/>
          <w:p>
            <w:pPr>
              <w:pStyle w:val="Compact"/>
            </w:pPr>
            <w:r>
              <w:t xml:space="preserve">91 bar / 15 °C</w:t>
            </w:r>
          </w:p>
        </w:tc>
        <w:tc>
          <w:tcPr/>
          <w:p>
            <w:pPr>
              <w:pStyle w:val="Compact"/>
            </w:pPr>
            <w:r>
              <w:t xml:space="preserve">796,8</w:t>
            </w:r>
          </w:p>
        </w:tc>
        <w:tc>
          <w:tcPr/>
          <w:p>
            <w:pPr>
              <w:pStyle w:val="Compact"/>
            </w:pPr>
            <w:r>
              <w:t xml:space="preserve">798,6 (+0,2 %)</w:t>
            </w:r>
          </w:p>
        </w:tc>
        <w:tc>
          <w:tcPr/>
          <w:p>
            <w:pPr>
              <w:pStyle w:val="Compact"/>
            </w:pPr>
            <w:r>
              <w:t xml:space="preserve">775,8 (−2,6 %)</w:t>
            </w:r>
          </w:p>
        </w:tc>
      </w:tr>
      <w:tr>
        <w:tc>
          <w:tcPr/>
          <w:p>
            <w:pPr>
              <w:pStyle w:val="Compact"/>
            </w:pPr>
            <w:r>
              <w:t xml:space="preserve">S2 Netzübergabe</w:t>
            </w:r>
          </w:p>
        </w:tc>
        <w:tc>
          <w:tcPr/>
          <w:p>
            <w:pPr>
              <w:pStyle w:val="Compact"/>
            </w:pPr>
            <w:r>
              <w:t xml:space="preserve">30 bar / 15 °C</w:t>
            </w:r>
          </w:p>
        </w:tc>
        <w:tc>
          <w:tcPr/>
          <w:p>
            <w:pPr>
              <w:pStyle w:val="Compact"/>
            </w:pPr>
            <w:r>
              <w:t xml:space="preserve">65,8</w:t>
            </w:r>
          </w:p>
        </w:tc>
        <w:tc>
          <w:tcPr/>
          <w:p>
            <w:pPr>
              <w:pStyle w:val="Compact"/>
            </w:pPr>
            <w:r>
              <w:t xml:space="preserve">65,7 (−0,1 %)</w:t>
            </w:r>
          </w:p>
        </w:tc>
        <w:tc>
          <w:tcPr/>
          <w:p>
            <w:pPr>
              <w:pStyle w:val="Compact"/>
            </w:pPr>
            <w:r>
              <w:t xml:space="preserve">66,7 (+1,4 %)</w:t>
            </w:r>
          </w:p>
        </w:tc>
      </w:tr>
      <w:tr>
        <w:tc>
          <w:tcPr/>
          <w:p>
            <w:pPr>
              <w:pStyle w:val="Compact"/>
            </w:pPr>
            <w:r>
              <w:t xml:space="preserve">Bohrlochkopf</w:t>
            </w:r>
          </w:p>
        </w:tc>
        <w:tc>
          <w:tcPr/>
          <w:p>
            <w:pPr>
              <w:pStyle w:val="Compact"/>
            </w:pPr>
            <w:r>
              <w:t xml:space="preserve">107,6 bar / 20 °C</w:t>
            </w:r>
          </w:p>
        </w:tc>
        <w:tc>
          <w:tcPr/>
          <w:p>
            <w:pPr>
              <w:pStyle w:val="Compact"/>
            </w:pPr>
            <w:r>
              <w:t xml:space="preserve">782,9</w:t>
            </w:r>
          </w:p>
        </w:tc>
        <w:tc>
          <w:tcPr/>
          <w:p>
            <w:pPr>
              <w:pStyle w:val="Compact"/>
            </w:pPr>
            <w:r>
              <w:t xml:space="preserve">784,6 (+0,2 %)</w:t>
            </w:r>
          </w:p>
        </w:tc>
        <w:tc>
          <w:tcPr/>
          <w:p>
            <w:pPr>
              <w:pStyle w:val="Compact"/>
            </w:pPr>
            <w:r>
              <w:t xml:space="preserve">761,8 (−2,7 %)</w:t>
            </w:r>
          </w:p>
        </w:tc>
      </w:tr>
      <w:tr>
        <w:tc>
          <w:tcPr/>
          <w:p>
            <w:pPr>
              <w:pStyle w:val="Compact"/>
            </w:pPr>
            <w:r>
              <w:t xml:space="preserve">Kaverne max.</w:t>
            </w:r>
          </w:p>
        </w:tc>
        <w:tc>
          <w:tcPr/>
          <w:p>
            <w:pPr>
              <w:pStyle w:val="Compact"/>
            </w:pPr>
            <w:r>
              <w:t xml:space="preserve">210 bar / 50 °C</w:t>
            </w:r>
          </w:p>
        </w:tc>
        <w:tc>
          <w:tcPr/>
          <w:p>
            <w:pPr>
              <w:pStyle w:val="Compact"/>
            </w:pPr>
            <w:r>
              <w:t xml:space="preserve">733,3</w:t>
            </w:r>
          </w:p>
        </w:tc>
        <w:tc>
          <w:tcPr/>
          <w:p>
            <w:pPr>
              <w:pStyle w:val="Compact"/>
            </w:pPr>
            <w:r>
              <w:t xml:space="preserve">734,3 (+0,1 %)</w:t>
            </w:r>
          </w:p>
        </w:tc>
        <w:tc>
          <w:tcPr/>
          <w:p>
            <w:pPr>
              <w:pStyle w:val="Compact"/>
            </w:pPr>
            <w:r>
              <w:t xml:space="preserve">719,6 (−1,9 %)</w:t>
            </w:r>
          </w:p>
        </w:tc>
      </w:tr>
    </w:tbl>
    <w:p>
      <w:pPr>
        <w:pStyle w:val="BodyText"/>
      </w:pPr>
      <w:r>
        <w:t xml:space="preserve">Der S2-Kühleraustritt fehlt, weil er zweiphasig ist und die Gesamtdichte dort vom Dampfanteil abhängt.</w:t>
      </w:r>
    </w:p>
    <w:p>
      <w:pPr>
        <w:pStyle w:val="BodyText"/>
      </w:pPr>
      <w:r>
        <w:rPr>
          <w:b/>
          <w:bCs/>
        </w:rPr>
        <w:t xml:space="preserve">Bewertung Gemisch:</w:t>
      </w:r>
      <w:r>
        <w:t xml:space="preserve"> </w:t>
      </w:r>
      <w:r>
        <w:t xml:space="preserve">Das originale GERG-2008 bestätigt die CoolProp-Phasengrenze auf etwa 1 bar (Cricondenbar 83,2 statt 82,2 bar), die Dichten auf 0,2 %. Peng-Robinson liegt 1 bis 2 bar tiefer. Alle drei Modelle kommen zu denselben Aussagen für die Betriebspunkte. Die beiden Helmholtz-Modelle unterscheiden sich in den Reinstoffgleichungen und in den Paarparametern für CO₂–N₂, CO₂–Ar und CO₂–CO (CoolProp: EOS-CG, thermopack: GERG-2008). Die Abweichung von rund 1 bar ist damit ein Maß für die Modellunsicherheit, kein Programmfehler.</w:t>
      </w:r>
    </w:p>
    <w:bookmarkEnd w:id="42"/>
    <w:bookmarkEnd w:id="43"/>
    <w:bookmarkStart w:id="47" w:name="unsicherheit-der-phasengrenze-3-bar"/>
    <w:p>
      <w:pPr>
        <w:pStyle w:val="Heading1"/>
      </w:pPr>
      <w:r>
        <w:rPr>
          <w:rStyle w:val="SectionNumber"/>
        </w:rPr>
        <w:t xml:space="preserve">9</w:t>
      </w:r>
      <w:r>
        <w:tab/>
      </w:r>
      <w:r>
        <w:t xml:space="preserve">Unsicherheit der Phasengrenze: ± 3 bar</w:t>
      </w:r>
    </w:p>
    <w:p>
      <w:pPr>
        <w:pStyle w:val="FirstParagraph"/>
      </w:pPr>
      <w:r>
        <w:rPr>
          <w:b/>
          <w:bCs/>
        </w:rPr>
        <w:t xml:space="preserve">Für die Phasengrenze des Worst-Case-Gemischs wird eine Unsicherheit von ± 3 bar angesetzt.</w:t>
      </w:r>
      <w:r>
        <w:t xml:space="preserve"> </w:t>
      </w:r>
      <w:r>
        <w:t xml:space="preserve">Ein Betriebspunkt gilt nur dann als sicher ein- oder zweiphasig, wenn er mehr als 3 bar von der berechneten Phasengrenze entfernt ist.</w:t>
      </w:r>
    </w:p>
    <w:bookmarkStart w:id="44" w:name="herleitung"/>
    <w:p>
      <w:pPr>
        <w:pStyle w:val="Heading2"/>
      </w:pPr>
      <w:r>
        <w:rPr>
          <w:rStyle w:val="SectionNumber"/>
        </w:rPr>
        <w:t xml:space="preserve">9.1</w:t>
      </w:r>
      <w:r>
        <w:tab/>
      </w:r>
      <w:r>
        <w:t xml:space="preserve">Herleitung</w:t>
      </w:r>
    </w:p>
    <w:p>
      <w:pPr>
        <w:pStyle w:val="FirstParagraph"/>
      </w:pPr>
      <w:r>
        <w:t xml:space="preserve">Die ± 3 bar sind eine eigene, konservative Abschätzung aus zwei Beiträgen:</w:t>
      </w:r>
    </w:p>
    <w:p>
      <w:pPr>
        <w:pStyle w:val="Compact"/>
        <w:numPr>
          <w:ilvl w:val="0"/>
          <w:numId w:val="1008"/>
        </w:numPr>
      </w:pPr>
      <w:r>
        <w:rPr>
          <w:b/>
          <w:bCs/>
        </w:rPr>
        <w:t xml:space="preserve">Modellstreuung:</w:t>
      </w:r>
      <w:r>
        <w:t xml:space="preserve"> </w:t>
      </w:r>
      <w:r>
        <w:t xml:space="preserve">CoolProp (Hauptmodell) und das originale GERG-2008 liegen an der Cricondenbar 1,0 bar auseinander (Kapitel 8).</w:t>
      </w:r>
    </w:p>
    <w:p>
      <w:pPr>
        <w:pStyle w:val="Compact"/>
        <w:numPr>
          <w:ilvl w:val="0"/>
          <w:numId w:val="1008"/>
        </w:numPr>
      </w:pPr>
      <w:r>
        <w:rPr>
          <w:b/>
          <w:bCs/>
        </w:rPr>
        <w:t xml:space="preserve">Modellfehler gegenüber Messdaten:</w:t>
      </w:r>
      <w:r>
        <w:t xml:space="preserve"> </w:t>
      </w:r>
      <w:r>
        <w:t xml:space="preserve">Für GERG-2008 werden Dampfdrücke mit einer Unsicherheit von 1 bis 3 % angegeben (Kunz &amp; Wagner 2012; Angabe aus der Zusammenfassung, im PDF zu prüfen). Bei rund 80 bar sind das 0,8 bis 2,4 bar.</w:t>
      </w:r>
    </w:p>
    <w:p>
      <w:pPr>
        <w:pStyle w:val="FirstParagraph"/>
      </w:pPr>
      <w:r>
        <w:t xml:space="preserve">Die Summe beider Beiträge im ungünstigsten Fall ergibt 3,4 bar, eine quadratische Addition 2,6 bar. Gerundet werden ± 3 bar angesetzt. Für reines CO₂ ist die Unsicherheit viel kleiner (Dichte ± 0,03 bis ± 0,05 %, Dampfdruck im Vergleich ≤ 0,02 %) und für die Auslegung nicht maßgebend.</w:t>
      </w:r>
    </w:p>
    <w:bookmarkEnd w:id="44"/>
    <w:bookmarkStart w:id="45" w:name="auswirkung-auf-die-betriebspunkte"/>
    <w:p>
      <w:pPr>
        <w:pStyle w:val="Heading2"/>
      </w:pPr>
      <w:r>
        <w:rPr>
          <w:rStyle w:val="SectionNumber"/>
        </w:rPr>
        <w:t xml:space="preserve">9.2</w:t>
      </w:r>
      <w:r>
        <w:tab/>
      </w:r>
      <w:r>
        <w:t xml:space="preserve">Auswirkung auf die Betriebspunkte</w:t>
      </w:r>
    </w:p>
    <w:tbl>
      <w:tblPr>
        <w:tblStyle w:val="Table"/>
        <w:tblW w:type="dxa" w:w="9072"/>
        <w:tblLayout w:type="fixed"/>
        <w:tblLook w:firstRow="1" w:lastRow="0" w:firstColumn="0" w:lastColumn="0" w:noHBand="0" w:noVBand="0" w:val="0020"/>
      </w:tblPr>
      <w:tblGrid>
        <w:gridCol w:w="2135"/>
        <w:gridCol w:w="2705"/>
        <w:gridCol w:w="1576"/>
        <w:gridCol w:w="2654"/>
      </w:tblGrid>
      <w:tr>
        <w:trPr>
          <w:tblHeader w:val="on"/>
        </w:trPr>
        <w:tc>
          <w:tcPr/>
          <w:p>
            <w:pPr>
              <w:pStyle w:val="Compact"/>
            </w:pPr>
            <w:r>
              <w:t xml:space="preserve">Betriebspunkt</w:t>
            </w:r>
          </w:p>
        </w:tc>
        <w:tc>
          <w:tcPr/>
          <w:p>
            <w:pPr>
              <w:pStyle w:val="Compact"/>
            </w:pPr>
            <w:r>
              <w:t xml:space="preserve">Abstand zur Phasengrenze</w:t>
            </w:r>
          </w:p>
        </w:tc>
        <w:tc>
          <w:tcPr/>
          <w:p>
            <w:pPr>
              <w:pStyle w:val="Compact"/>
            </w:pPr>
            <w:r>
              <w:t xml:space="preserve">Innerhalb ± 3 bar?</w:t>
            </w:r>
          </w:p>
        </w:tc>
        <w:tc>
          <w:tcPr/>
          <w:p>
            <w:pPr>
              <w:pStyle w:val="Compact"/>
            </w:pPr>
            <w:r>
              <w:t xml:space="preserve">Aussage</w:t>
            </w:r>
          </w:p>
        </w:tc>
      </w:tr>
      <w:tr>
        <w:tc>
          <w:tcPr/>
          <w:p>
            <w:pPr>
              <w:pStyle w:val="Compact"/>
            </w:pPr>
            <w:r>
              <w:t xml:space="preserve">S1 Netzübergabe, 91 bar / 15 °C</w:t>
            </w:r>
          </w:p>
        </w:tc>
        <w:tc>
          <w:tcPr/>
          <w:p>
            <w:pPr>
              <w:pStyle w:val="Compact"/>
            </w:pPr>
            <w:r>
              <w:t xml:space="preserve">8,8 bar über Cricondenbar, 19 bar über Blasenlinie</w:t>
            </w:r>
          </w:p>
        </w:tc>
        <w:tc>
          <w:tcPr/>
          <w:p>
            <w:pPr>
              <w:pStyle w:val="Compact"/>
            </w:pPr>
            <w:r>
              <w:t xml:space="preserve">nein</w:t>
            </w:r>
          </w:p>
        </w:tc>
        <w:tc>
          <w:tcPr/>
          <w:p>
            <w:pPr>
              <w:pStyle w:val="Compact"/>
            </w:pPr>
            <w:r>
              <w:t xml:space="preserve">sicher einphasig flüssig</w:t>
            </w:r>
          </w:p>
        </w:tc>
      </w:tr>
      <w:tr>
        <w:tc>
          <w:tcPr/>
          <w:p>
            <w:pPr>
              <w:pStyle w:val="Compact"/>
            </w:pPr>
            <w:r>
              <w:t xml:space="preserve">S2 Netzübergabe, 30 bar / 15 °C</w:t>
            </w:r>
          </w:p>
        </w:tc>
        <w:tc>
          <w:tcPr/>
          <w:p>
            <w:pPr>
              <w:pStyle w:val="Compact"/>
            </w:pPr>
            <w:r>
              <w:t xml:space="preserve">26 bar unter Taulinie</w:t>
            </w:r>
          </w:p>
        </w:tc>
        <w:tc>
          <w:tcPr/>
          <w:p>
            <w:pPr>
              <w:pStyle w:val="Compact"/>
            </w:pPr>
            <w:r>
              <w:t xml:space="preserve">nein</w:t>
            </w:r>
          </w:p>
        </w:tc>
        <w:tc>
          <w:tcPr/>
          <w:p>
            <w:pPr>
              <w:pStyle w:val="Compact"/>
            </w:pPr>
            <w:r>
              <w:t xml:space="preserve">sicher gasförmig</w:t>
            </w:r>
          </w:p>
        </w:tc>
      </w:tr>
      <w:tr>
        <w:tc>
          <w:tcPr/>
          <w:p>
            <w:pPr>
              <w:pStyle w:val="Compact"/>
            </w:pPr>
            <w:r>
              <w:t xml:space="preserve">S2 Kühleraustritt, 80 bar / 25 °C</w:t>
            </w:r>
          </w:p>
        </w:tc>
        <w:tc>
          <w:tcPr/>
          <w:p>
            <w:pPr>
              <w:pStyle w:val="Compact"/>
            </w:pPr>
            <w:r>
              <w:t xml:space="preserve">1,1 bar unter Blasenlinie, 2,2 bar unter Cricondenbar</w:t>
            </w:r>
          </w:p>
        </w:tc>
        <w:tc>
          <w:tcPr/>
          <w:p>
            <w:pPr>
              <w:pStyle w:val="Compact"/>
            </w:pPr>
            <w:r>
              <w:rPr>
                <w:b/>
                <w:bCs/>
              </w:rPr>
              <w:t xml:space="preserve">ja</w:t>
            </w:r>
          </w:p>
        </w:tc>
        <w:tc>
          <w:tcPr/>
          <w:p>
            <w:pPr>
              <w:pStyle w:val="Compact"/>
            </w:pPr>
            <w:r>
              <w:t xml:space="preserve">rechnerisch zweiphasig, aber nicht sicher auslegbar</w:t>
            </w:r>
          </w:p>
        </w:tc>
      </w:tr>
    </w:tbl>
    <w:bookmarkEnd w:id="45"/>
    <w:bookmarkStart w:id="46" w:name="konsequenz-für-die-auslegung-s2"/>
    <w:p>
      <w:pPr>
        <w:pStyle w:val="Heading2"/>
      </w:pPr>
      <w:r>
        <w:rPr>
          <w:rStyle w:val="SectionNumber"/>
        </w:rPr>
        <w:t xml:space="preserve">9.3</w:t>
      </w:r>
      <w:r>
        <w:tab/>
      </w:r>
      <w:r>
        <w:t xml:space="preserve">Konsequenz für die Auslegung S2</w:t>
      </w:r>
    </w:p>
    <w:p>
      <w:pPr>
        <w:pStyle w:val="FirstParagraph"/>
      </w:pPr>
      <w:r>
        <w:t xml:space="preserve">Der S2-Kühleraustritt muss so gelegt werden, dass er mindestens 3 bar Abstand zur Phasengrenze hat. Zwei Möglichkeiten:</w:t>
      </w:r>
    </w:p>
    <w:p>
      <w:pPr>
        <w:pStyle w:val="Compact"/>
        <w:numPr>
          <w:ilvl w:val="0"/>
          <w:numId w:val="1009"/>
        </w:numPr>
      </w:pPr>
      <w:r>
        <w:t xml:space="preserve">bei 80 bar auf höchstens 20 °C kühlen (Blasendruck 76,7 bar, 3,3 bar Abstand, Dichte 708 kg/m³), oder</w:t>
      </w:r>
    </w:p>
    <w:p>
      <w:pPr>
        <w:pStyle w:val="Compact"/>
        <w:numPr>
          <w:ilvl w:val="0"/>
          <w:numId w:val="1009"/>
        </w:numPr>
      </w:pPr>
      <w:r>
        <w:t xml:space="preserve">den Druck vor der Pumpe auf mindestens 86 bar anheben (3,8 bar über der Cricondenbar).</w:t>
      </w:r>
    </w:p>
    <w:p>
      <w:pPr>
        <w:pStyle w:val="FirstParagraph"/>
      </w:pPr>
      <w:r>
        <w:t xml:space="preserve">Die Wahl der Option und die Grenze von 3 bar sind Auslegungsentscheidungen und in der Arbeit zu begründen.</w:t>
      </w:r>
    </w:p>
    <w:bookmarkEnd w:id="46"/>
    <w:bookmarkEnd w:id="47"/>
    <w:bookmarkStart w:id="48" w:name="grenzen-des-modells"/>
    <w:p>
      <w:pPr>
        <w:pStyle w:val="Heading1"/>
      </w:pPr>
      <w:r>
        <w:rPr>
          <w:rStyle w:val="SectionNumber"/>
        </w:rPr>
        <w:t xml:space="preserve">10</w:t>
      </w:r>
      <w:r>
        <w:tab/>
      </w:r>
      <w:r>
        <w:t xml:space="preserve">Grenzen des Modells</w:t>
      </w:r>
    </w:p>
    <w:p>
      <w:pPr>
        <w:pStyle w:val="Compact"/>
        <w:numPr>
          <w:ilvl w:val="0"/>
          <w:numId w:val="1010"/>
        </w:numPr>
      </w:pPr>
      <w:r>
        <w:rPr>
          <w:b/>
          <w:bCs/>
        </w:rPr>
        <w:t xml:space="preserve">Kein Feststoff:</w:t>
      </w:r>
      <w:r>
        <w:t xml:space="preserve"> </w:t>
      </w:r>
      <w:r>
        <w:t xml:space="preserve">Die Zustandsgleichungen beschreiben nur Gas und Flüssigkeit. Unterhalb von −56,6 °C (Trockeneis) werden keine Gemischwerte ausgewertet.</w:t>
      </w:r>
    </w:p>
    <w:p>
      <w:pPr>
        <w:pStyle w:val="Compact"/>
        <w:numPr>
          <w:ilvl w:val="0"/>
          <w:numId w:val="1010"/>
        </w:numPr>
      </w:pPr>
      <w:r>
        <w:rPr>
          <w:b/>
          <w:bCs/>
        </w:rPr>
        <w:t xml:space="preserve">Kein Wasser und keine Spurenstoffe:</w:t>
      </w:r>
      <w:r>
        <w:t xml:space="preserve"> </w:t>
      </w:r>
      <w:r>
        <w:t xml:space="preserve">Das Worst-Case-Gemisch enthält kein H₂O, O₂, H₂S, SO</w:t>
      </w:r>
      <w:r>
        <w:rPr>
          <w:vertAlign w:val="subscript"/>
        </w:rPr>
        <w:t xml:space="preserve">x</w:t>
      </w:r>
      <w:r>
        <w:t xml:space="preserve"> </w:t>
      </w:r>
      <w:r>
        <w:t xml:space="preserve">oder NO</w:t>
      </w:r>
      <w:r>
        <w:rPr>
          <w:vertAlign w:val="subscript"/>
        </w:rPr>
        <w:t xml:space="preserve">x</w:t>
      </w:r>
      <w:r>
        <w:t xml:space="preserve">. Freies Wasser, Hydrate und Korrosion lassen sich mit diesem Modell nicht bewerten.</w:t>
      </w:r>
    </w:p>
    <w:p>
      <w:pPr>
        <w:pStyle w:val="Compact"/>
        <w:numPr>
          <w:ilvl w:val="0"/>
          <w:numId w:val="1010"/>
        </w:numPr>
      </w:pPr>
      <w:r>
        <w:rPr>
          <w:b/>
          <w:bCs/>
        </w:rPr>
        <w:t xml:space="preserve">CO₂–H₂ und CO₂–CO ohne Departure-Funktion:</w:t>
      </w:r>
      <w:r>
        <w:t xml:space="preserve"> </w:t>
      </w:r>
      <w:r>
        <w:t xml:space="preserve">am wenigsten genau beschriebene Paare. Neuere CoolProp-Versionen nutzen für H₂-Paare Beckmüller et al. (2021); Ergebnisse können sich dann leicht verschieben.</w:t>
      </w:r>
    </w:p>
    <w:p>
      <w:pPr>
        <w:pStyle w:val="Compact"/>
        <w:numPr>
          <w:ilvl w:val="0"/>
          <w:numId w:val="1010"/>
        </w:numPr>
      </w:pPr>
      <w:r>
        <w:rPr>
          <w:b/>
          <w:bCs/>
        </w:rPr>
        <w:t xml:space="preserve">Tieftemperaturast der Blasenlinie:</w:t>
      </w:r>
      <w:r>
        <w:t xml:space="preserve"> </w:t>
      </w:r>
      <w:r>
        <w:t xml:space="preserve">Unter etwa −30 °C steigt die Blasenlinie wieder an, dort weichen Peng-Robinson und GERG-2008 deutlich voneinander ab. Für die Einspeicherung nicht relevant.</w:t>
      </w:r>
    </w:p>
    <w:p>
      <w:pPr>
        <w:pStyle w:val="Compact"/>
        <w:numPr>
          <w:ilvl w:val="0"/>
          <w:numId w:val="1010"/>
        </w:numPr>
      </w:pPr>
      <w:r>
        <w:rPr>
          <w:b/>
          <w:bCs/>
        </w:rPr>
        <w:t xml:space="preserve">Kritischer Bereich:</w:t>
      </w:r>
      <w:r>
        <w:t xml:space="preserve"> </w:t>
      </w:r>
      <w:r>
        <w:t xml:space="preserve">Nahe dem kritischen Punkt sind alle Zustandsgleichungen am ungenauesten, besonders für die Wärmekapazität (Span-Wagner bis ± 1,5 %). Der S2-Kühleraustritt liegt genau dort, ein weiterer Grund, ihn zu verschieben.</w:t>
      </w:r>
    </w:p>
    <w:p>
      <w:pPr>
        <w:pStyle w:val="Compact"/>
        <w:numPr>
          <w:ilvl w:val="0"/>
          <w:numId w:val="1010"/>
        </w:numPr>
      </w:pPr>
      <w:r>
        <w:rPr>
          <w:b/>
          <w:bCs/>
        </w:rPr>
        <w:t xml:space="preserve">Feste Zusammensetzung:</w:t>
      </w:r>
      <w:r>
        <w:t xml:space="preserve"> </w:t>
      </w:r>
      <w:r>
        <w:t xml:space="preserve">Gerechnet wird ein Worst Case mit genau 5 % Begleitstoffen. Weniger Begleitstoffe verkleinern das Zweiphasengebiet in Richtung reines CO₂.</w:t>
      </w:r>
    </w:p>
    <w:bookmarkEnd w:id="48"/>
    <w:bookmarkStart w:id="49" w:name="offene-punkte"/>
    <w:p>
      <w:pPr>
        <w:pStyle w:val="Heading1"/>
      </w:pPr>
      <w:r>
        <w:rPr>
          <w:rStyle w:val="SectionNumber"/>
        </w:rPr>
        <w:t xml:space="preserve">11</w:t>
      </w:r>
      <w:r>
        <w:tab/>
      </w:r>
      <w:r>
        <w:t xml:space="preserve">Offene Punkte</w:t>
      </w:r>
    </w:p>
    <w:p>
      <w:pPr>
        <w:pStyle w:val="Compact"/>
        <w:numPr>
          <w:ilvl w:val="0"/>
          <w:numId w:val="1011"/>
        </w:numPr>
      </w:pPr>
      <w:r>
        <w:t xml:space="preserve">Unsicherheitsangaben von Span &amp; Wagner (1996) und Kunz &amp; Wagner (2012) im PDF prüfen; sie stammen hier aus den Zusammenfassungen.</w:t>
      </w:r>
    </w:p>
    <w:p>
      <w:pPr>
        <w:pStyle w:val="Compact"/>
        <w:numPr>
          <w:ilvl w:val="0"/>
          <w:numId w:val="1011"/>
        </w:numPr>
      </w:pPr>
      <w:r>
        <w:t xml:space="preserve">Handabgleich mit dem NIST Chemistry WebBook (rechnet CO₂ ebenfalls mit Span-Wagner): Dampfdruck bei 15 °C = 5,0871 MPa, Dichte bei 91 bar / 15 °C = 881,0 kg/m³. Screenshot als Beleg aufheben.</w:t>
      </w:r>
    </w:p>
    <w:p>
      <w:pPr>
        <w:pStyle w:val="Compact"/>
        <w:numPr>
          <w:ilvl w:val="0"/>
          <w:numId w:val="1011"/>
        </w:numPr>
      </w:pPr>
      <w:r>
        <w:t xml:space="preserve">Eigener Vergleich mit Messdaten: Blasen- und Taudrücke der Zweistoffsysteme CO₂ + N₂ und CO₂ + H₂ bei 0 bis 30 °C aus der Literatur gegen CoolProp rechnen.</w:t>
      </w:r>
    </w:p>
    <w:p>
      <w:pPr>
        <w:pStyle w:val="Compact"/>
        <w:numPr>
          <w:ilvl w:val="0"/>
          <w:numId w:val="1011"/>
        </w:numPr>
      </w:pPr>
      <w:r>
        <w:t xml:space="preserve">Belegspalte der Zusammensetzungstabelle vervollständigen.</w:t>
      </w:r>
    </w:p>
    <w:p>
      <w:pPr>
        <w:pStyle w:val="Compact"/>
        <w:numPr>
          <w:ilvl w:val="0"/>
          <w:numId w:val="1011"/>
        </w:numPr>
      </w:pPr>
      <w:r>
        <w:t xml:space="preserve">Mindestabstand von 3 bar mit Uniper abstimmen.</w:t>
      </w:r>
    </w:p>
    <w:bookmarkEnd w:id="49"/>
    <w:bookmarkStart w:id="50" w:name="quellen"/>
    <w:p>
      <w:pPr>
        <w:pStyle w:val="Heading1"/>
      </w:pPr>
      <w:r>
        <w:rPr>
          <w:rStyle w:val="SectionNumber"/>
        </w:rPr>
        <w:t xml:space="preserve">12</w:t>
      </w:r>
      <w:r>
        <w:tab/>
      </w:r>
      <w:r>
        <w:t xml:space="preserve">Quellen</w:t>
      </w:r>
    </w:p>
    <w:p>
      <w:pPr>
        <w:pStyle w:val="FirstParagraph"/>
      </w:pPr>
      <w:r>
        <w:rPr>
          <w:b/>
          <w:bCs/>
        </w:rPr>
        <w:t xml:space="preserve">Software</w:t>
      </w:r>
    </w:p>
    <w:p>
      <w:pPr>
        <w:pStyle w:val="Compact"/>
        <w:numPr>
          <w:ilvl w:val="0"/>
          <w:numId w:val="1012"/>
        </w:numPr>
      </w:pPr>
      <w:r>
        <w:t xml:space="preserve">Bell, I. H.; Wronski, J.; Quoilin, S.; Lemort, V. (2014): Pure and Pseudo-pure Fluid Thermophysical Property Evaluation and the Open-Source Thermophysical Property Library CoolProp. Ind. Eng. Chem. Res. 53 (6), 2498–2508. doi:10.1021/ie4033999</w:t>
      </w:r>
    </w:p>
    <w:p>
      <w:pPr>
        <w:pStyle w:val="Compact"/>
        <w:numPr>
          <w:ilvl w:val="0"/>
          <w:numId w:val="1012"/>
        </w:numPr>
      </w:pPr>
      <w:r>
        <w:t xml:space="preserve">CoolProp-Dokumentation, Abschnitt Mixtures: https://github.com/CoolProp/CoolProp/blob/master/Web/fluid_properties/Mixtures.rst; Literaturdatenbank: https://github.com/CoolProp/CoolProp/blob/master/CoolPropBibTeXLibrary.bib</w:t>
      </w:r>
    </w:p>
    <w:p>
      <w:pPr>
        <w:pStyle w:val="Compact"/>
        <w:numPr>
          <w:ilvl w:val="0"/>
          <w:numId w:val="1012"/>
        </w:numPr>
      </w:pPr>
      <w:r>
        <w:t xml:space="preserve">Wilhelmsen, Ø. et al. (2017): Thermodynamic Modeling with Equations of State: Present Challenges with Established Methods. Ind. Eng. Chem. Res. 56, 3503–3515. doi:10.1021/acs.iecr.7b00317 (Zitiervorgabe für thermopack, https://github.com/thermotools/thermopack)</w:t>
      </w:r>
    </w:p>
    <w:p>
      <w:pPr>
        <w:pStyle w:val="FirstParagraph"/>
      </w:pPr>
      <w:r>
        <w:rPr>
          <w:b/>
          <w:bCs/>
        </w:rPr>
        <w:t xml:space="preserve">Reines CO₂</w:t>
      </w:r>
    </w:p>
    <w:p>
      <w:pPr>
        <w:pStyle w:val="Compact"/>
        <w:numPr>
          <w:ilvl w:val="0"/>
          <w:numId w:val="1013"/>
        </w:numPr>
      </w:pPr>
      <w:r>
        <w:t xml:space="preserve">Span, R.; Wagner, W. (1996): A New Equation of State for Carbon Dioxide Covering the Fluid Region from the Triple-Point Temperature to 1100 K at Pressures up to 800 MPa. J. Phys. Chem. Ref. Data 25, 1509–1596. doi:10.1063/1.555991</w:t>
      </w:r>
    </w:p>
    <w:p>
      <w:pPr>
        <w:pStyle w:val="FirstParagraph"/>
      </w:pPr>
      <w:r>
        <w:rPr>
          <w:b/>
          <w:bCs/>
        </w:rPr>
        <w:t xml:space="preserve">Gemischmodell</w:t>
      </w:r>
    </w:p>
    <w:p>
      <w:pPr>
        <w:pStyle w:val="Compact"/>
        <w:numPr>
          <w:ilvl w:val="0"/>
          <w:numId w:val="1014"/>
        </w:numPr>
      </w:pPr>
      <w:r>
        <w:t xml:space="preserve">Kunz, O.; Wagner, W. (2012): The GERG-2008 Wide-Range Equation of State for Natural Gases and Other Mixtures: An Expansion of GERG-2004. J. Chem. Eng. Data 57, 3032–3091. doi:10.1021/je300655b</w:t>
      </w:r>
    </w:p>
    <w:p>
      <w:pPr>
        <w:pStyle w:val="Compact"/>
        <w:numPr>
          <w:ilvl w:val="0"/>
          <w:numId w:val="1014"/>
        </w:numPr>
      </w:pPr>
      <w:r>
        <w:t xml:space="preserve">Kunz, O.; Klimeck, R.; Wagner, W.; Jaeschke, M. (2007): The GERG-2004 Wide-Range Equation of State for Natural Gases and Other Mixtures. GERG Technical Monograph 15, VDI Verlag, Düsseldorf.</w:t>
      </w:r>
    </w:p>
    <w:p>
      <w:pPr>
        <w:pStyle w:val="Compact"/>
        <w:numPr>
          <w:ilvl w:val="0"/>
          <w:numId w:val="1014"/>
        </w:numPr>
      </w:pPr>
      <w:r>
        <w:t xml:space="preserve">Gernert, G. J. (2013): A New Helmholtz Energy Model for Humid Gases and CCS Mixtures. Dissertation, Ruhr-Universität Bochum.</w:t>
      </w:r>
    </w:p>
    <w:p>
      <w:pPr>
        <w:pStyle w:val="Compact"/>
        <w:numPr>
          <w:ilvl w:val="0"/>
          <w:numId w:val="1014"/>
        </w:numPr>
      </w:pPr>
      <w:r>
        <w:t xml:space="preserve">Gernert, J.; Span, R. (2016): EOS–CG: A Helmholtz energy mixture model for humid gases and CCS mixtures. J. Chem. Thermodyn. 93, 274–293.</w:t>
      </w:r>
    </w:p>
    <w:p>
      <w:pPr>
        <w:pStyle w:val="Compact"/>
        <w:numPr>
          <w:ilvl w:val="0"/>
          <w:numId w:val="1014"/>
        </w:numPr>
      </w:pPr>
      <w:r>
        <w:t xml:space="preserve">Beckmüller, R.; Thol, M.; Bell, I. H.; Lemmon, E. W.; Span, R. (2021): New Equations of State for Binary Hydrogen Mixtures Containing Methane, Nitrogen, Carbon Monoxide, and Carbon Dioxide. J. Phys. Chem. Ref. Data 50, 013102. doi:10.1063/5.0040533</w:t>
      </w:r>
    </w:p>
    <w:p>
      <w:pPr>
        <w:pStyle w:val="FirstParagraph"/>
      </w:pPr>
      <w:r>
        <w:rPr>
          <w:b/>
          <w:bCs/>
        </w:rPr>
        <w:t xml:space="preserve">Reinstoffgleichungen der Begleitstoffe</w:t>
      </w:r>
    </w:p>
    <w:p>
      <w:pPr>
        <w:pStyle w:val="Compact"/>
        <w:numPr>
          <w:ilvl w:val="0"/>
          <w:numId w:val="1015"/>
        </w:numPr>
      </w:pPr>
      <w:r>
        <w:t xml:space="preserve">Span, R.; Lemmon, E. W.; Jacobsen, R. T.; Wagner, W.; Yokozeki, A. (2000): A Reference Equation of State for the Thermodynamic Properties of Nitrogen for Temperatures from 63.151 to 1000 K and Pressures to 2200 MPa. J. Phys. Chem. Ref. Data 29, 1361–1433. doi:10.1063/1.1349047</w:t>
      </w:r>
    </w:p>
    <w:p>
      <w:pPr>
        <w:pStyle w:val="Compact"/>
        <w:numPr>
          <w:ilvl w:val="0"/>
          <w:numId w:val="1015"/>
        </w:numPr>
      </w:pPr>
      <w:r>
        <w:t xml:space="preserve">Tegeler, Ch.; Span, R.; Wagner, W. (1999): A New Equation of State for Argon Covering the Fluid Region for Temperatures From the Melting Line to 700 K at Pressures up to 1000 MPa. J. Phys. Chem. Ref. Data 28, 779–850. doi:10.1063/1.556037</w:t>
      </w:r>
    </w:p>
    <w:p>
      <w:pPr>
        <w:pStyle w:val="Compact"/>
        <w:numPr>
          <w:ilvl w:val="0"/>
          <w:numId w:val="1015"/>
        </w:numPr>
      </w:pPr>
      <w:r>
        <w:t xml:space="preserve">Setzmann, U.; Wagner, W. (1991): A New Equation of State and Tables of Thermodynamic Properties for Methane Covering the Range from the Melting Line to 625 K at Pressures up to 1000 MPa. J. Phys. Chem. Ref. Data 20, 1061–1151. doi:10.1063/1.555898</w:t>
      </w:r>
    </w:p>
    <w:p>
      <w:pPr>
        <w:pStyle w:val="Compact"/>
        <w:numPr>
          <w:ilvl w:val="0"/>
          <w:numId w:val="1015"/>
        </w:numPr>
      </w:pPr>
      <w:r>
        <w:t xml:space="preserve">Leachman, J. W.; Jacobsen, R. T.; Penoncello, S. G.; Lemmon, E. W. (2009): Fundamental Equations of State for Parahydrogen, Normal Hydrogen, and Orthohydrogen. J. Phys. Chem. Ref. Data 38, 721–748. doi:10.1063/1.3160306</w:t>
      </w:r>
    </w:p>
    <w:p>
      <w:pPr>
        <w:pStyle w:val="Compact"/>
        <w:numPr>
          <w:ilvl w:val="0"/>
          <w:numId w:val="1015"/>
        </w:numPr>
      </w:pPr>
      <w:r>
        <w:t xml:space="preserve">Lemmon, E. W.; Span, R. (2006): Short Fundamental Equations of State for 20 Industrial Fluids. J. Chem. Eng. Data 51, 785–850. doi:10.1021/je050186n</w:t>
      </w:r>
    </w:p>
    <w:p>
      <w:pPr>
        <w:pStyle w:val="FirstParagraph"/>
      </w:pPr>
      <w:r>
        <w:rPr>
          <w:b/>
          <w:bCs/>
        </w:rPr>
        <w:t xml:space="preserve">Phasengleichgewicht</w:t>
      </w:r>
    </w:p>
    <w:p>
      <w:pPr>
        <w:pStyle w:val="Compact"/>
        <w:numPr>
          <w:ilvl w:val="0"/>
          <w:numId w:val="1016"/>
        </w:numPr>
      </w:pPr>
      <w:r>
        <w:t xml:space="preserve">Gernert, J.; Jäger, A.; Span, R. (2014): Calculation of phase equilibria for multi-component mixtures using highly accurate Helmholtz energy equations of state. Fluid Phase Equilib. 375, 209–218. doi:10.1016/j.fluid.2014.05.012</w:t>
      </w:r>
    </w:p>
    <w:p>
      <w:pPr>
        <w:pStyle w:val="Compact"/>
        <w:numPr>
          <w:ilvl w:val="0"/>
          <w:numId w:val="1016"/>
        </w:numPr>
      </w:pPr>
      <w:r>
        <w:t xml:space="preserve">Michelsen, M. L. (1982): The isothermal flash problem. Part I. Stability. Fluid Phase Equilib. 9, 1–19. doi:10.1016/0378-3812(82)85001-2</w:t>
      </w:r>
    </w:p>
    <w:bookmarkEnd w:id="50"/>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Stoffmodelle, Phasendiagramme und Validierung</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