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3_teufenoptimierung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rechenweg_teufenfenster.py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macht die Herleitung des Teufenfensters nachvollziehbar und trennt sichtbar, welche Eingabe aus der Quelle stammt und welche eigene Setzung ist.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Untergrenze:  z &gt; (T_krit + 3 K − 10 °C) / 0,03 = 799 m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Obergrenze:   Gradient ρ_Salz·g = 0,2158 bar/m, davon 30 % = 0,0647 bar/m,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 xml:space="preserve">              z &lt; p_krit / 0,0647 = 1139 m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T_OBERFLAECHE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   Annahme der Quelle Q-028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GEO_GRADIENT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0.03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K/m    Annahme der Quelle Q-028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RHO_SALZ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kg/m3  Standardwert Steinsalz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G_ERD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ANTEIL_PMAX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Faustwert, standortabhaengig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ANTEIL_PMIN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     Faustwert, standortabhaengig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MARGE_K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      eigene Wahl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Z_ANNAHME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      bisherige Auslegungsannahme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LILA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#7A4FBF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7A4FBF"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8.55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SPALTEN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(0.2, 2.55, 4.6, 6.65)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8.55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abb_rechenweg_teufenfenster.png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abb_rechenweg_teufenfenster.png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siehe teufenoptimierung.py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rechenweg_teufenfenster.py</w:t>
      </w:r>
    </w:p>
    <w:p>
      <w:pPr>
        <w:spacing w:before="320"/>
      </w:pPr>
      <w:r>
        <w:rPr>
          <w:b/>
          <w:color w:val="0476D9"/>
          <w:sz w:val="28"/>
        </w:rPr>
        <w:t>teufenfenster_herleitung.py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Folienabbildung: Vorgehen, Validierung gegen Q-028 und der Zielkonflikt zwischen Arbeitsgasanteil und Jahresdurchsatz.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Fenstergrenzen live gerechnet; die ratenabhängigen Werte stammen aus teufenoptimierung.py (report_teufe.txt).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F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CO2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BAR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T_OBERFLAECHE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GEO_GRADIENT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0.03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K/m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RHO_SALZ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2200.0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kg/m3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G_ERD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ANTEIL_PMAX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 von lithostatisch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ANTEIL_PMIN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-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MARGE_K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 Sicherheitsabstand zur kritischen Temperatur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Z_GEOMECH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700.0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m, standortabhaengig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Z_ANNAHME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m, bisherige Annahme der Auslegung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TEUFEN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[799, 884, 969, 1054, 1139]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AG_PROZ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[84, 82, 78, 74, 67]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DURCHSATZ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[144, 276, 406, 532, 644]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kt/a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GRENZRATE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[10, 19, 29, 41, 53]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kg/s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9.4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SPALTEN_X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(0.42, 4.2, 6.3, 8.1)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titel(ax, txt)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abb_teufenfenster_herleitung.png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abb_teufenfenster_herleitung.png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siehe teufenoptimierung.py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teufenfenster_herleitung.py</w:t>
      </w:r>
    </w:p>
    <w:p>
      <w:pPr>
        <w:spacing w:before="320"/>
      </w:pPr>
      <w:r>
        <w:rPr>
          <w:b/>
          <w:color w:val="0476D9"/>
          <w:sz w:val="28"/>
        </w:rPr>
        <w:t>teufenoptimierung.py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Leitet das zulässige Teufenfenster ab und untersucht, welche Ausspeicherrate je Teufe zulässig ist.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Schranke 1:  T_Gebirge &gt; T_krit + Marge  →  z &gt; 799 m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Schranke 2:  p_min &lt; p_krit              →  z &lt; 1139 m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Schranke 3:  Geomechanik                 →  z &gt; 700 m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Grenzrate je Teufe: größte Rate, bei der die Kaverne einphasig bleibt.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9.81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rho(p_bar, T_c)</w:t>
      </w:r>
    </w:p>
    <w:p>
      <w:pPr>
        <w:spacing w:after="40"/>
      </w:pPr>
      <w:r>
        <w:rPr>
          <w:rFonts w:ascii="Consolas" w:hAnsi="Consolas"/>
          <w:b/>
          <w:sz w:val="18"/>
        </w:rPr>
        <w:t>bewerte_teufe(z, c)</w:t>
      </w:r>
      <w:r>
        <w:rPr>
          <w:color w:val="4A4A4A"/>
          <w:sz w:val="18"/>
        </w:rPr>
        <w:t xml:space="preserve">   Alle Kennzahlen und Randbedingungen für eine Teufe.</w:t>
      </w:r>
    </w:p>
    <w:p>
      <w:pPr>
        <w:spacing w:after="40"/>
      </w:pPr>
      <w:r>
        <w:rPr>
          <w:rFonts w:ascii="Consolas" w:hAnsi="Consolas"/>
          <w:b/>
          <w:sz w:val="18"/>
        </w:rPr>
        <w:t>optimiere(c, z_von, z_bis, schritt)</w:t>
      </w:r>
    </w:p>
    <w:p>
      <w:pPr>
        <w:spacing w:after="40"/>
      </w:pPr>
      <w:r>
        <w:rPr>
          <w:rFonts w:ascii="Consolas" w:hAnsi="Consolas"/>
          <w:b/>
          <w:sz w:val="18"/>
        </w:rPr>
        <w:t>report(c)</w:t>
      </w:r>
    </w:p>
    <w:p>
      <w:pPr>
        <w:spacing w:after="40"/>
      </w:pPr>
      <w:r>
        <w:rPr>
          <w:rFonts w:ascii="Consolas" w:hAnsi="Consolas"/>
          <w:b/>
          <w:sz w:val="18"/>
        </w:rPr>
        <w:t>abbildung(datei, c)</w:t>
      </w:r>
    </w:p>
    <w:p>
      <w:pPr>
        <w:spacing w:after="40"/>
      </w:pPr>
      <w:r>
        <w:rPr>
          <w:rFonts w:ascii="Consolas" w:hAnsi="Consolas"/>
          <w:b/>
          <w:sz w:val="18"/>
        </w:rPr>
        <w:t>teufenfenster(c)</w:t>
      </w:r>
      <w:r>
        <w:rPr>
          <w:color w:val="4A4A4A"/>
          <w:sz w:val="18"/>
        </w:rPr>
        <w:t xml:space="preserve">   Leitet das zulaessige Teufenfenster aus drei Bedingungen analytisch her.</w:t>
      </w:r>
    </w:p>
    <w:p>
      <w:pPr>
        <w:spacing w:after="40"/>
      </w:pPr>
      <w:r>
        <w:rPr>
          <w:rFonts w:ascii="Consolas" w:hAnsi="Consolas"/>
          <w:b/>
          <w:sz w:val="18"/>
        </w:rPr>
        <w:t>ausspeicherung(z, m_dot, c, dt)</w:t>
      </w:r>
      <w:r>
        <w:rPr>
          <w:color w:val="4A4A4A"/>
          <w:sz w:val="18"/>
        </w:rPr>
        <w:t xml:space="preserve">   Simuliert eine Ausspeicherung von p_max auf p_min bei fester Rate.</w:t>
      </w:r>
    </w:p>
    <w:p>
      <w:pPr>
        <w:spacing w:after="40"/>
      </w:pPr>
      <w:r>
        <w:rPr>
          <w:rFonts w:ascii="Consolas" w:hAnsi="Consolas"/>
          <w:b/>
          <w:sz w:val="18"/>
        </w:rPr>
        <w:t>grenzrate(z, c, lo, hi, it)</w:t>
      </w:r>
      <w:r>
        <w:rPr>
          <w:color w:val="4A4A4A"/>
          <w:sz w:val="18"/>
        </w:rPr>
        <w:t xml:space="preserve">   Hoechste Rate, bei der die Kaverne einphasig bleibt (Bisektion).</w:t>
      </w:r>
    </w:p>
    <w:p>
      <w:pPr>
        <w:spacing w:after="40"/>
      </w:pPr>
      <w:r>
        <w:rPr>
          <w:rFonts w:ascii="Consolas" w:hAnsi="Consolas"/>
          <w:b/>
          <w:sz w:val="18"/>
        </w:rPr>
        <w:t>auslegung(c, teufen)</w:t>
      </w:r>
      <w:r>
        <w:rPr>
          <w:color w:val="4A4A4A"/>
          <w:sz w:val="18"/>
        </w:rPr>
        <w:t xml:space="preserve">   Kombiniert Teufenfenster und Grenzrate zu einer Empfehlung.</w:t>
      </w:r>
    </w:p>
    <w:p>
      <w:pPr>
        <w:spacing w:after="40"/>
      </w:pPr>
      <w:r>
        <w:rPr>
          <w:rFonts w:ascii="Consolas" w:hAnsi="Consolas"/>
          <w:b/>
          <w:sz w:val="18"/>
        </w:rPr>
        <w:t>report_auslegung(c)</w:t>
      </w:r>
    </w:p>
    <w:p>
      <w:pPr>
        <w:spacing w:after="40"/>
      </w:pPr>
      <w:r>
        <w:rPr>
          <w:rFonts w:ascii="Consolas" w:hAnsi="Consolas"/>
          <w:b/>
          <w:sz w:val="18"/>
        </w:rPr>
        <w:t>abbildung_auslegung(datei, c)</w:t>
      </w:r>
      <w:r>
        <w:rPr>
          <w:color w:val="4A4A4A"/>
          <w:sz w:val="18"/>
        </w:rPr>
        <w:t xml:space="preserve">   Zielkonflikt Arbeitsgasanteil vs. Jahresdurchsatz über die Teufe.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zulässiges Teufenfenster 799 – 1139 m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zwei Optima: 799 m mit 84 % Arbeitsgas und 144 kt/a,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             1139 m mit 67 % Arbeitsgas und 644 kt/a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report_teufe.txt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p_max = 80 %, p_min = 30 % des lithostatischen Drucks (Faustwerte)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Sicherheitsmarge 3 K zur kritischen Temperatur (eigene Wahl)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UA = 546 kW/K geht direkt in die Grenzrate ein</w:t>
      </w:r>
    </w:p>
    <w:p>
      <w:pPr>
        <w:spacing w:before="160" w:after="80"/>
      </w:pPr>
      <w:r>
        <w:rPr>
          <w:rFonts w:ascii="Calibri" w:hAnsi="Calibri"/>
          <w:b/>
          <w:i w:val="0"/>
          <w:color w:val="EE7203"/>
          <w:sz w:val="20"/>
        </w:rPr>
        <w:t>⚠  Der Auslegungsdurchsatz von 54,9 kg/s liegt über der höchsten zulässigen Rate im Fenster (53 kg/s bei 1139 m).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teufenoptimierung.py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