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Prozessfließbild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blockfliessbild.py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Blockfließbilder der Übertageanlage für beide Anlieferszenarien.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Darstellung; die Zustandspunkte stammen aus dem Auslegungsmodul.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GAS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#2E7BC4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2E7BC4"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DICHT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#1E8A5F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1E8A5F"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LILA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#6B5FBF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6B5FBF"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UEBER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#D9534F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D9534F"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KAV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#4E9A51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4E9A51"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TXT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#1A1A1A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1A1A1A"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GRAU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#4A4A4A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4A4A4A"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PFEIL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#8A8A8A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8A8A8A"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GAP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Abstand zwischen Karten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karte(ax, x, y, code, badge, titel, zeilen, wert, farbe)</w:t>
      </w:r>
    </w:p>
    <w:p>
      <w:pPr>
        <w:spacing w:after="40"/>
      </w:pPr>
      <w:r>
        <w:rPr>
          <w:rFonts w:ascii="Consolas" w:hAnsi="Consolas"/>
          <w:b/>
          <w:sz w:val="18"/>
        </w:rPr>
        <w:t>pfeil(ax, x, y, dx)</w:t>
      </w:r>
    </w:p>
    <w:p>
      <w:pPr>
        <w:spacing w:after="40"/>
      </w:pPr>
      <w:r>
        <w:rPr>
          <w:rFonts w:ascii="Consolas" w:hAnsi="Consolas"/>
          <w:b/>
          <w:sz w:val="18"/>
        </w:rPr>
        <w:t>band(ax, x0, x1, y, text, farbe)</w:t>
      </w:r>
    </w:p>
    <w:p>
      <w:pPr>
        <w:spacing w:after="40"/>
      </w:pPr>
      <w:r>
        <w:rPr>
          <w:rFonts w:ascii="Consolas" w:hAnsi="Consolas"/>
          <w:b/>
          <w:sz w:val="18"/>
        </w:rPr>
        <w:t>zeichne(datei, titel, untertitel, kopf_ein, ein, baender_ein, kopf_aus, aus, baender_aus, kaverne, fussnoten)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bfb_sz1.png / bfb_sz2.png bzw. bfb_szD.png / bfb_szG.png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Zustandspunkte wie im Auslegungsmodul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blockfliessbild.py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