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480"/>
        <w:jc w:val="center"/>
      </w:pPr>
      <w:r>
        <w:rPr>
          <w:b/>
          <w:bCs/>
          <w:sz w:val="48"/>
          <w:szCs w:val="48"/>
        </w:rPr>
        <w:t xml:space="preserve">GDPR Compliance Statement</w:t>
      </w:r>
    </w:p>
    <w:p>
      <w:pPr>
        <w:spacing w:after="240"/>
        <w:jc w:val="center"/>
      </w:pPr>
      <w:r>
        <w:rPr>
          <w:sz w:val="32"/>
          <w:szCs w:val="32"/>
        </w:rPr>
        <w:t xml:space="preserve">Adiology.io</w:t>
      </w:r>
    </w:p>
    <w:p>
      <w:pPr>
        <w:spacing w:after="720"/>
        <w:jc w:val="center"/>
      </w:pPr>
      <w:r>
        <w:rPr>
          <w:i/>
          <w:iCs/>
        </w:rPr>
        <w:t xml:space="preserve">Effective Date: February 12, 2026</w:t>
      </w:r>
    </w:p>
    <w:p>
      <w:pPr>
        <w:pStyle w:val="Heading1"/>
      </w:pPr>
      <w:r>
        <w:t xml:space="preserve">1. Our Commitment</w:t>
      </w:r>
    </w:p>
    <w:p>
      <w:pPr>
        <w:spacing w:after="240"/>
      </w:pPr>
      <w:r>
        <w:t xml:space="preserve">Adiology.io is committed to compliance with the General Data Protection Regulation (GDPR) for all users in the European Economic Area (EEA).</w:t>
      </w:r>
    </w:p>
    <w:p>
      <w:pPr>
        <w:pStyle w:val="Heading1"/>
      </w:pPr>
      <w:r>
        <w:t xml:space="preserve">2. Legal Basis for Processing</w:t>
      </w:r>
    </w:p>
    <w:p>
      <w:r>
        <w:t xml:space="preserve">We process personal data under:</w:t>
      </w:r>
    </w:p>
    <w:p>
      <w:pPr>
        <w:pStyle w:val="ListParagraph"/>
        <w:numPr>
          <w:ilvl w:val="0"/>
          <w:numId w:val="2"/>
        </w:numPr>
      </w:pPr>
      <w:r>
        <w:t xml:space="preserve">Consent: You have given clear consent</w:t>
      </w:r>
    </w:p>
    <w:p>
      <w:pPr>
        <w:pStyle w:val="ListParagraph"/>
        <w:numPr>
          <w:ilvl w:val="0"/>
          <w:numId w:val="2"/>
        </w:numPr>
      </w:pPr>
      <w:r>
        <w:t xml:space="preserve">Contract: Processing necessary to fulfill service agreement</w:t>
      </w:r>
    </w:p>
    <w:p>
      <w:pPr>
        <w:pStyle w:val="ListParagraph"/>
        <w:numPr>
          <w:ilvl w:val="0"/>
          <w:numId w:val="2"/>
        </w:numPr>
      </w:pPr>
      <w:r>
        <w:t xml:space="preserve">Legal obligation: Required to comply with law</w:t>
      </w:r>
    </w:p>
    <w:p>
      <w:pPr>
        <w:pStyle w:val="ListParagraph"/>
        <w:numPr>
          <w:ilvl w:val="0"/>
          <w:numId w:val="2"/>
        </w:numPr>
      </w:pPr>
      <w:r>
        <w:t xml:space="preserve">Legitimate interests: Fraud prevention, service improvement</w:t>
      </w:r>
    </w:p>
    <w:p>
      <w:pPr>
        <w:pStyle w:val="Heading1"/>
        <w:spacing w:before="240"/>
      </w:pPr>
      <w:r>
        <w:t xml:space="preserve">3. Your GDPR Rights</w:t>
      </w:r>
    </w:p>
    <w:p>
      <w:r>
        <w:t xml:space="preserve">Under GDPR, you have the right to:</w:t>
      </w:r>
    </w:p>
    <w:p>
      <w:pPr>
        <w:pStyle w:val="ListParagraph"/>
        <w:numPr>
          <w:ilvl w:val="0"/>
          <w:numId w:val="2"/>
        </w:numPr>
      </w:pPr>
      <w:r>
        <w:t xml:space="preserve">Access: Request copies of your personal data</w:t>
      </w:r>
    </w:p>
    <w:p>
      <w:pPr>
        <w:pStyle w:val="ListParagraph"/>
        <w:numPr>
          <w:ilvl w:val="0"/>
          <w:numId w:val="2"/>
        </w:numPr>
      </w:pPr>
      <w:r>
        <w:t xml:space="preserve">Rectification: Correct inaccurate data</w:t>
      </w:r>
    </w:p>
    <w:p>
      <w:pPr>
        <w:pStyle w:val="ListParagraph"/>
        <w:numPr>
          <w:ilvl w:val="0"/>
          <w:numId w:val="2"/>
        </w:numPr>
      </w:pPr>
      <w:r>
        <w:t xml:space="preserve">Erasure: Request deletion of your data</w:t>
      </w:r>
    </w:p>
    <w:p>
      <w:pPr>
        <w:pStyle w:val="ListParagraph"/>
        <w:numPr>
          <w:ilvl w:val="0"/>
          <w:numId w:val="2"/>
        </w:numPr>
      </w:pPr>
      <w:r>
        <w:t xml:space="preserve">Restrict Processing: Limit use of your data</w:t>
      </w:r>
    </w:p>
    <w:p>
      <w:pPr>
        <w:pStyle w:val="ListParagraph"/>
        <w:numPr>
          <w:ilvl w:val="0"/>
          <w:numId w:val="2"/>
        </w:numPr>
      </w:pPr>
      <w:r>
        <w:t xml:space="preserve">Data Portability: Receive data in machine-readable format</w:t>
      </w:r>
    </w:p>
    <w:p>
      <w:pPr>
        <w:pStyle w:val="ListParagraph"/>
        <w:numPr>
          <w:ilvl w:val="0"/>
          <w:numId w:val="2"/>
        </w:numPr>
      </w:pPr>
      <w:r>
        <w:t xml:space="preserve">Object: Object to processing based on legitimate interests</w:t>
      </w:r>
    </w:p>
    <w:p>
      <w:pPr>
        <w:pStyle w:val="ListParagraph"/>
        <w:numPr>
          <w:ilvl w:val="0"/>
          <w:numId w:val="2"/>
        </w:numPr>
      </w:pPr>
      <w:r>
        <w:t xml:space="preserve">Withdraw Consent: Withdraw consent at any time</w:t>
      </w:r>
    </w:p>
    <w:p>
      <w:pPr>
        <w:spacing w:before="180" w:after="240"/>
      </w:pPr>
      <w:r>
        <w:t xml:space="preserve">To exercise these rights, contact dpo@adiology.io. We respond within 30 days.</w:t>
      </w:r>
    </w:p>
    <w:p>
      <w:pPr>
        <w:pStyle w:val="Heading1"/>
      </w:pPr>
      <w:r>
        <w:t xml:space="preserve">4. Data Protection Officer</w:t>
      </w:r>
    </w:p>
    <w:p>
      <w:r>
        <w:t xml:space="preserve">Contact our Data Protection Officer:</w:t>
      </w:r>
    </w:p>
    <w:p>
      <w:r>
        <w:t xml:space="preserve">Email: dpo@adiology.io</w:t>
      </w:r>
    </w:p>
    <w:p>
      <w:pPr>
        <w:spacing w:after="240"/>
      </w:pPr>
      <w:r>
        <w:t xml:space="preserve">Address: [Your Business Address]</w:t>
      </w:r>
    </w:p>
    <w:p>
      <w:pPr>
        <w:pStyle w:val="Heading1"/>
      </w:pPr>
      <w:r>
        <w:t xml:space="preserve">5. Data Transfers</w:t>
      </w:r>
    </w:p>
    <w:p>
      <w:pPr>
        <w:spacing w:after="240"/>
      </w:pPr>
      <w:r>
        <w:t xml:space="preserve">We use Standard Contractual Clauses (SCCs) approved by the European Commission for data transfers outside the EEA to ensure adequate protection.</w:t>
      </w:r>
    </w:p>
    <w:p>
      <w:pPr>
        <w:pStyle w:val="Heading1"/>
      </w:pPr>
      <w:r>
        <w:t xml:space="preserve">6. Data Breach Notification</w:t>
      </w:r>
    </w:p>
    <w:p>
      <w:pPr>
        <w:spacing w:after="240"/>
      </w:pPr>
      <w:r>
        <w:t xml:space="preserve">In the event of a data breach, we notify affected users and relevant supervisory authorities within 72 hours as required by GDPR.</w:t>
      </w:r>
    </w:p>
    <w:p>
      <w:pPr>
        <w:pStyle w:val="Heading1"/>
      </w:pPr>
      <w:r>
        <w:t xml:space="preserve">7. Supervisory Authority</w:t>
      </w:r>
    </w:p>
    <w:p>
      <w:pPr>
        <w:spacing w:after="240"/>
      </w:pPr>
      <w:r>
        <w:t xml:space="preserve">You have the right to lodge a complaint with your local data protection authority if you believe we have not complied with GDPR.</w:t>
      </w:r>
    </w:p>
    <w:p>
      <w:pPr>
        <w:pStyle w:val="Heading1"/>
      </w:pPr>
      <w:r>
        <w:t xml:space="preserve">8. Children's Data</w:t>
      </w:r>
    </w:p>
    <w:p>
      <w:pPr>
        <w:spacing w:after="240"/>
      </w:pPr>
      <w:r>
        <w:t xml:space="preserve">We do not knowingly process data of children under 16. If you believe we have collected such data, contact us at dpo@adiology.io for immediate deletion.</w:t>
      </w:r>
    </w:p>
    <w:p>
      <w:pPr>
        <w:pStyle w:val="Heading1"/>
      </w:pPr>
      <w:r>
        <w:t xml:space="preserve">9. Automated Decision-Making</w:t>
      </w:r>
    </w:p>
    <w:p>
      <w:pPr>
        <w:spacing w:after="240"/>
      </w:pPr>
      <w:r>
        <w:t xml:space="preserve">We do not use automated decision-making or profiling that produces legal or similarly significant effects.</w:t>
      </w:r>
    </w:p>
    <w:p>
      <w:pPr>
        <w:pStyle w:val="Heading1"/>
      </w:pPr>
      <w:r>
        <w:t xml:space="preserve">10. Contact</w:t>
      </w:r>
    </w:p>
    <w:p>
      <w:r>
        <w:t xml:space="preserve">For GDPR inquiries:</w:t>
      </w:r>
    </w:p>
    <w:p>
      <w:r>
        <w:t xml:space="preserve">Email: dpo@adiology.io</w:t>
      </w:r>
    </w:p>
    <w:p>
      <w:r>
        <w:t xml:space="preserve">Privacy: privacy@adiology.io</w:t>
      </w:r>
    </w:p>
    <w:p>
      <w:r>
        <w:t xml:space="preserve">Website: https://adiology.io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2026-02-12T19:27:16.576Z</dcterms:created>
  <dcterms:modified xsi:type="dcterms:W3CDTF">2026-02-12T19:27:16.577Z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