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13AE" w14:textId="07B27C4D" w:rsidR="00F66E1F" w:rsidRDefault="00000000">
      <w:pPr>
        <w:pStyle w:val="Heading1"/>
      </w:pPr>
      <w:r>
        <w:t xml:space="preserve">AI-Based Indian Sign Language Recognition: A Review of the </w:t>
      </w:r>
      <w:proofErr w:type="spellStart"/>
      <w:r>
        <w:t>SignFlow</w:t>
      </w:r>
      <w:proofErr w:type="spellEnd"/>
      <w:r>
        <w:t xml:space="preserve"> Framework, Results and Open Challenges</w:t>
      </w:r>
    </w:p>
    <w:p w14:paraId="7F7713AF" w14:textId="77777777" w:rsidR="00F66E1F" w:rsidRDefault="00F66E1F"/>
    <w:p w14:paraId="7F7713B0" w14:textId="77777777" w:rsidR="00F66E1F" w:rsidRDefault="00000000">
      <w:pPr>
        <w:pStyle w:val="Heading2"/>
      </w:pPr>
      <w:r>
        <w:t>Abstract</w:t>
      </w:r>
    </w:p>
    <w:p w14:paraId="7F7713B1" w14:textId="77777777" w:rsidR="00F66E1F" w:rsidRDefault="00000000">
      <w:r>
        <w:t xml:space="preserve">Sign language recognition (SLR) translates visual gestures into text or speech and can narrow the communication gap between signers and non-signers. In India, about 18 million deaf people depend on Indian Sign Language (ISL), yet government, healthcare and digital services rarely support it. </w:t>
      </w:r>
      <w:proofErr w:type="spellStart"/>
      <w:r>
        <w:t>Recognising</w:t>
      </w:r>
      <w:proofErr w:type="spellEnd"/>
      <w:r>
        <w:t xml:space="preserve"> a whole sentence of signs (continuous SLR, or CSLR) is much harder than </w:t>
      </w:r>
      <w:proofErr w:type="spellStart"/>
      <w:r>
        <w:t>recognising</w:t>
      </w:r>
      <w:proofErr w:type="spellEnd"/>
      <w:r>
        <w:t xml:space="preserve"> single signs, and doing so in real time adds constraints of latency, device variation and signer variation. This paper reviews AI-based approaches to continuous ISL recognition and gives a detailed, critical study of </w:t>
      </w:r>
      <w:proofErr w:type="spellStart"/>
      <w:r>
        <w:t>SignFlow</w:t>
      </w:r>
      <w:proofErr w:type="spellEnd"/>
      <w:r>
        <w:t xml:space="preserve">, a real-time CSLR network proposed by Geetha et al. (IEEE Access, 2025). </w:t>
      </w:r>
      <w:proofErr w:type="spellStart"/>
      <w:r>
        <w:t>SignFlow</w:t>
      </w:r>
      <w:proofErr w:type="spellEnd"/>
      <w:r>
        <w:t xml:space="preserve"> combines a mixed-convolution 3D </w:t>
      </w:r>
      <w:proofErr w:type="spellStart"/>
      <w:r>
        <w:t>ResNet</w:t>
      </w:r>
      <w:proofErr w:type="spellEnd"/>
      <w:r>
        <w:t xml:space="preserve"> (MC3_18) for spatial features with an 8-layer Transformer encoder for temporal modelling, trained end to end with Connectionist Temporal Classification (CTC). Both components are pre-trained on ISL data, the CNN on isolated word videos and the Transformer on </w:t>
      </w:r>
      <w:proofErr w:type="spellStart"/>
      <w:r>
        <w:t>MediaPipe</w:t>
      </w:r>
      <w:proofErr w:type="spellEnd"/>
      <w:r>
        <w:t xml:space="preserve"> pose and hand features, and the input pipeline uses alignment correction and similarity-based down-sampling to 6 frames per second. We describe the datasets, architecture, training strategy, metrics (Word Error Rate and the Detection Rate), ablations and deployment results reported for </w:t>
      </w:r>
      <w:proofErr w:type="spellStart"/>
      <w:r>
        <w:t>SignFlow</w:t>
      </w:r>
      <w:proofErr w:type="spellEnd"/>
      <w:r>
        <w:t xml:space="preserve">, including a WER of 19 on the Continuous ISL corpus and a load test of 74 concurrent users on one GPU. We then discuss strengths, weaknesses in the evidence, applications and future research directions. This is a review: all </w:t>
      </w:r>
      <w:proofErr w:type="spellStart"/>
      <w:r>
        <w:t>SignFlow</w:t>
      </w:r>
      <w:proofErr w:type="spellEnd"/>
      <w:r>
        <w:t xml:space="preserve"> results are those reported by its original authors and no new experiments are claimed.</w:t>
      </w:r>
    </w:p>
    <w:p w14:paraId="7F7713B2" w14:textId="77777777" w:rsidR="00F66E1F" w:rsidRDefault="00000000">
      <w:r>
        <w:rPr>
          <w:b/>
        </w:rPr>
        <w:t>Keywords:</w:t>
      </w:r>
      <w:r>
        <w:t xml:space="preserve"> Indian Sign Language, continuous sign language recognition, </w:t>
      </w:r>
      <w:proofErr w:type="spellStart"/>
      <w:r>
        <w:t>SignFlow</w:t>
      </w:r>
      <w:proofErr w:type="spellEnd"/>
      <w:r>
        <w:t xml:space="preserve">, 3D CNN, Transformer, CTC, </w:t>
      </w:r>
      <w:proofErr w:type="spellStart"/>
      <w:r>
        <w:t>MediaPipe</w:t>
      </w:r>
      <w:proofErr w:type="spellEnd"/>
      <w:r>
        <w:t>, real-time recognition, accessibility</w:t>
      </w:r>
    </w:p>
    <w:p w14:paraId="7F7713B3" w14:textId="77777777" w:rsidR="00F66E1F" w:rsidRDefault="00000000">
      <w:pPr>
        <w:pStyle w:val="Heading2"/>
      </w:pPr>
      <w:r>
        <w:t>I. Introduction</w:t>
      </w:r>
    </w:p>
    <w:p w14:paraId="7F7713B4" w14:textId="77777777" w:rsidR="00F66E1F" w:rsidRDefault="00000000">
      <w:r>
        <w:t xml:space="preserve">Sign languages are complete natural languages that carry meaning through hand shape, hand movement, facial expression, head movement and body posture. They have their own vocabulary and grammar and are not word-for-word copies of spoken languages. For deaf communities they are tied to education, social life, culture and identity [1], [2]. Indian Sign Language (ISL) is used by an estimated 18 million deaf people in India. Although ISL is officially </w:t>
      </w:r>
      <w:proofErr w:type="spellStart"/>
      <w:r>
        <w:t>recognised</w:t>
      </w:r>
      <w:proofErr w:type="spellEnd"/>
      <w:r>
        <w:t>, deaf citizens still face barriers in healthcare, education, legal services and welfare schemes, because few officials and service staff know ISL and because most websites, applications and announcements rely on spoken or written language [1].</w:t>
      </w:r>
    </w:p>
    <w:p w14:paraId="7F7713B5" w14:textId="77777777" w:rsidR="00F66E1F" w:rsidRDefault="00000000">
      <w:r>
        <w:t>Sign language recognition (SLR) is the area of artificial intelligence that converts sign gestures into text or speech. It is usually split into two problems [3], [4]:</w:t>
      </w:r>
    </w:p>
    <w:p w14:paraId="7F7713B6" w14:textId="77777777" w:rsidR="00F66E1F" w:rsidRDefault="00000000">
      <w:pPr>
        <w:pStyle w:val="ListParagraph"/>
        <w:numPr>
          <w:ilvl w:val="0"/>
          <w:numId w:val="2"/>
        </w:numPr>
      </w:pPr>
      <w:r>
        <w:rPr>
          <w:b/>
        </w:rPr>
        <w:t>Isolated SLR (ISLR):</w:t>
      </w:r>
      <w:r>
        <w:t xml:space="preserve"> classify a short video of one sign into one word.</w:t>
      </w:r>
    </w:p>
    <w:p w14:paraId="7F7713B7" w14:textId="77777777" w:rsidR="00F66E1F" w:rsidRDefault="00000000">
      <w:pPr>
        <w:pStyle w:val="ListParagraph"/>
        <w:numPr>
          <w:ilvl w:val="0"/>
          <w:numId w:val="2"/>
        </w:numPr>
      </w:pPr>
      <w:r>
        <w:rPr>
          <w:b/>
        </w:rPr>
        <w:t>Continuous SLR (CSLR):</w:t>
      </w:r>
      <w:r>
        <w:t xml:space="preserve"> read a longer video containing many consecutive signs and output the sequence of words (glosses) with no prior segmentation.</w:t>
      </w:r>
    </w:p>
    <w:p w14:paraId="7F7713B8" w14:textId="77777777" w:rsidR="00F66E1F" w:rsidRDefault="00000000">
      <w:r>
        <w:lastRenderedPageBreak/>
        <w:t xml:space="preserve">CSLR is harder because sign boundaries are unmarked, </w:t>
      </w:r>
      <w:proofErr w:type="spellStart"/>
      <w:r>
        <w:t>neighbouring</w:t>
      </w:r>
      <w:proofErr w:type="spellEnd"/>
      <w:r>
        <w:t xml:space="preserve"> signs blend into each other (co-articulation), and signers differ in speed, style, clothing and recording conditions. Frame-level labels are expensive to produce, so training normally relies on weak, sentence-level supervision.</w:t>
      </w:r>
    </w:p>
    <w:p w14:paraId="7F7713B9" w14:textId="77777777" w:rsidR="00F66E1F" w:rsidRDefault="00000000">
      <w:r>
        <w:t xml:space="preserve">Real-time CSLR is harder still. A deployed system must accept videos from phones and laptops with different frame rates and orientations, tolerate signers who are not </w:t>
      </w:r>
      <w:proofErr w:type="spellStart"/>
      <w:r>
        <w:t>centred</w:t>
      </w:r>
      <w:proofErr w:type="spellEnd"/>
      <w:r>
        <w:t xml:space="preserve"> in the frame, and answer quickly enough for a conversation. Many strong CSLR systems encode full RGB videos with heavy networks or fuse several cues, which gives good benchmark accuracy but makes web deployment difficult [1].</w:t>
      </w:r>
    </w:p>
    <w:p w14:paraId="7F7713BA" w14:textId="77777777" w:rsidR="00F66E1F" w:rsidRDefault="00000000">
      <w:r>
        <w:t>This paper makes the following contributions:</w:t>
      </w:r>
    </w:p>
    <w:p w14:paraId="7F7713BB" w14:textId="77777777" w:rsidR="00F66E1F" w:rsidRDefault="00000000">
      <w:pPr>
        <w:pStyle w:val="ListParagraph"/>
        <w:numPr>
          <w:ilvl w:val="0"/>
          <w:numId w:val="3"/>
        </w:numPr>
      </w:pPr>
      <w:r>
        <w:t>It surveys the main families of deep-learning CSLR methods and the datasets used to evaluate them.</w:t>
      </w:r>
    </w:p>
    <w:p w14:paraId="7F7713BC" w14:textId="77777777" w:rsidR="00F66E1F" w:rsidRDefault="00000000">
      <w:pPr>
        <w:pStyle w:val="ListParagraph"/>
        <w:numPr>
          <w:ilvl w:val="0"/>
          <w:numId w:val="3"/>
        </w:numPr>
      </w:pPr>
      <w:r>
        <w:t xml:space="preserve">It gives a structured account of </w:t>
      </w:r>
      <w:proofErr w:type="spellStart"/>
      <w:r>
        <w:t>SignFlow</w:t>
      </w:r>
      <w:proofErr w:type="spellEnd"/>
      <w:r>
        <w:t xml:space="preserve"> [1], the first reported real-time CSLR framework designed specifically for ISL, covering data engineering, pre-training, architecture, training, decoding and metrics.</w:t>
      </w:r>
    </w:p>
    <w:p w14:paraId="7F7713BD" w14:textId="77777777" w:rsidR="00F66E1F" w:rsidRDefault="00000000">
      <w:pPr>
        <w:pStyle w:val="ListParagraph"/>
        <w:numPr>
          <w:ilvl w:val="0"/>
          <w:numId w:val="3"/>
        </w:numPr>
      </w:pPr>
      <w:r>
        <w:t>It consolidates the reported results and ablations and critically examines what the evidence does and does not show.</w:t>
      </w:r>
    </w:p>
    <w:p w14:paraId="7F7713BE" w14:textId="77777777" w:rsidR="00F66E1F" w:rsidRDefault="00000000">
      <w:pPr>
        <w:pStyle w:val="ListParagraph"/>
        <w:numPr>
          <w:ilvl w:val="0"/>
          <w:numId w:val="3"/>
        </w:numPr>
      </w:pPr>
      <w:r>
        <w:t>It identifies applications, limitations and research directions for ISL recognition.</w:t>
      </w:r>
    </w:p>
    <w:p w14:paraId="7F7713BF" w14:textId="77777777" w:rsidR="00F66E1F" w:rsidRDefault="00000000">
      <w:r>
        <w:t xml:space="preserve">Section II gives background, Section III reviews related work, Section IV describes the datasets, Section V presents the </w:t>
      </w:r>
      <w:proofErr w:type="spellStart"/>
      <w:r>
        <w:t>SignFlow</w:t>
      </w:r>
      <w:proofErr w:type="spellEnd"/>
      <w:r>
        <w:t xml:space="preserve"> framework, Section VI covers training and implementation, Section VII reports results, Section VIII </w:t>
      </w:r>
      <w:proofErr w:type="spellStart"/>
      <w:r>
        <w:t>summarises</w:t>
      </w:r>
      <w:proofErr w:type="spellEnd"/>
      <w:r>
        <w:t xml:space="preserve"> ablations, Section IX gives a critical discussion, Section X lists applications, Section XI covers limitations and future directions, and Section XII concludes.</w:t>
      </w:r>
    </w:p>
    <w:p w14:paraId="7F7713C0" w14:textId="77777777" w:rsidR="00F66E1F" w:rsidRDefault="00000000">
      <w:pPr>
        <w:pStyle w:val="Heading2"/>
      </w:pPr>
      <w:r>
        <w:t>II. Background</w:t>
      </w:r>
    </w:p>
    <w:p w14:paraId="7F7713C1" w14:textId="77777777" w:rsidR="00F66E1F" w:rsidRDefault="00000000">
      <w:pPr>
        <w:pStyle w:val="Heading3"/>
      </w:pPr>
      <w:r>
        <w:t>A. Modules of a CSLR system</w:t>
      </w:r>
    </w:p>
    <w:p w14:paraId="7F7713C2" w14:textId="77777777" w:rsidR="00F66E1F" w:rsidRDefault="00000000">
      <w:r>
        <w:t xml:space="preserve">Deep-learning CSLR systems are commonly </w:t>
      </w:r>
      <w:proofErr w:type="spellStart"/>
      <w:r>
        <w:t>organised</w:t>
      </w:r>
      <w:proofErr w:type="spellEnd"/>
      <w:r>
        <w:t xml:space="preserve"> into three modules [1], [4]:</w:t>
      </w:r>
    </w:p>
    <w:p w14:paraId="7F7713C3" w14:textId="77777777" w:rsidR="00F66E1F" w:rsidRDefault="00000000">
      <w:pPr>
        <w:pStyle w:val="ListParagraph"/>
        <w:numPr>
          <w:ilvl w:val="0"/>
          <w:numId w:val="4"/>
        </w:numPr>
      </w:pPr>
      <w:r>
        <w:rPr>
          <w:b/>
        </w:rPr>
        <w:t>Feature extractor (visual module):</w:t>
      </w:r>
      <w:r>
        <w:t xml:space="preserve"> encodes short-term spatial and motion detail. CNNs are the usual choice. 2D CNNs give a frame-wise embedding, whereas 3D CNNs process several frames together and give one embedding per overlapping clip, which captures motion directly.</w:t>
      </w:r>
    </w:p>
    <w:p w14:paraId="7F7713C4" w14:textId="77777777" w:rsidR="00F66E1F" w:rsidRDefault="00000000">
      <w:pPr>
        <w:pStyle w:val="ListParagraph"/>
        <w:numPr>
          <w:ilvl w:val="0"/>
          <w:numId w:val="4"/>
        </w:numPr>
      </w:pPr>
      <w:r>
        <w:rPr>
          <w:b/>
        </w:rPr>
        <w:t>Sequence learner:</w:t>
      </w:r>
      <w:r>
        <w:t xml:space="preserve"> captures long-range context. Earlier systems used LSTM and </w:t>
      </w:r>
      <w:proofErr w:type="spellStart"/>
      <w:r>
        <w:t>BiLSTM</w:t>
      </w:r>
      <w:proofErr w:type="spellEnd"/>
      <w:r>
        <w:t xml:space="preserve"> networks; newer systems use the Transformer [22], whose self-attention models long-range dependencies.</w:t>
      </w:r>
    </w:p>
    <w:p w14:paraId="7F7713C5" w14:textId="77777777" w:rsidR="00F66E1F" w:rsidRDefault="00000000">
      <w:pPr>
        <w:pStyle w:val="ListParagraph"/>
        <w:numPr>
          <w:ilvl w:val="0"/>
          <w:numId w:val="4"/>
        </w:numPr>
      </w:pPr>
      <w:r>
        <w:rPr>
          <w:b/>
        </w:rPr>
        <w:t>Alignment module:</w:t>
      </w:r>
      <w:r>
        <w:t xml:space="preserve"> links video clips to glosses during training. CTC is the standard solution when frame-level labels are absent.</w:t>
      </w:r>
    </w:p>
    <w:p w14:paraId="7F7713C6" w14:textId="77777777" w:rsidR="00F66E1F" w:rsidRDefault="00000000">
      <w:pPr>
        <w:pStyle w:val="Heading3"/>
      </w:pPr>
      <w:r>
        <w:t>B. Connectionist Temporal Classification</w:t>
      </w:r>
    </w:p>
    <w:p w14:paraId="7F7713C7" w14:textId="77777777" w:rsidR="00F66E1F" w:rsidRDefault="00000000">
      <w:r>
        <w:t xml:space="preserve">CTC adds a special </w:t>
      </w:r>
      <w:r>
        <w:rPr>
          <w:i/>
        </w:rPr>
        <w:t>blank</w:t>
      </w:r>
      <w:r>
        <w:t xml:space="preserve"> symbol to the gloss vocabulary and lets the network emit one distribution over glosses and blank at every time step. The probability of a target gloss sequence is the sum over all frame-to-gloss alignments that collapse to it, where collapsing merges repeated predictions and removes blanks. For example, the frame predictions </w:t>
      </w:r>
      <w:r>
        <w:rPr>
          <w:i/>
        </w:rPr>
        <w:t xml:space="preserve">blood, blood, blank, donation, donation, blank, </w:t>
      </w:r>
      <w:r>
        <w:rPr>
          <w:i/>
        </w:rPr>
        <w:lastRenderedPageBreak/>
        <w:t>register, register, how, how</w:t>
      </w:r>
      <w:r>
        <w:t xml:space="preserve"> collapse to </w:t>
      </w:r>
      <w:r>
        <w:rPr>
          <w:i/>
        </w:rPr>
        <w:t>blood donation register how</w:t>
      </w:r>
      <w:r>
        <w:t xml:space="preserve">. Training </w:t>
      </w:r>
      <w:proofErr w:type="spellStart"/>
      <w:r>
        <w:t>maximises</w:t>
      </w:r>
      <w:proofErr w:type="spellEnd"/>
      <w:r>
        <w:t xml:space="preserve"> p(Y|X) for the correct sequence. At inference the goal is</w:t>
      </w:r>
    </w:p>
    <w:p w14:paraId="7F7713C8" w14:textId="77777777" w:rsidR="00F66E1F" w:rsidRDefault="00000000">
      <w:r>
        <w:t xml:space="preserve">Y* = argmax over Y of </w:t>
      </w:r>
      <w:proofErr w:type="gramStart"/>
      <w:r>
        <w:t>p(</w:t>
      </w:r>
      <w:proofErr w:type="gramEnd"/>
      <w:r>
        <w:t>Y | X),</w:t>
      </w:r>
    </w:p>
    <w:p w14:paraId="7F7713C9" w14:textId="77777777" w:rsidR="00F66E1F" w:rsidRDefault="00000000">
      <w:r>
        <w:t>which is approximated by greedy decoding or, more accurately, by beam search with an optional length penalty [26], [27].</w:t>
      </w:r>
    </w:p>
    <w:p w14:paraId="7F7713CA" w14:textId="77777777" w:rsidR="00F66E1F" w:rsidRDefault="00000000">
      <w:pPr>
        <w:pStyle w:val="Heading3"/>
      </w:pPr>
      <w:r>
        <w:t>C. Evaluation</w:t>
      </w:r>
    </w:p>
    <w:p w14:paraId="7F7713CB" w14:textId="77777777" w:rsidR="00F66E1F" w:rsidRDefault="00000000">
      <w:r>
        <w:t>CSLR is evaluated by the Word Error Rate (WER) [23]:</w:t>
      </w:r>
    </w:p>
    <w:p w14:paraId="7F7713CC" w14:textId="77777777" w:rsidR="00F66E1F" w:rsidRDefault="00000000">
      <w:r>
        <w:t>WER = (insertions + deletions + substitutions) / (number of words in the reference).</w:t>
      </w:r>
    </w:p>
    <w:p w14:paraId="7F7713CD" w14:textId="77777777" w:rsidR="00F66E1F" w:rsidRDefault="00000000">
      <w:r>
        <w:t>Lower is better. WER is order-sensitive and treats every word equally, which is not always what an application needs; Section VII discusses a complementary metric.</w:t>
      </w:r>
    </w:p>
    <w:p w14:paraId="7F7713CE" w14:textId="77777777" w:rsidR="00F66E1F" w:rsidRDefault="00000000">
      <w:pPr>
        <w:pStyle w:val="Heading2"/>
      </w:pPr>
      <w:r>
        <w:t>III. Related Work</w:t>
      </w:r>
    </w:p>
    <w:p w14:paraId="7F7713CF" w14:textId="77777777" w:rsidR="00F66E1F" w:rsidRDefault="00000000">
      <w:pPr>
        <w:pStyle w:val="Heading3"/>
      </w:pPr>
      <w:r>
        <w:t>A. Feature extraction and sequence learning</w:t>
      </w:r>
    </w:p>
    <w:p w14:paraId="7F7713D0" w14:textId="77777777" w:rsidR="00F66E1F" w:rsidRDefault="00000000">
      <w:r>
        <w:t xml:space="preserve">Zhu et al. [5] proposed </w:t>
      </w:r>
      <w:proofErr w:type="spellStart"/>
      <w:r>
        <w:t>MSTNet</w:t>
      </w:r>
      <w:proofErr w:type="spellEnd"/>
      <w:r>
        <w:t xml:space="preserve">, which combines a multi-scale temporal block with Transformers to improve temporal feature extraction without prior knowledge. Hu et al. [6] proposed </w:t>
      </w:r>
      <w:proofErr w:type="spellStart"/>
      <w:r>
        <w:t>AdaSize</w:t>
      </w:r>
      <w:proofErr w:type="spellEnd"/>
      <w:r>
        <w:t xml:space="preserve">, which cuts spatial redundancy by adjusting frame resolution dynamically through a recurrent policy network, lowering computation and memory while keeping state-of-the-art accuracy. Zuo and Mak [7] used feature disentanglement to remove signer-specific information from the backbone, giving a signer-independent </w:t>
      </w:r>
      <w:proofErr w:type="spellStart"/>
      <w:r>
        <w:t>recogniser</w:t>
      </w:r>
      <w:proofErr w:type="spellEnd"/>
      <w:r>
        <w:t>.</w:t>
      </w:r>
    </w:p>
    <w:p w14:paraId="7F7713D1" w14:textId="77777777" w:rsidR="00F66E1F" w:rsidRDefault="00000000">
      <w:pPr>
        <w:pStyle w:val="Heading3"/>
      </w:pPr>
      <w:r>
        <w:t>B. State-of-the-art architectures</w:t>
      </w:r>
    </w:p>
    <w:p w14:paraId="7F7713D2" w14:textId="77777777" w:rsidR="00F66E1F" w:rsidRDefault="00000000">
      <w:r>
        <w:t xml:space="preserve">The strongest reported results come from </w:t>
      </w:r>
      <w:proofErr w:type="spellStart"/>
      <w:r>
        <w:t>ConSignformer</w:t>
      </w:r>
      <w:proofErr w:type="spellEnd"/>
      <w:r>
        <w:t xml:space="preserve"> [8], which combines a Conformer (a Transformer variant) with an S3D CNN and was designed with practical use in mind. TwoStream-SLT [9] reduced WER with multiple auxiliary losses and Spatial Pyramid Networks and reused the pre-training strategy of its SingleStream predecessor [10], but it lacks a Transformer backbone, which may hurt on long sequences. Multi-cue networks that fuse hands, face and body streams [11]</w:t>
      </w:r>
      <w:proofErr w:type="gramStart"/>
      <w:r>
        <w:t>–[</w:t>
      </w:r>
      <w:proofErr w:type="gramEnd"/>
      <w:r>
        <w:t>14] improve accuracy but add complexity and sensitivity to noisy data. A more efficient direction is single-cue modelling with cross-modal alignment: CVT-SLR [15] uses a variational auto-encoder for sequence learning, and SMKD [16] uses a 2D CNN–</w:t>
      </w:r>
      <w:proofErr w:type="spellStart"/>
      <w:r>
        <w:t>BiLSTM</w:t>
      </w:r>
      <w:proofErr w:type="spellEnd"/>
      <w:r>
        <w:t xml:space="preserve">–CTC network with a three-stage </w:t>
      </w:r>
      <w:proofErr w:type="spellStart"/>
      <w:r>
        <w:t>optimisation</w:t>
      </w:r>
      <w:proofErr w:type="spellEnd"/>
      <w:r>
        <w:t xml:space="preserve"> strategy.</w:t>
      </w:r>
    </w:p>
    <w:p w14:paraId="7F7713D3" w14:textId="77777777" w:rsidR="00F66E1F" w:rsidRDefault="00000000">
      <w:pPr>
        <w:pStyle w:val="Heading3"/>
      </w:pPr>
      <w:r>
        <w:t>C. Training strategies and alignment</w:t>
      </w:r>
    </w:p>
    <w:p w14:paraId="7F7713D4" w14:textId="77777777" w:rsidR="00F66E1F" w:rsidRDefault="00000000">
      <w:r>
        <w:t xml:space="preserve">Staged </w:t>
      </w:r>
      <w:proofErr w:type="spellStart"/>
      <w:r>
        <w:t>optimisation</w:t>
      </w:r>
      <w:proofErr w:type="spellEnd"/>
      <w:r>
        <w:t xml:space="preserve"> [17] and iterative training [18], [19] strengthen the feature extractor and reduce overfitting. The Visual Alignment Constraint of Min et al. [20] adds alignment supervision to the visual module. All of these rely on CTC to learn alignments. The authors of </w:t>
      </w:r>
      <w:proofErr w:type="spellStart"/>
      <w:r>
        <w:t>SignFlow</w:t>
      </w:r>
      <w:proofErr w:type="spellEnd"/>
      <w:r>
        <w:t xml:space="preserve"> also examined absolute and relative positional encodings for Transformers in sign recognition and translation in earlier work [21].</w:t>
      </w:r>
    </w:p>
    <w:p w14:paraId="7F7713D5" w14:textId="77777777" w:rsidR="00F66E1F" w:rsidRDefault="00000000">
      <w:pPr>
        <w:pStyle w:val="Heading3"/>
      </w:pPr>
      <w:r>
        <w:lastRenderedPageBreak/>
        <w:t>D. Research gap</w:t>
      </w:r>
    </w:p>
    <w:p w14:paraId="7F7713D6" w14:textId="77777777" w:rsidR="00F66E1F" w:rsidRDefault="00000000">
      <w:r>
        <w:t>The literature shows that (</w:t>
      </w:r>
      <w:proofErr w:type="spellStart"/>
      <w:r>
        <w:t>i</w:t>
      </w:r>
      <w:proofErr w:type="spellEnd"/>
      <w:r>
        <w:t xml:space="preserve">) strong systems target German benchmark data, (ii) many are heavy or multi-cue and not meant for real-time web deployment, (iii) pre-training is mostly on general action-recognition data rather than sign data, and (iv) practical issues such as variable frame rates and </w:t>
      </w:r>
      <w:proofErr w:type="spellStart"/>
      <w:r>
        <w:t>off-centre</w:t>
      </w:r>
      <w:proofErr w:type="spellEnd"/>
      <w:r>
        <w:t xml:space="preserve"> signers are rarely handled. </w:t>
      </w:r>
      <w:proofErr w:type="spellStart"/>
      <w:r>
        <w:t>SignFlow</w:t>
      </w:r>
      <w:proofErr w:type="spellEnd"/>
      <w:r>
        <w:t xml:space="preserve"> was designed to address these gaps for ISL.</w:t>
      </w:r>
    </w:p>
    <w:p w14:paraId="7F7713D7" w14:textId="77777777" w:rsidR="00F66E1F" w:rsidRDefault="00000000">
      <w:r>
        <w:rPr>
          <w:b/>
        </w:rPr>
        <w:t>Table I. Summary of related approaches discussed in [1]</w:t>
      </w:r>
    </w:p>
    <w:tbl>
      <w:tblPr>
        <w:tblStyle w:val="TableGrid"/>
        <w:tblW w:w="0" w:type="auto"/>
        <w:tblLayout w:type="fixed"/>
        <w:tblLook w:val="0420" w:firstRow="1" w:lastRow="0" w:firstColumn="0" w:lastColumn="0" w:noHBand="0" w:noVBand="1"/>
      </w:tblPr>
      <w:tblGrid>
        <w:gridCol w:w="1785"/>
        <w:gridCol w:w="3703"/>
        <w:gridCol w:w="3872"/>
      </w:tblGrid>
      <w:tr w:rsidR="00F66E1F" w14:paraId="7F7713DB" w14:textId="77777777">
        <w:trPr>
          <w:tblHeader/>
        </w:trPr>
        <w:tc>
          <w:tcPr>
            <w:tcW w:w="1785" w:type="dxa"/>
            <w:shd w:val="clear" w:color="auto" w:fill="F2F2F2"/>
          </w:tcPr>
          <w:p w14:paraId="7F7713D8" w14:textId="77777777" w:rsidR="00F66E1F" w:rsidRDefault="00000000">
            <w:r>
              <w:t>Work</w:t>
            </w:r>
          </w:p>
        </w:tc>
        <w:tc>
          <w:tcPr>
            <w:tcW w:w="3703" w:type="dxa"/>
            <w:shd w:val="clear" w:color="auto" w:fill="F2F2F2"/>
          </w:tcPr>
          <w:p w14:paraId="7F7713D9" w14:textId="77777777" w:rsidR="00F66E1F" w:rsidRDefault="00000000">
            <w:r>
              <w:t>Main idea</w:t>
            </w:r>
          </w:p>
        </w:tc>
        <w:tc>
          <w:tcPr>
            <w:tcW w:w="3872" w:type="dxa"/>
            <w:shd w:val="clear" w:color="auto" w:fill="F2F2F2"/>
          </w:tcPr>
          <w:p w14:paraId="7F7713DA" w14:textId="77777777" w:rsidR="00F66E1F" w:rsidRDefault="00000000">
            <w:r>
              <w:t>Observation</w:t>
            </w:r>
          </w:p>
        </w:tc>
      </w:tr>
      <w:tr w:rsidR="00F66E1F" w14:paraId="7F7713DF" w14:textId="77777777">
        <w:tc>
          <w:tcPr>
            <w:tcW w:w="1785" w:type="dxa"/>
          </w:tcPr>
          <w:p w14:paraId="7F7713DC" w14:textId="77777777" w:rsidR="00F66E1F" w:rsidRDefault="00000000">
            <w:proofErr w:type="spellStart"/>
            <w:r>
              <w:t>MSTNet</w:t>
            </w:r>
            <w:proofErr w:type="spellEnd"/>
            <w:r>
              <w:t xml:space="preserve"> [5]</w:t>
            </w:r>
          </w:p>
        </w:tc>
        <w:tc>
          <w:tcPr>
            <w:tcW w:w="3703" w:type="dxa"/>
          </w:tcPr>
          <w:p w14:paraId="7F7713DD" w14:textId="77777777" w:rsidR="00F66E1F" w:rsidRDefault="00000000">
            <w:r>
              <w:t>Multi-scale temporal block + Transformer</w:t>
            </w:r>
          </w:p>
        </w:tc>
        <w:tc>
          <w:tcPr>
            <w:tcW w:w="3872" w:type="dxa"/>
          </w:tcPr>
          <w:p w14:paraId="7F7713DE" w14:textId="77777777" w:rsidR="00F66E1F" w:rsidRDefault="00000000">
            <w:r>
              <w:t>Better temporal features without prior knowledge</w:t>
            </w:r>
          </w:p>
        </w:tc>
      </w:tr>
      <w:tr w:rsidR="00F66E1F" w14:paraId="7F7713E3" w14:textId="77777777">
        <w:tc>
          <w:tcPr>
            <w:tcW w:w="1785" w:type="dxa"/>
          </w:tcPr>
          <w:p w14:paraId="7F7713E0" w14:textId="77777777" w:rsidR="00F66E1F" w:rsidRDefault="00000000">
            <w:proofErr w:type="spellStart"/>
            <w:r>
              <w:t>AdaSize</w:t>
            </w:r>
            <w:proofErr w:type="spellEnd"/>
            <w:r>
              <w:t xml:space="preserve"> [6]</w:t>
            </w:r>
          </w:p>
        </w:tc>
        <w:tc>
          <w:tcPr>
            <w:tcW w:w="3703" w:type="dxa"/>
          </w:tcPr>
          <w:p w14:paraId="7F7713E1" w14:textId="77777777" w:rsidR="00F66E1F" w:rsidRDefault="00000000">
            <w:r>
              <w:t>Adaptive frame resolution via policy network</w:t>
            </w:r>
          </w:p>
        </w:tc>
        <w:tc>
          <w:tcPr>
            <w:tcW w:w="3872" w:type="dxa"/>
          </w:tcPr>
          <w:p w14:paraId="7F7713E2" w14:textId="77777777" w:rsidR="00F66E1F" w:rsidRDefault="00000000">
            <w:r>
              <w:t>Lower compute and memory at state-of-the-art accuracy</w:t>
            </w:r>
          </w:p>
        </w:tc>
      </w:tr>
      <w:tr w:rsidR="00F66E1F" w14:paraId="7F7713E7" w14:textId="77777777">
        <w:tc>
          <w:tcPr>
            <w:tcW w:w="1785" w:type="dxa"/>
          </w:tcPr>
          <w:p w14:paraId="7F7713E4" w14:textId="77777777" w:rsidR="00F66E1F" w:rsidRDefault="00000000">
            <w:r>
              <w:t>Zuo and Mak [7]</w:t>
            </w:r>
          </w:p>
        </w:tc>
        <w:tc>
          <w:tcPr>
            <w:tcW w:w="3703" w:type="dxa"/>
          </w:tcPr>
          <w:p w14:paraId="7F7713E5" w14:textId="77777777" w:rsidR="00F66E1F" w:rsidRDefault="00000000">
            <w:r>
              <w:t>Feature disentanglement, signer removal</w:t>
            </w:r>
          </w:p>
        </w:tc>
        <w:tc>
          <w:tcPr>
            <w:tcW w:w="3872" w:type="dxa"/>
          </w:tcPr>
          <w:p w14:paraId="7F7713E6" w14:textId="77777777" w:rsidR="00F66E1F" w:rsidRDefault="00000000">
            <w:r>
              <w:t>Signer-independent recognition</w:t>
            </w:r>
          </w:p>
        </w:tc>
      </w:tr>
      <w:tr w:rsidR="00F66E1F" w14:paraId="7F7713EB" w14:textId="77777777">
        <w:tc>
          <w:tcPr>
            <w:tcW w:w="1785" w:type="dxa"/>
          </w:tcPr>
          <w:p w14:paraId="7F7713E8" w14:textId="77777777" w:rsidR="00F66E1F" w:rsidRDefault="00000000">
            <w:proofErr w:type="spellStart"/>
            <w:r>
              <w:t>ConSignformer</w:t>
            </w:r>
            <w:proofErr w:type="spellEnd"/>
            <w:r>
              <w:t xml:space="preserve"> [8]</w:t>
            </w:r>
          </w:p>
        </w:tc>
        <w:tc>
          <w:tcPr>
            <w:tcW w:w="3703" w:type="dxa"/>
          </w:tcPr>
          <w:p w14:paraId="7F7713E9" w14:textId="77777777" w:rsidR="00F66E1F" w:rsidRDefault="00000000">
            <w:r>
              <w:t>Conformer + S3D CNN</w:t>
            </w:r>
          </w:p>
        </w:tc>
        <w:tc>
          <w:tcPr>
            <w:tcW w:w="3872" w:type="dxa"/>
          </w:tcPr>
          <w:p w14:paraId="7F7713EA" w14:textId="77777777" w:rsidR="00F66E1F" w:rsidRDefault="00000000">
            <w:r>
              <w:t>Current state of the art; practical design</w:t>
            </w:r>
          </w:p>
        </w:tc>
      </w:tr>
      <w:tr w:rsidR="00F66E1F" w14:paraId="7F7713EF" w14:textId="77777777">
        <w:tc>
          <w:tcPr>
            <w:tcW w:w="1785" w:type="dxa"/>
          </w:tcPr>
          <w:p w14:paraId="7F7713EC" w14:textId="77777777" w:rsidR="00F66E1F" w:rsidRDefault="00000000">
            <w:r>
              <w:t>TwoStream-SLT [9]</w:t>
            </w:r>
          </w:p>
        </w:tc>
        <w:tc>
          <w:tcPr>
            <w:tcW w:w="3703" w:type="dxa"/>
          </w:tcPr>
          <w:p w14:paraId="7F7713ED" w14:textId="77777777" w:rsidR="00F66E1F" w:rsidRDefault="00000000">
            <w:r>
              <w:t>Two streams, auxiliary losses, spatial pyramid</w:t>
            </w:r>
          </w:p>
        </w:tc>
        <w:tc>
          <w:tcPr>
            <w:tcW w:w="3872" w:type="dxa"/>
          </w:tcPr>
          <w:p w14:paraId="7F7713EE" w14:textId="77777777" w:rsidR="00F66E1F" w:rsidRDefault="00000000">
            <w:r>
              <w:t>Strong results; no Transformer backbone</w:t>
            </w:r>
          </w:p>
        </w:tc>
      </w:tr>
      <w:tr w:rsidR="00F66E1F" w14:paraId="7F7713F3" w14:textId="77777777">
        <w:tc>
          <w:tcPr>
            <w:tcW w:w="1785" w:type="dxa"/>
          </w:tcPr>
          <w:p w14:paraId="7F7713F0" w14:textId="77777777" w:rsidR="00F66E1F" w:rsidRDefault="00000000">
            <w:r>
              <w:t>CVT-SLR [15]</w:t>
            </w:r>
          </w:p>
        </w:tc>
        <w:tc>
          <w:tcPr>
            <w:tcW w:w="3703" w:type="dxa"/>
          </w:tcPr>
          <w:p w14:paraId="7F7713F1" w14:textId="77777777" w:rsidR="00F66E1F" w:rsidRDefault="00000000">
            <w:r>
              <w:t>Single cue, variational auto-encoder alignment</w:t>
            </w:r>
          </w:p>
        </w:tc>
        <w:tc>
          <w:tcPr>
            <w:tcW w:w="3872" w:type="dxa"/>
          </w:tcPr>
          <w:p w14:paraId="7F7713F2" w14:textId="77777777" w:rsidR="00F66E1F" w:rsidRDefault="00000000">
            <w:r>
              <w:t>Efficient cross-modal alignment</w:t>
            </w:r>
          </w:p>
        </w:tc>
      </w:tr>
      <w:tr w:rsidR="00F66E1F" w14:paraId="7F7713F7" w14:textId="77777777">
        <w:tc>
          <w:tcPr>
            <w:tcW w:w="1785" w:type="dxa"/>
          </w:tcPr>
          <w:p w14:paraId="7F7713F4" w14:textId="77777777" w:rsidR="00F66E1F" w:rsidRDefault="00000000">
            <w:r>
              <w:t>SMKD [16]</w:t>
            </w:r>
          </w:p>
        </w:tc>
        <w:tc>
          <w:tcPr>
            <w:tcW w:w="3703" w:type="dxa"/>
          </w:tcPr>
          <w:p w14:paraId="7F7713F5" w14:textId="77777777" w:rsidR="00F66E1F" w:rsidRDefault="00000000">
            <w:r>
              <w:t>2D CNN–</w:t>
            </w:r>
            <w:proofErr w:type="spellStart"/>
            <w:r>
              <w:t>BiLSTM</w:t>
            </w:r>
            <w:proofErr w:type="spellEnd"/>
            <w:r>
              <w:t xml:space="preserve">–CTC, three-stage </w:t>
            </w:r>
            <w:proofErr w:type="spellStart"/>
            <w:r>
              <w:t>optimisation</w:t>
            </w:r>
            <w:proofErr w:type="spellEnd"/>
          </w:p>
        </w:tc>
        <w:tc>
          <w:tcPr>
            <w:tcW w:w="3872" w:type="dxa"/>
          </w:tcPr>
          <w:p w14:paraId="7F7713F6" w14:textId="77777777" w:rsidR="00F66E1F" w:rsidRDefault="00000000">
            <w:r>
              <w:t>Lower error with a simple network</w:t>
            </w:r>
          </w:p>
        </w:tc>
      </w:tr>
      <w:tr w:rsidR="00F66E1F" w14:paraId="7F7713FB" w14:textId="77777777">
        <w:tc>
          <w:tcPr>
            <w:tcW w:w="1785" w:type="dxa"/>
          </w:tcPr>
          <w:p w14:paraId="7F7713F8" w14:textId="77777777" w:rsidR="00F66E1F" w:rsidRDefault="00000000">
            <w:r>
              <w:t>VAC [20]</w:t>
            </w:r>
          </w:p>
        </w:tc>
        <w:tc>
          <w:tcPr>
            <w:tcW w:w="3703" w:type="dxa"/>
          </w:tcPr>
          <w:p w14:paraId="7F7713F9" w14:textId="77777777" w:rsidR="00F66E1F" w:rsidRDefault="00000000">
            <w:r>
              <w:t>Visual alignment constraint</w:t>
            </w:r>
          </w:p>
        </w:tc>
        <w:tc>
          <w:tcPr>
            <w:tcW w:w="3872" w:type="dxa"/>
          </w:tcPr>
          <w:p w14:paraId="7F7713FA" w14:textId="77777777" w:rsidR="00F66E1F" w:rsidRDefault="00000000">
            <w:r>
              <w:t>Alignment supervision for the feature extractor</w:t>
            </w:r>
          </w:p>
        </w:tc>
      </w:tr>
      <w:tr w:rsidR="00F66E1F" w14:paraId="7F7713FF" w14:textId="77777777">
        <w:tc>
          <w:tcPr>
            <w:tcW w:w="1785" w:type="dxa"/>
          </w:tcPr>
          <w:p w14:paraId="7F7713FC" w14:textId="77777777" w:rsidR="00F66E1F" w:rsidRDefault="00000000">
            <w:r>
              <w:t>Multi-cue networks [11]</w:t>
            </w:r>
            <w:proofErr w:type="gramStart"/>
            <w:r>
              <w:t>–[</w:t>
            </w:r>
            <w:proofErr w:type="gramEnd"/>
            <w:r>
              <w:t>14]</w:t>
            </w:r>
          </w:p>
        </w:tc>
        <w:tc>
          <w:tcPr>
            <w:tcW w:w="3703" w:type="dxa"/>
          </w:tcPr>
          <w:p w14:paraId="7F7713FD" w14:textId="77777777" w:rsidR="00F66E1F" w:rsidRDefault="00000000">
            <w:r>
              <w:t>Fusion of hand, face and body cues</w:t>
            </w:r>
          </w:p>
        </w:tc>
        <w:tc>
          <w:tcPr>
            <w:tcW w:w="3872" w:type="dxa"/>
          </w:tcPr>
          <w:p w14:paraId="7F7713FE" w14:textId="77777777" w:rsidR="00F66E1F" w:rsidRDefault="00000000">
            <w:r>
              <w:t>Accurate but complex and noise-sensitive</w:t>
            </w:r>
          </w:p>
        </w:tc>
      </w:tr>
    </w:tbl>
    <w:p w14:paraId="7F771400" w14:textId="77777777" w:rsidR="00F66E1F" w:rsidRDefault="00000000">
      <w:pPr>
        <w:pStyle w:val="Heading2"/>
      </w:pPr>
      <w:r>
        <w:t>IV. Datasets</w:t>
      </w:r>
    </w:p>
    <w:p w14:paraId="7F771401" w14:textId="77777777" w:rsidR="00F66E1F" w:rsidRDefault="00000000">
      <w:pPr>
        <w:pStyle w:val="Heading3"/>
      </w:pPr>
      <w:r>
        <w:t>A. Benchmark datasets</w:t>
      </w:r>
    </w:p>
    <w:p w14:paraId="7F771402" w14:textId="77777777" w:rsidR="00F66E1F" w:rsidRDefault="00000000">
      <w:r>
        <w:t>The usual CSLR benchmarks are RWTH-PHOENIX-Weather 2014 [23] and PHOENIX-2014T [24]. Both are German, recorded in a controlled studio with a plain background and a fixed camera. They allow fair algorithm comparison but differ from real use, where backgrounds, clothing, devices and orientations vary.</w:t>
      </w:r>
    </w:p>
    <w:p w14:paraId="7F771403" w14:textId="77777777" w:rsidR="00F66E1F" w:rsidRDefault="00000000">
      <w:pPr>
        <w:pStyle w:val="Heading3"/>
      </w:pPr>
      <w:r>
        <w:lastRenderedPageBreak/>
        <w:t>B. The UMANG-</w:t>
      </w:r>
      <w:proofErr w:type="spellStart"/>
      <w:r>
        <w:t>eRaktkosh</w:t>
      </w:r>
      <w:proofErr w:type="spellEnd"/>
      <w:r>
        <w:t xml:space="preserve"> ISL corpora</w:t>
      </w:r>
    </w:p>
    <w:p w14:paraId="7F771404" w14:textId="77777777" w:rsidR="00F66E1F" w:rsidRDefault="00000000">
      <w:r>
        <w:t xml:space="preserve">No public ISL dataset for CSLR existed, so the </w:t>
      </w:r>
      <w:proofErr w:type="spellStart"/>
      <w:r>
        <w:t>SignFlow</w:t>
      </w:r>
      <w:proofErr w:type="spellEnd"/>
      <w:r>
        <w:t xml:space="preserve"> authors collected two corpora [1]. The continuous corpus holds sentence-level videos based on frequently asked questions (FAQs) of the </w:t>
      </w:r>
      <w:proofErr w:type="spellStart"/>
      <w:r>
        <w:t>eRaktkosh</w:t>
      </w:r>
      <w:proofErr w:type="spellEnd"/>
      <w:r>
        <w:t xml:space="preserve"> blood-bank service on the UMANG application, with gloss-level annotation. The isolated corpus holds videos of single words from the service vocabulary and is used for pre-training. The authors state that the dataset will be published in the near future; at the time of the </w:t>
      </w:r>
      <w:proofErr w:type="gramStart"/>
      <w:r>
        <w:t>paper</w:t>
      </w:r>
      <w:proofErr w:type="gramEnd"/>
      <w:r>
        <w:t xml:space="preserve"> it was not yet public.</w:t>
      </w:r>
    </w:p>
    <w:p w14:paraId="7F771405" w14:textId="77777777" w:rsidR="00F66E1F" w:rsidRDefault="00000000">
      <w:r>
        <w:rPr>
          <w:b/>
        </w:rPr>
        <w:t>Table II. Statistics of the two ISL corpora [1]</w:t>
      </w:r>
    </w:p>
    <w:tbl>
      <w:tblPr>
        <w:tblStyle w:val="TableGrid"/>
        <w:tblW w:w="0" w:type="auto"/>
        <w:tblLayout w:type="fixed"/>
        <w:tblLook w:val="0420" w:firstRow="1" w:lastRow="0" w:firstColumn="0" w:lastColumn="0" w:noHBand="0" w:noVBand="1"/>
      </w:tblPr>
      <w:tblGrid>
        <w:gridCol w:w="4396"/>
        <w:gridCol w:w="2712"/>
        <w:gridCol w:w="2251"/>
      </w:tblGrid>
      <w:tr w:rsidR="00F66E1F" w14:paraId="7F771409" w14:textId="77777777">
        <w:trPr>
          <w:tblHeader/>
        </w:trPr>
        <w:tc>
          <w:tcPr>
            <w:tcW w:w="4396" w:type="dxa"/>
            <w:shd w:val="clear" w:color="auto" w:fill="F2F2F2"/>
          </w:tcPr>
          <w:p w14:paraId="7F771406" w14:textId="77777777" w:rsidR="00F66E1F" w:rsidRDefault="00000000">
            <w:r>
              <w:t>Property</w:t>
            </w:r>
          </w:p>
        </w:tc>
        <w:tc>
          <w:tcPr>
            <w:tcW w:w="2712" w:type="dxa"/>
            <w:shd w:val="clear" w:color="auto" w:fill="F2F2F2"/>
          </w:tcPr>
          <w:p w14:paraId="7F771407" w14:textId="77777777" w:rsidR="00F66E1F" w:rsidRDefault="00000000">
            <w:r>
              <w:t>Continuous2023</w:t>
            </w:r>
          </w:p>
        </w:tc>
        <w:tc>
          <w:tcPr>
            <w:tcW w:w="2251" w:type="dxa"/>
            <w:shd w:val="clear" w:color="auto" w:fill="F2F2F2"/>
          </w:tcPr>
          <w:p w14:paraId="7F771408" w14:textId="77777777" w:rsidR="00F66E1F" w:rsidRDefault="00000000">
            <w:r>
              <w:t>Isolated2023</w:t>
            </w:r>
          </w:p>
        </w:tc>
      </w:tr>
      <w:tr w:rsidR="00F66E1F" w14:paraId="7F77140D" w14:textId="77777777">
        <w:tc>
          <w:tcPr>
            <w:tcW w:w="4396" w:type="dxa"/>
          </w:tcPr>
          <w:p w14:paraId="7F77140A" w14:textId="77777777" w:rsidR="00F66E1F" w:rsidRDefault="00000000">
            <w:r>
              <w:t>Vocabulary size</w:t>
            </w:r>
          </w:p>
        </w:tc>
        <w:tc>
          <w:tcPr>
            <w:tcW w:w="2712" w:type="dxa"/>
          </w:tcPr>
          <w:p w14:paraId="7F77140B" w14:textId="77777777" w:rsidR="00F66E1F" w:rsidRDefault="00000000">
            <w:r>
              <w:t>163</w:t>
            </w:r>
          </w:p>
        </w:tc>
        <w:tc>
          <w:tcPr>
            <w:tcW w:w="2251" w:type="dxa"/>
          </w:tcPr>
          <w:p w14:paraId="7F77140C" w14:textId="77777777" w:rsidR="00F66E1F" w:rsidRDefault="00000000">
            <w:r>
              <w:t>163</w:t>
            </w:r>
          </w:p>
        </w:tc>
      </w:tr>
      <w:tr w:rsidR="00F66E1F" w14:paraId="7F771411" w14:textId="77777777">
        <w:tc>
          <w:tcPr>
            <w:tcW w:w="4396" w:type="dxa"/>
          </w:tcPr>
          <w:p w14:paraId="7F77140E" w14:textId="77777777" w:rsidR="00F66E1F" w:rsidRDefault="00000000">
            <w:r>
              <w:t>Unique ISL sentences</w:t>
            </w:r>
          </w:p>
        </w:tc>
        <w:tc>
          <w:tcPr>
            <w:tcW w:w="2712" w:type="dxa"/>
          </w:tcPr>
          <w:p w14:paraId="7F77140F" w14:textId="77777777" w:rsidR="00F66E1F" w:rsidRDefault="00000000">
            <w:r>
              <w:t>226</w:t>
            </w:r>
          </w:p>
        </w:tc>
        <w:tc>
          <w:tcPr>
            <w:tcW w:w="2251" w:type="dxa"/>
          </w:tcPr>
          <w:p w14:paraId="7F771410" w14:textId="77777777" w:rsidR="00F66E1F" w:rsidRDefault="00000000">
            <w:r>
              <w:t>–</w:t>
            </w:r>
          </w:p>
        </w:tc>
      </w:tr>
      <w:tr w:rsidR="00F66E1F" w14:paraId="7F771415" w14:textId="77777777">
        <w:tc>
          <w:tcPr>
            <w:tcW w:w="4396" w:type="dxa"/>
          </w:tcPr>
          <w:p w14:paraId="7F771412" w14:textId="77777777" w:rsidR="00F66E1F" w:rsidRDefault="00000000">
            <w:r>
              <w:t>Signers</w:t>
            </w:r>
          </w:p>
        </w:tc>
        <w:tc>
          <w:tcPr>
            <w:tcW w:w="2712" w:type="dxa"/>
          </w:tcPr>
          <w:p w14:paraId="7F771413" w14:textId="77777777" w:rsidR="00F66E1F" w:rsidRDefault="00000000">
            <w:r>
              <w:t>13</w:t>
            </w:r>
          </w:p>
        </w:tc>
        <w:tc>
          <w:tcPr>
            <w:tcW w:w="2251" w:type="dxa"/>
          </w:tcPr>
          <w:p w14:paraId="7F771414" w14:textId="77777777" w:rsidR="00F66E1F" w:rsidRDefault="00000000">
            <w:r>
              <w:t>13</w:t>
            </w:r>
          </w:p>
        </w:tc>
      </w:tr>
      <w:tr w:rsidR="00F66E1F" w14:paraId="7F771419" w14:textId="77777777">
        <w:tc>
          <w:tcPr>
            <w:tcW w:w="4396" w:type="dxa"/>
          </w:tcPr>
          <w:p w14:paraId="7F771416" w14:textId="77777777" w:rsidR="00F66E1F" w:rsidRDefault="00000000">
            <w:r>
              <w:t>Total videos</w:t>
            </w:r>
          </w:p>
        </w:tc>
        <w:tc>
          <w:tcPr>
            <w:tcW w:w="2712" w:type="dxa"/>
          </w:tcPr>
          <w:p w14:paraId="7F771417" w14:textId="77777777" w:rsidR="00F66E1F" w:rsidRDefault="00000000">
            <w:r>
              <w:t>11,752</w:t>
            </w:r>
          </w:p>
        </w:tc>
        <w:tc>
          <w:tcPr>
            <w:tcW w:w="2251" w:type="dxa"/>
          </w:tcPr>
          <w:p w14:paraId="7F771418" w14:textId="77777777" w:rsidR="00F66E1F" w:rsidRDefault="00000000">
            <w:r>
              <w:t>8,476</w:t>
            </w:r>
          </w:p>
        </w:tc>
      </w:tr>
      <w:tr w:rsidR="00F66E1F" w14:paraId="7F77141D" w14:textId="77777777">
        <w:tc>
          <w:tcPr>
            <w:tcW w:w="4396" w:type="dxa"/>
          </w:tcPr>
          <w:p w14:paraId="7F77141A" w14:textId="77777777" w:rsidR="00F66E1F" w:rsidRDefault="00000000">
            <w:r>
              <w:t>Studio-environment videos</w:t>
            </w:r>
          </w:p>
        </w:tc>
        <w:tc>
          <w:tcPr>
            <w:tcW w:w="2712" w:type="dxa"/>
          </w:tcPr>
          <w:p w14:paraId="7F77141B" w14:textId="77777777" w:rsidR="00F66E1F" w:rsidRDefault="00000000">
            <w:r>
              <w:t>2,938</w:t>
            </w:r>
          </w:p>
        </w:tc>
        <w:tc>
          <w:tcPr>
            <w:tcW w:w="2251" w:type="dxa"/>
          </w:tcPr>
          <w:p w14:paraId="7F77141C" w14:textId="77777777" w:rsidR="00F66E1F" w:rsidRDefault="00000000">
            <w:r>
              <w:t>2,119</w:t>
            </w:r>
          </w:p>
        </w:tc>
      </w:tr>
      <w:tr w:rsidR="00F66E1F" w14:paraId="7F771421" w14:textId="77777777">
        <w:tc>
          <w:tcPr>
            <w:tcW w:w="4396" w:type="dxa"/>
          </w:tcPr>
          <w:p w14:paraId="7F77141E" w14:textId="77777777" w:rsidR="00F66E1F" w:rsidRDefault="00000000">
            <w:r>
              <w:t>Home-environment videos</w:t>
            </w:r>
          </w:p>
        </w:tc>
        <w:tc>
          <w:tcPr>
            <w:tcW w:w="2712" w:type="dxa"/>
          </w:tcPr>
          <w:p w14:paraId="7F77141F" w14:textId="77777777" w:rsidR="00F66E1F" w:rsidRDefault="00000000">
            <w:r>
              <w:t>8,814</w:t>
            </w:r>
          </w:p>
        </w:tc>
        <w:tc>
          <w:tcPr>
            <w:tcW w:w="2251" w:type="dxa"/>
          </w:tcPr>
          <w:p w14:paraId="7F771420" w14:textId="77777777" w:rsidR="00F66E1F" w:rsidRDefault="00000000">
            <w:r>
              <w:t>6,357</w:t>
            </w:r>
          </w:p>
        </w:tc>
      </w:tr>
    </w:tbl>
    <w:p w14:paraId="7F771422" w14:textId="77777777" w:rsidR="00F66E1F" w:rsidRDefault="00000000">
      <w:r>
        <w:t>Recordings were made by certified ISL interpreters approved by the Rehabilitation Council of India, assisted by deaf students under the interpreters' guidance. No restriction was imposed on background, speed, device, orientation, lighting, clothing, posture or facial expression, and selfie videos were included. Signs follow the standards of the Indian Sign Language Research and Training Centre (ISLRTC). Where no standard sign existed for a word, widely used regional variants were included, and all valid variants of a word were kept.</w:t>
      </w:r>
    </w:p>
    <w:p w14:paraId="7F771423" w14:textId="77777777" w:rsidR="00F66E1F" w:rsidRDefault="00000000">
      <w:pPr>
        <w:pStyle w:val="Heading2"/>
      </w:pPr>
      <w:r>
        <w:t xml:space="preserve">V. The </w:t>
      </w:r>
      <w:proofErr w:type="spellStart"/>
      <w:r>
        <w:t>SignFlow</w:t>
      </w:r>
      <w:proofErr w:type="spellEnd"/>
      <w:r>
        <w:t xml:space="preserve"> Framework</w:t>
      </w:r>
    </w:p>
    <w:p w14:paraId="7F771424" w14:textId="77777777" w:rsidR="00F66E1F" w:rsidRDefault="00000000">
      <w:pPr>
        <w:pStyle w:val="Heading3"/>
      </w:pPr>
      <w:r>
        <w:t>A. Overview</w:t>
      </w:r>
    </w:p>
    <w:p w14:paraId="7F771425" w14:textId="77777777" w:rsidR="00F66E1F" w:rsidRDefault="00000000">
      <w:proofErr w:type="spellStart"/>
      <w:r>
        <w:t>SignFlow</w:t>
      </w:r>
      <w:proofErr w:type="spellEnd"/>
      <w:r>
        <w:t xml:space="preserve"> is a modular pipeline: a video is aligned, resized and down-sampled; a pre-trained 3D CNN converts it to clip embeddings; a pre-trained 8-layer Transformer encoder models the sequence; a </w:t>
      </w:r>
      <w:proofErr w:type="spellStart"/>
      <w:r>
        <w:t>softmax</w:t>
      </w:r>
      <w:proofErr w:type="spellEnd"/>
      <w:r>
        <w:t xml:space="preserve"> and CTC beam-search decoder produce a gloss sequence; and the chatbot uses the glosses to retrieve an answer. The design is intentionally simple compared with state-of-the-art models in order to give a lightweight network that is easy to deploy on the web [1].</w:t>
      </w:r>
    </w:p>
    <w:p w14:paraId="7F771426" w14:textId="77777777" w:rsidR="00F66E1F" w:rsidRDefault="00000000">
      <w:r>
        <w:rPr>
          <w:b/>
        </w:rPr>
        <w:t>Fig. 1 (to be drawn by the authors):</w:t>
      </w:r>
      <w:r>
        <w:t xml:space="preserve"> block diagram: Signer video (Firebase) → Alignment correction → Resize 112×112 + similarity-based down-sampling to 6 fps → MC3_18 → 8-layer Transformer → </w:t>
      </w:r>
      <w:proofErr w:type="spellStart"/>
      <w:r>
        <w:t>Softmax</w:t>
      </w:r>
      <w:proofErr w:type="spellEnd"/>
      <w:r>
        <w:t xml:space="preserve"> + CTC beam search → Gloss sequence → Chatbot.</w:t>
      </w:r>
    </w:p>
    <w:p w14:paraId="7F771427" w14:textId="77777777" w:rsidR="00F66E1F" w:rsidRDefault="00000000">
      <w:pPr>
        <w:pStyle w:val="Heading3"/>
      </w:pPr>
      <w:r>
        <w:t>B. Data engineering and alignment correction</w:t>
      </w:r>
    </w:p>
    <w:p w14:paraId="7F771428" w14:textId="77777777" w:rsidR="00F66E1F" w:rsidRDefault="00000000">
      <w:r>
        <w:t xml:space="preserve">In a chatbot the video window is small and the signer may be </w:t>
      </w:r>
      <w:proofErr w:type="spellStart"/>
      <w:r>
        <w:t>off-centre</w:t>
      </w:r>
      <w:proofErr w:type="spellEnd"/>
      <w:r>
        <w:t xml:space="preserve">, so a hand can leave the frame and part of the gesture is lost. </w:t>
      </w:r>
      <w:proofErr w:type="spellStart"/>
      <w:r>
        <w:t>SignFlow</w:t>
      </w:r>
      <w:proofErr w:type="spellEnd"/>
      <w:r>
        <w:t xml:space="preserve"> therefore applies an alignment-correction step [1]:</w:t>
      </w:r>
    </w:p>
    <w:p w14:paraId="7F771429" w14:textId="77777777" w:rsidR="00F66E1F" w:rsidRDefault="00000000">
      <w:pPr>
        <w:pStyle w:val="ListParagraph"/>
        <w:numPr>
          <w:ilvl w:val="0"/>
          <w:numId w:val="5"/>
        </w:numPr>
      </w:pPr>
      <w:proofErr w:type="spellStart"/>
      <w:r>
        <w:lastRenderedPageBreak/>
        <w:t>MediaPipe</w:t>
      </w:r>
      <w:proofErr w:type="spellEnd"/>
      <w:r>
        <w:t xml:space="preserve"> Pose locates the two ear landmarks; the midpoint of the line joining them is the signer's </w:t>
      </w:r>
      <w:proofErr w:type="spellStart"/>
      <w:r>
        <w:t>centre</w:t>
      </w:r>
      <w:proofErr w:type="spellEnd"/>
      <w:r>
        <w:t xml:space="preserve"> and the ear distance gives the scale.</w:t>
      </w:r>
    </w:p>
    <w:p w14:paraId="7F77142A" w14:textId="77777777" w:rsidR="00F66E1F" w:rsidRDefault="00000000">
      <w:pPr>
        <w:pStyle w:val="ListParagraph"/>
        <w:numPr>
          <w:ilvl w:val="0"/>
          <w:numId w:val="5"/>
        </w:numPr>
      </w:pPr>
      <w:r>
        <w:t xml:space="preserve">The frame </w:t>
      </w:r>
      <w:proofErr w:type="spellStart"/>
      <w:r>
        <w:t>centre</w:t>
      </w:r>
      <w:proofErr w:type="spellEnd"/>
      <w:r>
        <w:t xml:space="preserve"> is computed from the image dimensions.</w:t>
      </w:r>
    </w:p>
    <w:p w14:paraId="7F77142B" w14:textId="77777777" w:rsidR="00F66E1F" w:rsidRDefault="00000000">
      <w:pPr>
        <w:pStyle w:val="ListParagraph"/>
        <w:numPr>
          <w:ilvl w:val="0"/>
          <w:numId w:val="5"/>
        </w:numPr>
      </w:pPr>
      <w:r>
        <w:t xml:space="preserve">The x-shift and y-shift between the two </w:t>
      </w:r>
      <w:proofErr w:type="spellStart"/>
      <w:r>
        <w:t>centres</w:t>
      </w:r>
      <w:proofErr w:type="spellEnd"/>
      <w:r>
        <w:t xml:space="preserve"> are calculated.</w:t>
      </w:r>
    </w:p>
    <w:p w14:paraId="7F77142C" w14:textId="77777777" w:rsidR="00F66E1F" w:rsidRDefault="00000000">
      <w:pPr>
        <w:pStyle w:val="ListParagraph"/>
        <w:numPr>
          <w:ilvl w:val="0"/>
          <w:numId w:val="5"/>
        </w:numPr>
      </w:pPr>
      <w:r>
        <w:t xml:space="preserve">The frame is shifted to bring the signer to the desired </w:t>
      </w:r>
      <w:proofErr w:type="spellStart"/>
      <w:r>
        <w:t>centre</w:t>
      </w:r>
      <w:proofErr w:type="spellEnd"/>
      <w:r>
        <w:t xml:space="preserve"> while preserving the aspect ratio.</w:t>
      </w:r>
    </w:p>
    <w:p w14:paraId="7F77142D" w14:textId="77777777" w:rsidR="00F66E1F" w:rsidRDefault="00000000">
      <w:r>
        <w:t>For training, videos are resized and cropped to a 4:3 aspect ratio at 720 × 960 pixels. During live recognition, the aligned video is resized directly to 112 × 112 pixels, the input size of the model.</w:t>
      </w:r>
    </w:p>
    <w:p w14:paraId="7F77142E" w14:textId="77777777" w:rsidR="00F66E1F" w:rsidRDefault="00000000">
      <w:pPr>
        <w:pStyle w:val="Heading3"/>
      </w:pPr>
      <w:r>
        <w:t>C. Dynamic similarity-based down-sampling</w:t>
      </w:r>
    </w:p>
    <w:p w14:paraId="7F77142F" w14:textId="77777777" w:rsidR="00F66E1F" w:rsidRDefault="00000000">
      <w:r>
        <w:t xml:space="preserve">Devices record at different frame rates and processing every frame is slow, so every video is reduced to a common rate. During training, videos are down-sampled at random sampling rates, typically in the range 5 to 8. The video is divided into segments according to the actual and required frame rates and one frame is chosen at random from each segment, which yields many different views of the same video and increases training diversity. During inference, a random frame is not used; </w:t>
      </w:r>
      <w:proofErr w:type="gramStart"/>
      <w:r>
        <w:t>instead</w:t>
      </w:r>
      <w:proofErr w:type="gramEnd"/>
      <w:r>
        <w:t xml:space="preserve"> the frame most similar to the others in its segment is selected using a similarity metric, so that the model sees the most representative frames. The authors report that 6 fps gives a good balance of accuracy and speed. If an input video is below 6 fps it is treated as low quality, no prediction is made, and the user is asked to record again from another device or network.</w:t>
      </w:r>
    </w:p>
    <w:p w14:paraId="7F771430" w14:textId="77777777" w:rsidR="00F66E1F" w:rsidRDefault="00000000">
      <w:pPr>
        <w:pStyle w:val="Heading3"/>
      </w:pPr>
      <w:r>
        <w:t>D. CNN feature extractor and its pre-training</w:t>
      </w:r>
    </w:p>
    <w:p w14:paraId="7F771431" w14:textId="77777777" w:rsidR="00F66E1F" w:rsidRDefault="00000000">
      <w:r>
        <w:t xml:space="preserve">The visual backbone is MC3_18 (mixed-convolution 3D ResNet-18) from </w:t>
      </w:r>
      <w:proofErr w:type="spellStart"/>
      <w:r>
        <w:t>torchvision</w:t>
      </w:r>
      <w:proofErr w:type="spellEnd"/>
      <w:r>
        <w:t xml:space="preserve">, already pre-trained on a general action-recognition dataset. Its first </w:t>
      </w:r>
      <w:proofErr w:type="gramStart"/>
      <w:r>
        <w:t>layers</w:t>
      </w:r>
      <w:proofErr w:type="gramEnd"/>
      <w:r>
        <w:t xml:space="preserve"> use 3D convolutions to capture motion and later layers use cheaper 2D convolutions, which keeps the network lighter than a full 3D </w:t>
      </w:r>
      <w:proofErr w:type="spellStart"/>
      <w:r>
        <w:t>ResNet</w:t>
      </w:r>
      <w:proofErr w:type="spellEnd"/>
      <w:r>
        <w:t>. The authors argue that pre-training and fine-tuning data should be similar. They therefore further pre-train MC3_18 on the isolated ISL corpus as a video-classification (ISLR) task over the 163 vocabulary words, save the checkpoint, and fine-tune it during end-to-end CSLR training. In the final network, 2D pooling is applied to the last layers so that each overlapping clip is represented by one compact feature vector.</w:t>
      </w:r>
    </w:p>
    <w:p w14:paraId="7F771432" w14:textId="77777777" w:rsidR="00F66E1F" w:rsidRDefault="00000000">
      <w:pPr>
        <w:pStyle w:val="Heading3"/>
      </w:pPr>
      <w:r>
        <w:t>E. Transformer encoder and pose-based pre-training</w:t>
      </w:r>
    </w:p>
    <w:p w14:paraId="7F771433" w14:textId="77777777" w:rsidR="00F66E1F" w:rsidRDefault="00000000">
      <w:r>
        <w:t xml:space="preserve">The sequence learner is an 8-layer Transformer encoder with model dimension 512 and 8 attention heads, with residual addition and </w:t>
      </w:r>
      <w:proofErr w:type="spellStart"/>
      <w:r>
        <w:t>normalisation</w:t>
      </w:r>
      <w:proofErr w:type="spellEnd"/>
      <w:r>
        <w:t xml:space="preserve"> after each sub-layer. It is pre-trained on pose information from the Continuous ISL corpus. </w:t>
      </w:r>
      <w:proofErr w:type="spellStart"/>
      <w:r>
        <w:t>MediaPipe</w:t>
      </w:r>
      <w:proofErr w:type="spellEnd"/>
      <w:r>
        <w:t xml:space="preserve"> Pose and Hand estimates give X, Y and Z (depth) for each joint; only upper-body landmarks are used. Four groups of features are generated per frame [1]:</w:t>
      </w:r>
    </w:p>
    <w:p w14:paraId="7F771434" w14:textId="77777777" w:rsidR="00F66E1F" w:rsidRDefault="00000000">
      <w:pPr>
        <w:pStyle w:val="ListParagraph"/>
        <w:numPr>
          <w:ilvl w:val="0"/>
          <w:numId w:val="6"/>
        </w:numPr>
      </w:pPr>
      <w:r>
        <w:t>raw joint estimates;</w:t>
      </w:r>
    </w:p>
    <w:p w14:paraId="7F771435" w14:textId="77777777" w:rsidR="00F66E1F" w:rsidRDefault="00000000">
      <w:pPr>
        <w:pStyle w:val="ListParagraph"/>
        <w:numPr>
          <w:ilvl w:val="0"/>
          <w:numId w:val="6"/>
        </w:numPr>
      </w:pPr>
      <w:r>
        <w:t>bone lengths (Euclidean distances between connected joints);</w:t>
      </w:r>
    </w:p>
    <w:p w14:paraId="7F771436" w14:textId="77777777" w:rsidR="00F66E1F" w:rsidRDefault="00000000">
      <w:pPr>
        <w:pStyle w:val="ListParagraph"/>
        <w:numPr>
          <w:ilvl w:val="0"/>
          <w:numId w:val="6"/>
        </w:numPr>
      </w:pPr>
      <w:r>
        <w:t>relative positions of each joint with respect to adjacent or connected joints;</w:t>
      </w:r>
    </w:p>
    <w:p w14:paraId="7F771437" w14:textId="77777777" w:rsidR="00F66E1F" w:rsidRDefault="00000000">
      <w:pPr>
        <w:pStyle w:val="ListParagraph"/>
        <w:numPr>
          <w:ilvl w:val="0"/>
          <w:numId w:val="6"/>
        </w:numPr>
      </w:pPr>
      <w:r>
        <w:t>joint Euclidean distances (for example left palm to right palm, left palm to left shoulder, right palm to right shoulder).</w:t>
      </w:r>
    </w:p>
    <w:p w14:paraId="7F771438" w14:textId="77777777" w:rsidR="00F66E1F" w:rsidRDefault="00000000">
      <w:r>
        <w:t xml:space="preserve">Together these form a 443-dimensional vector per frame (hands plus pose), mapped to 512 dimensions by a linear layer. Frames in which </w:t>
      </w:r>
      <w:proofErr w:type="spellStart"/>
      <w:r>
        <w:t>MediaPipe</w:t>
      </w:r>
      <w:proofErr w:type="spellEnd"/>
      <w:r>
        <w:t xml:space="preserve"> fails to detect the hands leave gaps in the coordinate </w:t>
      </w:r>
      <w:r>
        <w:lastRenderedPageBreak/>
        <w:t xml:space="preserve">curves; these are filled by degree-2 polynomial interpolation. The pre-trained checkpoint </w:t>
      </w:r>
      <w:proofErr w:type="spellStart"/>
      <w:r>
        <w:t>initialises</w:t>
      </w:r>
      <w:proofErr w:type="spellEnd"/>
      <w:r>
        <w:t xml:space="preserve"> the Transformer of the final model.</w:t>
      </w:r>
    </w:p>
    <w:p w14:paraId="7F771439" w14:textId="77777777" w:rsidR="00F66E1F" w:rsidRDefault="00000000">
      <w:pPr>
        <w:pStyle w:val="Heading3"/>
      </w:pPr>
      <w:r>
        <w:t>F. End-to-end training with CTC</w:t>
      </w:r>
    </w:p>
    <w:p w14:paraId="7F77143A" w14:textId="77777777" w:rsidR="00F66E1F" w:rsidRDefault="00000000">
      <w:r>
        <w:t xml:space="preserve">Because frame-level annotations are unavailable, </w:t>
      </w:r>
      <w:proofErr w:type="spellStart"/>
      <w:r>
        <w:t>SignFlow</w:t>
      </w:r>
      <w:proofErr w:type="spellEnd"/>
      <w:r>
        <w:t xml:space="preserve"> is fine-tuned end to end with CTC loss on sentence-level glosses. The </w:t>
      </w:r>
      <w:proofErr w:type="spellStart"/>
      <w:r>
        <w:t>softmax</w:t>
      </w:r>
      <w:proofErr w:type="spellEnd"/>
      <w:r>
        <w:t xml:space="preserve"> of the encoder output gives frame-level gloss probabilities and CTC </w:t>
      </w:r>
      <w:proofErr w:type="spellStart"/>
      <w:r>
        <w:t>marginalises</w:t>
      </w:r>
      <w:proofErr w:type="spellEnd"/>
      <w:r>
        <w:t xml:space="preserve"> over alignments. The authors trained two variants of the final model, with and without positional encoding in the Transformer. Using a Transformer with no position embedding is presented as a first for this task.</w:t>
      </w:r>
    </w:p>
    <w:p w14:paraId="7F77143B" w14:textId="77777777" w:rsidR="00F66E1F" w:rsidRDefault="00000000">
      <w:pPr>
        <w:pStyle w:val="Heading2"/>
      </w:pPr>
      <w:r>
        <w:t>VI. Training and Implementation Details</w:t>
      </w:r>
    </w:p>
    <w:p w14:paraId="7F77143C" w14:textId="77777777" w:rsidR="00F66E1F" w:rsidRDefault="00000000">
      <w:pPr>
        <w:pStyle w:val="Heading3"/>
      </w:pPr>
      <w:r>
        <w:t>A. Data augmentation</w:t>
      </w:r>
    </w:p>
    <w:p w14:paraId="7F77143D" w14:textId="77777777" w:rsidR="00F66E1F" w:rsidRDefault="00000000">
      <w:r>
        <w:t xml:space="preserve">Augmentation enlarges the effective training set and improves </w:t>
      </w:r>
      <w:proofErr w:type="spellStart"/>
      <w:r>
        <w:t>generalisation</w:t>
      </w:r>
      <w:proofErr w:type="spellEnd"/>
      <w:r>
        <w:t>. As reported in [1], training videos are resized to 112 × 112 pixels, randomly down-sampled at rates of 5 to 8, and subjected to random brightness, contrast, hue and saturation changes (to simulate lighting), random rotation of −4 to 4 degrees (small camera changes), coarse dropout (occlusion), random sun flare (extreme light), pixel dropout (to avoid overfitting to pixel patterns) and horizontal flipping (independence from hand dominance). Videos are collated and padded to a maximum length of 250 frames for batch processing.</w:t>
      </w:r>
    </w:p>
    <w:p w14:paraId="7F77143E" w14:textId="77777777" w:rsidR="00F66E1F" w:rsidRDefault="00000000">
      <w:pPr>
        <w:pStyle w:val="Heading3"/>
      </w:pPr>
      <w:r>
        <w:t>B. Hyper-parameters and decoding</w:t>
      </w:r>
    </w:p>
    <w:p w14:paraId="7F77143F" w14:textId="77777777" w:rsidR="00F66E1F" w:rsidRDefault="00000000">
      <w:r>
        <w:rPr>
          <w:b/>
        </w:rPr>
        <w:t>Table III. Training configuration reported in [1]</w:t>
      </w:r>
    </w:p>
    <w:tbl>
      <w:tblPr>
        <w:tblStyle w:val="TableGrid"/>
        <w:tblW w:w="0" w:type="auto"/>
        <w:tblLayout w:type="fixed"/>
        <w:tblLook w:val="0420" w:firstRow="1" w:lastRow="0" w:firstColumn="0" w:lastColumn="0" w:noHBand="0" w:noVBand="1"/>
      </w:tblPr>
      <w:tblGrid>
        <w:gridCol w:w="4347"/>
        <w:gridCol w:w="5012"/>
      </w:tblGrid>
      <w:tr w:rsidR="00F66E1F" w14:paraId="7F771442" w14:textId="77777777">
        <w:trPr>
          <w:tblHeader/>
        </w:trPr>
        <w:tc>
          <w:tcPr>
            <w:tcW w:w="4347" w:type="dxa"/>
            <w:shd w:val="clear" w:color="auto" w:fill="F2F2F2"/>
          </w:tcPr>
          <w:p w14:paraId="7F771440" w14:textId="77777777" w:rsidR="00F66E1F" w:rsidRDefault="00000000">
            <w:r>
              <w:t>Hyper-parameter</w:t>
            </w:r>
          </w:p>
        </w:tc>
        <w:tc>
          <w:tcPr>
            <w:tcW w:w="5012" w:type="dxa"/>
            <w:shd w:val="clear" w:color="auto" w:fill="F2F2F2"/>
          </w:tcPr>
          <w:p w14:paraId="7F771441" w14:textId="77777777" w:rsidR="00F66E1F" w:rsidRDefault="00000000">
            <w:r>
              <w:t>Value</w:t>
            </w:r>
          </w:p>
        </w:tc>
      </w:tr>
      <w:tr w:rsidR="00F66E1F" w14:paraId="7F771445" w14:textId="77777777">
        <w:tc>
          <w:tcPr>
            <w:tcW w:w="4347" w:type="dxa"/>
          </w:tcPr>
          <w:p w14:paraId="7F771443" w14:textId="77777777" w:rsidR="00F66E1F" w:rsidRDefault="00000000">
            <w:r>
              <w:t>Encoder layers / attention heads</w:t>
            </w:r>
          </w:p>
        </w:tc>
        <w:tc>
          <w:tcPr>
            <w:tcW w:w="5012" w:type="dxa"/>
          </w:tcPr>
          <w:p w14:paraId="7F771444" w14:textId="77777777" w:rsidR="00F66E1F" w:rsidRDefault="00000000">
            <w:r>
              <w:t>8 / 8</w:t>
            </w:r>
          </w:p>
        </w:tc>
      </w:tr>
      <w:tr w:rsidR="00F66E1F" w14:paraId="7F771448" w14:textId="77777777">
        <w:tc>
          <w:tcPr>
            <w:tcW w:w="4347" w:type="dxa"/>
          </w:tcPr>
          <w:p w14:paraId="7F771446" w14:textId="77777777" w:rsidR="00F66E1F" w:rsidRDefault="00000000">
            <w:r>
              <w:t>Model dimension</w:t>
            </w:r>
          </w:p>
        </w:tc>
        <w:tc>
          <w:tcPr>
            <w:tcW w:w="5012" w:type="dxa"/>
          </w:tcPr>
          <w:p w14:paraId="7F771447" w14:textId="77777777" w:rsidR="00F66E1F" w:rsidRDefault="00000000">
            <w:r>
              <w:t>512</w:t>
            </w:r>
          </w:p>
        </w:tc>
      </w:tr>
      <w:tr w:rsidR="00F66E1F" w14:paraId="7F77144B" w14:textId="77777777">
        <w:tc>
          <w:tcPr>
            <w:tcW w:w="4347" w:type="dxa"/>
          </w:tcPr>
          <w:p w14:paraId="7F771449" w14:textId="77777777" w:rsidR="00F66E1F" w:rsidRDefault="00000000">
            <w:r>
              <w:t>Dropout</w:t>
            </w:r>
          </w:p>
        </w:tc>
        <w:tc>
          <w:tcPr>
            <w:tcW w:w="5012" w:type="dxa"/>
          </w:tcPr>
          <w:p w14:paraId="7F77144A" w14:textId="77777777" w:rsidR="00F66E1F" w:rsidRDefault="00000000">
            <w:r>
              <w:t>0.1</w:t>
            </w:r>
          </w:p>
        </w:tc>
      </w:tr>
      <w:tr w:rsidR="00F66E1F" w14:paraId="7F77144E" w14:textId="77777777">
        <w:tc>
          <w:tcPr>
            <w:tcW w:w="4347" w:type="dxa"/>
          </w:tcPr>
          <w:p w14:paraId="7F77144C" w14:textId="77777777" w:rsidR="00F66E1F" w:rsidRDefault="00000000">
            <w:r>
              <w:t>Learning rate (CNN / Transformer)</w:t>
            </w:r>
          </w:p>
        </w:tc>
        <w:tc>
          <w:tcPr>
            <w:tcW w:w="5012" w:type="dxa"/>
          </w:tcPr>
          <w:p w14:paraId="7F77144D" w14:textId="77777777" w:rsidR="00F66E1F" w:rsidRDefault="00000000">
            <w:r>
              <w:t>0.0001 / 0.001</w:t>
            </w:r>
          </w:p>
        </w:tc>
      </w:tr>
      <w:tr w:rsidR="00F66E1F" w14:paraId="7F771451" w14:textId="77777777">
        <w:tc>
          <w:tcPr>
            <w:tcW w:w="4347" w:type="dxa"/>
          </w:tcPr>
          <w:p w14:paraId="7F77144F" w14:textId="77777777" w:rsidR="00F66E1F" w:rsidRDefault="00000000">
            <w:r>
              <w:t>Epochs</w:t>
            </w:r>
          </w:p>
        </w:tc>
        <w:tc>
          <w:tcPr>
            <w:tcW w:w="5012" w:type="dxa"/>
          </w:tcPr>
          <w:p w14:paraId="7F771450" w14:textId="77777777" w:rsidR="00F66E1F" w:rsidRDefault="00000000">
            <w:r>
              <w:t>140 (convergence in 120–130 on average)</w:t>
            </w:r>
          </w:p>
        </w:tc>
      </w:tr>
      <w:tr w:rsidR="00F66E1F" w14:paraId="7F771454" w14:textId="77777777">
        <w:tc>
          <w:tcPr>
            <w:tcW w:w="4347" w:type="dxa"/>
          </w:tcPr>
          <w:p w14:paraId="7F771452" w14:textId="77777777" w:rsidR="00F66E1F" w:rsidRDefault="00000000">
            <w:r>
              <w:t>Optimizer / batch size</w:t>
            </w:r>
          </w:p>
        </w:tc>
        <w:tc>
          <w:tcPr>
            <w:tcW w:w="5012" w:type="dxa"/>
          </w:tcPr>
          <w:p w14:paraId="7F771453" w14:textId="77777777" w:rsidR="00F66E1F" w:rsidRDefault="00000000">
            <w:r>
              <w:t>Adam / 4</w:t>
            </w:r>
          </w:p>
        </w:tc>
      </w:tr>
      <w:tr w:rsidR="00F66E1F" w14:paraId="7F771457" w14:textId="77777777">
        <w:tc>
          <w:tcPr>
            <w:tcW w:w="4347" w:type="dxa"/>
          </w:tcPr>
          <w:p w14:paraId="7F771455" w14:textId="77777777" w:rsidR="00F66E1F" w:rsidRDefault="00000000">
            <w:proofErr w:type="spellStart"/>
            <w:r>
              <w:t>Initialisation</w:t>
            </w:r>
            <w:proofErr w:type="spellEnd"/>
          </w:p>
        </w:tc>
        <w:tc>
          <w:tcPr>
            <w:tcW w:w="5012" w:type="dxa"/>
          </w:tcPr>
          <w:p w14:paraId="7F771456" w14:textId="77777777" w:rsidR="00F66E1F" w:rsidRDefault="00000000">
            <w:r>
              <w:t>Xavier</w:t>
            </w:r>
          </w:p>
        </w:tc>
      </w:tr>
    </w:tbl>
    <w:p w14:paraId="7F771458" w14:textId="77777777" w:rsidR="00F66E1F" w:rsidRDefault="00000000">
      <w:r>
        <w:t xml:space="preserve">The learning rate is multiplied by 0.7 when the monitored metric does not improve for 8 consecutive evaluation steps, and training stops when it falls below 10^-6. Greedy decoding is used during training and validation for speed. At inference, CTC beam search is used with a beam size from 0 to 10 and a length penalty (alpha from 0 to 2, following [27]); the best combination is chosen on the development set and checked on the test set. The model is implemented in </w:t>
      </w:r>
      <w:proofErr w:type="spellStart"/>
      <w:r>
        <w:t>PyTorch</w:t>
      </w:r>
      <w:proofErr w:type="spellEnd"/>
      <w:r>
        <w:t xml:space="preserve"> [28], CTC beam search uses the TensorFlow implementation [29], and training ran on an NVIDIA A100 machine with 40 GB memory.</w:t>
      </w:r>
    </w:p>
    <w:p w14:paraId="7F771459" w14:textId="77777777" w:rsidR="00F66E1F" w:rsidRDefault="00000000">
      <w:pPr>
        <w:pStyle w:val="Heading2"/>
      </w:pPr>
      <w:r>
        <w:lastRenderedPageBreak/>
        <w:t>VII. Evaluation and Results</w:t>
      </w:r>
    </w:p>
    <w:p w14:paraId="7F77145A" w14:textId="77777777" w:rsidR="00F66E1F" w:rsidRDefault="00000000">
      <w:pPr>
        <w:pStyle w:val="Heading3"/>
      </w:pPr>
      <w:r>
        <w:t>A. Metrics: WER and Detection Rate</w:t>
      </w:r>
    </w:p>
    <w:p w14:paraId="7F77145B" w14:textId="77777777" w:rsidR="00F66E1F" w:rsidRDefault="00000000">
      <w:r>
        <w:t xml:space="preserve">Besides WER, the authors introduce the </w:t>
      </w:r>
      <w:r>
        <w:rPr>
          <w:b/>
        </w:rPr>
        <w:t>Detection Rate</w:t>
      </w:r>
      <w:r>
        <w:t>:</w:t>
      </w:r>
    </w:p>
    <w:p w14:paraId="7F77145C" w14:textId="77777777" w:rsidR="00F66E1F" w:rsidRDefault="00000000">
      <w:r>
        <w:t xml:space="preserve">Detection Rate = (words correctly </w:t>
      </w:r>
      <w:proofErr w:type="spellStart"/>
      <w:r>
        <w:t>recognised</w:t>
      </w:r>
      <w:proofErr w:type="spellEnd"/>
      <w:r>
        <w:t>) / (words in reference),</w:t>
      </w:r>
    </w:p>
    <w:p w14:paraId="7F77145D" w14:textId="77777777" w:rsidR="00F66E1F" w:rsidRDefault="00000000">
      <w:r>
        <w:t xml:space="preserve">counted without regard to word order. It suits the chatbot setting, where an answer is retrieved from the detected keywords and the correct answer can still be returned if the order is slightly wrong. For this </w:t>
      </w:r>
      <w:proofErr w:type="gramStart"/>
      <w:r>
        <w:t>reason</w:t>
      </w:r>
      <w:proofErr w:type="gramEnd"/>
      <w:r>
        <w:t xml:space="preserve"> the deployed model was chosen for the highest detection rate rather than the lowest WER [1].</w:t>
      </w:r>
    </w:p>
    <w:p w14:paraId="7F77145E" w14:textId="77777777" w:rsidR="00F66E1F" w:rsidRDefault="00000000">
      <w:pPr>
        <w:pStyle w:val="Heading3"/>
      </w:pPr>
      <w:r>
        <w:t>B. Real-time test protocol</w:t>
      </w:r>
    </w:p>
    <w:p w14:paraId="7F77145F" w14:textId="77777777" w:rsidR="00F66E1F" w:rsidRDefault="00000000">
      <w:r>
        <w:t xml:space="preserve">Testing was done in real time through the chatbot. Two sets of ISL gloss sequences were prepared: </w:t>
      </w:r>
      <w:r>
        <w:rPr>
          <w:b/>
        </w:rPr>
        <w:t>Test set 1</w:t>
      </w:r>
      <w:r>
        <w:t xml:space="preserve">, with all glosses inside the vocabulary, and </w:t>
      </w:r>
      <w:r>
        <w:rPr>
          <w:b/>
        </w:rPr>
        <w:t>Test set 2</w:t>
      </w:r>
      <w:r>
        <w:t>, which also contains out-of-vocabulary (OOV) glosses. Four models were compared: (a) CNN–Transformer with position encoding (PE); (b) CNN–Transformer without PE; (c) CNN with a pose-pre-trained Transformer with PE; (d) CNN with a pose-pre-trained Transformer without PE.</w:t>
      </w:r>
    </w:p>
    <w:p w14:paraId="7F771460" w14:textId="77777777" w:rsidR="00F66E1F" w:rsidRDefault="00000000">
      <w:pPr>
        <w:pStyle w:val="Heading3"/>
      </w:pPr>
      <w:r>
        <w:t>C. Results</w:t>
      </w:r>
    </w:p>
    <w:p w14:paraId="7F771461" w14:textId="77777777" w:rsidR="00F66E1F" w:rsidRDefault="00000000">
      <w:r>
        <w:t>Models with a pre-trained Transformer gave the lowest overall WER on both test sets, although their deletion rate rose noticeably; this was offset by lower insertion and substitution errors. For the chatbot, model (b), without pre-training and without PE, had the best detection rate on both test sets and was integrated into the application. The values below are approximate readings from the bar and line charts of [1] and show trends only.</w:t>
      </w:r>
    </w:p>
    <w:p w14:paraId="7F771462" w14:textId="77777777" w:rsidR="00F66E1F" w:rsidRDefault="00000000">
      <w:r>
        <w:rPr>
          <w:b/>
        </w:rPr>
        <w:t>Table IV. Approximate real-time results of the four models (read from the charts of [1])</w:t>
      </w:r>
    </w:p>
    <w:tbl>
      <w:tblPr>
        <w:tblStyle w:val="TableGrid"/>
        <w:tblW w:w="0" w:type="auto"/>
        <w:tblLayout w:type="fixed"/>
        <w:tblLook w:val="0420" w:firstRow="1" w:lastRow="0" w:firstColumn="0" w:lastColumn="0" w:noHBand="0" w:noVBand="1"/>
      </w:tblPr>
      <w:tblGrid>
        <w:gridCol w:w="2870"/>
        <w:gridCol w:w="1388"/>
        <w:gridCol w:w="1388"/>
        <w:gridCol w:w="1857"/>
        <w:gridCol w:w="1857"/>
      </w:tblGrid>
      <w:tr w:rsidR="00F66E1F" w14:paraId="7F771468" w14:textId="77777777">
        <w:trPr>
          <w:tblHeader/>
        </w:trPr>
        <w:tc>
          <w:tcPr>
            <w:tcW w:w="2870" w:type="dxa"/>
            <w:shd w:val="clear" w:color="auto" w:fill="F2F2F2"/>
          </w:tcPr>
          <w:p w14:paraId="7F771463" w14:textId="77777777" w:rsidR="00F66E1F" w:rsidRDefault="00000000">
            <w:r>
              <w:t>Model</w:t>
            </w:r>
          </w:p>
        </w:tc>
        <w:tc>
          <w:tcPr>
            <w:tcW w:w="1388" w:type="dxa"/>
            <w:shd w:val="clear" w:color="auto" w:fill="F2F2F2"/>
          </w:tcPr>
          <w:p w14:paraId="7F771464" w14:textId="77777777" w:rsidR="00F66E1F" w:rsidRDefault="00000000">
            <w:r>
              <w:t>WER Set 1</w:t>
            </w:r>
          </w:p>
        </w:tc>
        <w:tc>
          <w:tcPr>
            <w:tcW w:w="1388" w:type="dxa"/>
            <w:shd w:val="clear" w:color="auto" w:fill="F2F2F2"/>
          </w:tcPr>
          <w:p w14:paraId="7F771465" w14:textId="77777777" w:rsidR="00F66E1F" w:rsidRDefault="00000000">
            <w:r>
              <w:t>WER Set 2</w:t>
            </w:r>
          </w:p>
        </w:tc>
        <w:tc>
          <w:tcPr>
            <w:tcW w:w="1857" w:type="dxa"/>
            <w:shd w:val="clear" w:color="auto" w:fill="F2F2F2"/>
          </w:tcPr>
          <w:p w14:paraId="7F771466" w14:textId="77777777" w:rsidR="00F66E1F" w:rsidRDefault="00000000">
            <w:r>
              <w:t>Det. Rate Set 1</w:t>
            </w:r>
          </w:p>
        </w:tc>
        <w:tc>
          <w:tcPr>
            <w:tcW w:w="1857" w:type="dxa"/>
            <w:shd w:val="clear" w:color="auto" w:fill="F2F2F2"/>
          </w:tcPr>
          <w:p w14:paraId="7F771467" w14:textId="77777777" w:rsidR="00F66E1F" w:rsidRDefault="00000000">
            <w:r>
              <w:t>Det. Rate Set 2</w:t>
            </w:r>
          </w:p>
        </w:tc>
      </w:tr>
      <w:tr w:rsidR="00F66E1F" w14:paraId="7F77146E" w14:textId="77777777">
        <w:tc>
          <w:tcPr>
            <w:tcW w:w="2870" w:type="dxa"/>
          </w:tcPr>
          <w:p w14:paraId="7F771469" w14:textId="77777777" w:rsidR="00F66E1F" w:rsidRDefault="00000000">
            <w:r>
              <w:t>(a) CNN–Transformer, with PE</w:t>
            </w:r>
          </w:p>
        </w:tc>
        <w:tc>
          <w:tcPr>
            <w:tcW w:w="1388" w:type="dxa"/>
          </w:tcPr>
          <w:p w14:paraId="7F77146A" w14:textId="77777777" w:rsidR="00F66E1F" w:rsidRDefault="00000000">
            <w:r>
              <w:t>0.35</w:t>
            </w:r>
          </w:p>
        </w:tc>
        <w:tc>
          <w:tcPr>
            <w:tcW w:w="1388" w:type="dxa"/>
          </w:tcPr>
          <w:p w14:paraId="7F77146B" w14:textId="77777777" w:rsidR="00F66E1F" w:rsidRDefault="00000000">
            <w:r>
              <w:t>0.43</w:t>
            </w:r>
          </w:p>
        </w:tc>
        <w:tc>
          <w:tcPr>
            <w:tcW w:w="1857" w:type="dxa"/>
          </w:tcPr>
          <w:p w14:paraId="7F77146C" w14:textId="77777777" w:rsidR="00F66E1F" w:rsidRDefault="00000000">
            <w:r>
              <w:t>0.49</w:t>
            </w:r>
          </w:p>
        </w:tc>
        <w:tc>
          <w:tcPr>
            <w:tcW w:w="1857" w:type="dxa"/>
          </w:tcPr>
          <w:p w14:paraId="7F77146D" w14:textId="77777777" w:rsidR="00F66E1F" w:rsidRDefault="00000000">
            <w:r>
              <w:t>0.30</w:t>
            </w:r>
          </w:p>
        </w:tc>
      </w:tr>
      <w:tr w:rsidR="00F66E1F" w14:paraId="7F771474" w14:textId="77777777">
        <w:tc>
          <w:tcPr>
            <w:tcW w:w="2870" w:type="dxa"/>
          </w:tcPr>
          <w:p w14:paraId="7F77146F" w14:textId="77777777" w:rsidR="00F66E1F" w:rsidRDefault="00000000">
            <w:r>
              <w:t>(b) CNN–Transformer, without PE</w:t>
            </w:r>
          </w:p>
        </w:tc>
        <w:tc>
          <w:tcPr>
            <w:tcW w:w="1388" w:type="dxa"/>
          </w:tcPr>
          <w:p w14:paraId="7F771470" w14:textId="77777777" w:rsidR="00F66E1F" w:rsidRDefault="00000000">
            <w:r>
              <w:t>0.25</w:t>
            </w:r>
          </w:p>
        </w:tc>
        <w:tc>
          <w:tcPr>
            <w:tcW w:w="1388" w:type="dxa"/>
          </w:tcPr>
          <w:p w14:paraId="7F771471" w14:textId="77777777" w:rsidR="00F66E1F" w:rsidRDefault="00000000">
            <w:r>
              <w:t>0.27</w:t>
            </w:r>
          </w:p>
        </w:tc>
        <w:tc>
          <w:tcPr>
            <w:tcW w:w="1857" w:type="dxa"/>
          </w:tcPr>
          <w:p w14:paraId="7F771472" w14:textId="77777777" w:rsidR="00F66E1F" w:rsidRDefault="00000000">
            <w:r>
              <w:t>0.63</w:t>
            </w:r>
          </w:p>
        </w:tc>
        <w:tc>
          <w:tcPr>
            <w:tcW w:w="1857" w:type="dxa"/>
          </w:tcPr>
          <w:p w14:paraId="7F771473" w14:textId="77777777" w:rsidR="00F66E1F" w:rsidRDefault="00000000">
            <w:r>
              <w:t>0.42</w:t>
            </w:r>
          </w:p>
        </w:tc>
      </w:tr>
      <w:tr w:rsidR="00F66E1F" w14:paraId="7F77147A" w14:textId="77777777">
        <w:tc>
          <w:tcPr>
            <w:tcW w:w="2870" w:type="dxa"/>
          </w:tcPr>
          <w:p w14:paraId="7F771475" w14:textId="77777777" w:rsidR="00F66E1F" w:rsidRDefault="00000000">
            <w:r>
              <w:t>(c) Pre-trained Transformer, with PE</w:t>
            </w:r>
          </w:p>
        </w:tc>
        <w:tc>
          <w:tcPr>
            <w:tcW w:w="1388" w:type="dxa"/>
          </w:tcPr>
          <w:p w14:paraId="7F771476" w14:textId="77777777" w:rsidR="00F66E1F" w:rsidRDefault="00000000">
            <w:r>
              <w:t>0.18</w:t>
            </w:r>
          </w:p>
        </w:tc>
        <w:tc>
          <w:tcPr>
            <w:tcW w:w="1388" w:type="dxa"/>
          </w:tcPr>
          <w:p w14:paraId="7F771477" w14:textId="77777777" w:rsidR="00F66E1F" w:rsidRDefault="00000000">
            <w:r>
              <w:t>0.19</w:t>
            </w:r>
          </w:p>
        </w:tc>
        <w:tc>
          <w:tcPr>
            <w:tcW w:w="1857" w:type="dxa"/>
          </w:tcPr>
          <w:p w14:paraId="7F771478" w14:textId="77777777" w:rsidR="00F66E1F" w:rsidRDefault="00000000">
            <w:r>
              <w:t>0.30</w:t>
            </w:r>
          </w:p>
        </w:tc>
        <w:tc>
          <w:tcPr>
            <w:tcW w:w="1857" w:type="dxa"/>
          </w:tcPr>
          <w:p w14:paraId="7F771479" w14:textId="77777777" w:rsidR="00F66E1F" w:rsidRDefault="00000000">
            <w:r>
              <w:t>0.26</w:t>
            </w:r>
          </w:p>
        </w:tc>
      </w:tr>
      <w:tr w:rsidR="00F66E1F" w14:paraId="7F771480" w14:textId="77777777">
        <w:tc>
          <w:tcPr>
            <w:tcW w:w="2870" w:type="dxa"/>
          </w:tcPr>
          <w:p w14:paraId="7F77147B" w14:textId="77777777" w:rsidR="00F66E1F" w:rsidRDefault="00000000">
            <w:r>
              <w:t>(d) Pre-trained Transformer, without PE</w:t>
            </w:r>
          </w:p>
        </w:tc>
        <w:tc>
          <w:tcPr>
            <w:tcW w:w="1388" w:type="dxa"/>
          </w:tcPr>
          <w:p w14:paraId="7F77147C" w14:textId="77777777" w:rsidR="00F66E1F" w:rsidRDefault="00000000">
            <w:r>
              <w:t>0.19</w:t>
            </w:r>
          </w:p>
        </w:tc>
        <w:tc>
          <w:tcPr>
            <w:tcW w:w="1388" w:type="dxa"/>
          </w:tcPr>
          <w:p w14:paraId="7F77147D" w14:textId="77777777" w:rsidR="00F66E1F" w:rsidRDefault="00000000">
            <w:r>
              <w:t>0.20</w:t>
            </w:r>
          </w:p>
        </w:tc>
        <w:tc>
          <w:tcPr>
            <w:tcW w:w="1857" w:type="dxa"/>
          </w:tcPr>
          <w:p w14:paraId="7F77147E" w14:textId="77777777" w:rsidR="00F66E1F" w:rsidRDefault="00000000">
            <w:r>
              <w:t>0.43</w:t>
            </w:r>
          </w:p>
        </w:tc>
        <w:tc>
          <w:tcPr>
            <w:tcW w:w="1857" w:type="dxa"/>
          </w:tcPr>
          <w:p w14:paraId="7F77147F" w14:textId="77777777" w:rsidR="00F66E1F" w:rsidRDefault="00000000">
            <w:r>
              <w:t>0.26</w:t>
            </w:r>
          </w:p>
        </w:tc>
      </w:tr>
    </w:tbl>
    <w:p w14:paraId="7F771481" w14:textId="77777777" w:rsidR="00F66E1F" w:rsidRDefault="00000000">
      <w:r>
        <w:t xml:space="preserve">The best WER reported on the Continuous ISL dataset is </w:t>
      </w:r>
      <w:r>
        <w:rPr>
          <w:b/>
        </w:rPr>
        <w:t>19</w:t>
      </w:r>
      <w:r>
        <w:t xml:space="preserve">, obtained by the pose-pre-trained model with position encoding. The authors report that new signers, unseen in training, signing sequences that were present in the trained gloss set were </w:t>
      </w:r>
      <w:proofErr w:type="spellStart"/>
      <w:r>
        <w:t>recognised</w:t>
      </w:r>
      <w:proofErr w:type="spellEnd"/>
      <w:r>
        <w:t xml:space="preserve"> with 100 percent accuracy, and that a "best-case" test set (all words in vocabulary, detection rate above 50 percent) gave about 95 percent accuracy, which they take to support a signer-independent system. Typical errors are small insertions (an extra word) or deletions of short signs; with OOV glosses the model tends to substitute a similar in-vocabulary </w:t>
      </w:r>
      <w:r>
        <w:lastRenderedPageBreak/>
        <w:t>word or drop the word. The method also showed competitive performance on the German Phoenix-2014 and Phoenix-2014T datasets, previously published in [21].</w:t>
      </w:r>
    </w:p>
    <w:p w14:paraId="7F771482" w14:textId="77777777" w:rsidR="00F66E1F" w:rsidRDefault="00000000">
      <w:pPr>
        <w:pStyle w:val="Heading3"/>
      </w:pPr>
      <w:r>
        <w:t>D. Deployment and load test</w:t>
      </w:r>
    </w:p>
    <w:p w14:paraId="7F771483" w14:textId="77777777" w:rsidR="00F66E1F" w:rsidRDefault="00000000">
      <w:r>
        <w:t>In a 30-minute load test with users on different devices and networks, a single NVIDIA A6000 GPU with 40 GB memory served a peak of 74 concurrent users. This supports the claim that the lightweight design is suitable for web deployment.</w:t>
      </w:r>
    </w:p>
    <w:p w14:paraId="7F771484" w14:textId="77777777" w:rsidR="00F66E1F" w:rsidRDefault="00000000">
      <w:pPr>
        <w:pStyle w:val="Heading2"/>
      </w:pPr>
      <w:r>
        <w:t>VIII. Ablation Studies</w:t>
      </w:r>
    </w:p>
    <w:p w14:paraId="7F771485" w14:textId="77777777" w:rsidR="00F66E1F" w:rsidRDefault="00000000">
      <w:r>
        <w:rPr>
          <w:b/>
        </w:rPr>
        <w:t>Table V. Effect of Transformer pre-training and position encoding on WER [1]</w:t>
      </w:r>
    </w:p>
    <w:tbl>
      <w:tblPr>
        <w:tblStyle w:val="TableGrid"/>
        <w:tblW w:w="0" w:type="auto"/>
        <w:tblLayout w:type="fixed"/>
        <w:tblLook w:val="0420" w:firstRow="1" w:lastRow="0" w:firstColumn="0" w:lastColumn="0" w:noHBand="0" w:noVBand="1"/>
      </w:tblPr>
      <w:tblGrid>
        <w:gridCol w:w="3172"/>
        <w:gridCol w:w="4547"/>
        <w:gridCol w:w="1639"/>
      </w:tblGrid>
      <w:tr w:rsidR="00F66E1F" w14:paraId="7F771489" w14:textId="77777777">
        <w:trPr>
          <w:tblHeader/>
        </w:trPr>
        <w:tc>
          <w:tcPr>
            <w:tcW w:w="3172" w:type="dxa"/>
            <w:shd w:val="clear" w:color="auto" w:fill="F2F2F2"/>
          </w:tcPr>
          <w:p w14:paraId="7F771486" w14:textId="77777777" w:rsidR="00F66E1F" w:rsidRDefault="00000000">
            <w:r>
              <w:t>Pre-training</w:t>
            </w:r>
          </w:p>
        </w:tc>
        <w:tc>
          <w:tcPr>
            <w:tcW w:w="4547" w:type="dxa"/>
            <w:shd w:val="clear" w:color="auto" w:fill="F2F2F2"/>
          </w:tcPr>
          <w:p w14:paraId="7F771487" w14:textId="77777777" w:rsidR="00F66E1F" w:rsidRDefault="00000000">
            <w:r>
              <w:t>Position encoding</w:t>
            </w:r>
          </w:p>
        </w:tc>
        <w:tc>
          <w:tcPr>
            <w:tcW w:w="1639" w:type="dxa"/>
            <w:shd w:val="clear" w:color="auto" w:fill="F2F2F2"/>
          </w:tcPr>
          <w:p w14:paraId="7F771488" w14:textId="77777777" w:rsidR="00F66E1F" w:rsidRDefault="00000000">
            <w:r>
              <w:t>WER</w:t>
            </w:r>
          </w:p>
        </w:tc>
      </w:tr>
      <w:tr w:rsidR="00F66E1F" w14:paraId="7F77148D" w14:textId="77777777">
        <w:tc>
          <w:tcPr>
            <w:tcW w:w="3172" w:type="dxa"/>
          </w:tcPr>
          <w:p w14:paraId="7F77148A" w14:textId="77777777" w:rsidR="00F66E1F" w:rsidRDefault="00000000">
            <w:r>
              <w:t>No</w:t>
            </w:r>
          </w:p>
        </w:tc>
        <w:tc>
          <w:tcPr>
            <w:tcW w:w="4547" w:type="dxa"/>
          </w:tcPr>
          <w:p w14:paraId="7F77148B" w14:textId="77777777" w:rsidR="00F66E1F" w:rsidRDefault="00000000">
            <w:r>
              <w:t>No</w:t>
            </w:r>
          </w:p>
        </w:tc>
        <w:tc>
          <w:tcPr>
            <w:tcW w:w="1639" w:type="dxa"/>
          </w:tcPr>
          <w:p w14:paraId="7F77148C" w14:textId="77777777" w:rsidR="00F66E1F" w:rsidRDefault="00000000">
            <w:r>
              <w:t>27</w:t>
            </w:r>
          </w:p>
        </w:tc>
      </w:tr>
      <w:tr w:rsidR="00F66E1F" w14:paraId="7F771491" w14:textId="77777777">
        <w:tc>
          <w:tcPr>
            <w:tcW w:w="3172" w:type="dxa"/>
          </w:tcPr>
          <w:p w14:paraId="7F77148E" w14:textId="77777777" w:rsidR="00F66E1F" w:rsidRDefault="00000000">
            <w:r>
              <w:t>Yes</w:t>
            </w:r>
          </w:p>
        </w:tc>
        <w:tc>
          <w:tcPr>
            <w:tcW w:w="4547" w:type="dxa"/>
          </w:tcPr>
          <w:p w14:paraId="7F77148F" w14:textId="77777777" w:rsidR="00F66E1F" w:rsidRDefault="00000000">
            <w:r>
              <w:t>No</w:t>
            </w:r>
          </w:p>
        </w:tc>
        <w:tc>
          <w:tcPr>
            <w:tcW w:w="1639" w:type="dxa"/>
          </w:tcPr>
          <w:p w14:paraId="7F771490" w14:textId="77777777" w:rsidR="00F66E1F" w:rsidRDefault="00000000">
            <w:r>
              <w:t>21</w:t>
            </w:r>
          </w:p>
        </w:tc>
      </w:tr>
      <w:tr w:rsidR="00F66E1F" w14:paraId="7F771495" w14:textId="77777777">
        <w:tc>
          <w:tcPr>
            <w:tcW w:w="3172" w:type="dxa"/>
          </w:tcPr>
          <w:p w14:paraId="7F771492" w14:textId="77777777" w:rsidR="00F66E1F" w:rsidRDefault="00000000">
            <w:r>
              <w:t>No</w:t>
            </w:r>
          </w:p>
        </w:tc>
        <w:tc>
          <w:tcPr>
            <w:tcW w:w="4547" w:type="dxa"/>
          </w:tcPr>
          <w:p w14:paraId="7F771493" w14:textId="77777777" w:rsidR="00F66E1F" w:rsidRDefault="00000000">
            <w:r>
              <w:t>Yes</w:t>
            </w:r>
          </w:p>
        </w:tc>
        <w:tc>
          <w:tcPr>
            <w:tcW w:w="1639" w:type="dxa"/>
          </w:tcPr>
          <w:p w14:paraId="7F771494" w14:textId="77777777" w:rsidR="00F66E1F" w:rsidRDefault="00000000">
            <w:r>
              <w:t>43</w:t>
            </w:r>
          </w:p>
        </w:tc>
      </w:tr>
      <w:tr w:rsidR="00F66E1F" w14:paraId="7F771499" w14:textId="77777777">
        <w:tc>
          <w:tcPr>
            <w:tcW w:w="3172" w:type="dxa"/>
          </w:tcPr>
          <w:p w14:paraId="7F771496" w14:textId="77777777" w:rsidR="00F66E1F" w:rsidRDefault="00000000">
            <w:r>
              <w:t>Yes</w:t>
            </w:r>
          </w:p>
        </w:tc>
        <w:tc>
          <w:tcPr>
            <w:tcW w:w="4547" w:type="dxa"/>
          </w:tcPr>
          <w:p w14:paraId="7F771497" w14:textId="77777777" w:rsidR="00F66E1F" w:rsidRDefault="00000000">
            <w:r>
              <w:t>Yes</w:t>
            </w:r>
          </w:p>
        </w:tc>
        <w:tc>
          <w:tcPr>
            <w:tcW w:w="1639" w:type="dxa"/>
          </w:tcPr>
          <w:p w14:paraId="7F771498" w14:textId="77777777" w:rsidR="00F66E1F" w:rsidRDefault="00000000">
            <w:r>
              <w:t>19</w:t>
            </w:r>
          </w:p>
        </w:tc>
      </w:tr>
    </w:tbl>
    <w:p w14:paraId="7F77149A" w14:textId="77777777" w:rsidR="00F66E1F" w:rsidRDefault="00000000">
      <w:r>
        <w:t>Pre-training lowers WER in both settings (27 to 21 without PE, 43 to 19 with PE). Position encoding helps only together with pre-training: without pre-training the model without PE is clearly better (27 versus 43). The authors argue that because the data have a constrained context and the task is dominated by word-level recognition, position information matters less than in tasks such as machine translation.</w:t>
      </w:r>
    </w:p>
    <w:p w14:paraId="7F77149B" w14:textId="77777777" w:rsidR="00F66E1F" w:rsidRDefault="00000000">
      <w:r>
        <w:rPr>
          <w:b/>
        </w:rPr>
        <w:t>Table VI. Other ablations reported in [1]</w:t>
      </w:r>
    </w:p>
    <w:tbl>
      <w:tblPr>
        <w:tblStyle w:val="TableGrid"/>
        <w:tblW w:w="0" w:type="auto"/>
        <w:tblLayout w:type="fixed"/>
        <w:tblLook w:val="0420" w:firstRow="1" w:lastRow="0" w:firstColumn="0" w:lastColumn="0" w:noHBand="0" w:noVBand="1"/>
      </w:tblPr>
      <w:tblGrid>
        <w:gridCol w:w="3283"/>
        <w:gridCol w:w="6076"/>
      </w:tblGrid>
      <w:tr w:rsidR="00F66E1F" w14:paraId="7F77149E" w14:textId="77777777">
        <w:trPr>
          <w:tblHeader/>
        </w:trPr>
        <w:tc>
          <w:tcPr>
            <w:tcW w:w="3283" w:type="dxa"/>
            <w:shd w:val="clear" w:color="auto" w:fill="F2F2F2"/>
          </w:tcPr>
          <w:p w14:paraId="7F77149C" w14:textId="77777777" w:rsidR="00F66E1F" w:rsidRDefault="00000000">
            <w:r>
              <w:t>Factor</w:t>
            </w:r>
          </w:p>
        </w:tc>
        <w:tc>
          <w:tcPr>
            <w:tcW w:w="6076" w:type="dxa"/>
            <w:shd w:val="clear" w:color="auto" w:fill="F2F2F2"/>
          </w:tcPr>
          <w:p w14:paraId="7F77149D" w14:textId="77777777" w:rsidR="00F66E1F" w:rsidRDefault="00000000">
            <w:r>
              <w:t>Finding</w:t>
            </w:r>
          </w:p>
        </w:tc>
      </w:tr>
      <w:tr w:rsidR="00F66E1F" w14:paraId="7F7714A1" w14:textId="77777777">
        <w:tc>
          <w:tcPr>
            <w:tcW w:w="3283" w:type="dxa"/>
          </w:tcPr>
          <w:p w14:paraId="7F77149F" w14:textId="77777777" w:rsidR="00F66E1F" w:rsidRDefault="00000000">
            <w:r>
              <w:t>Background complexity</w:t>
            </w:r>
          </w:p>
        </w:tc>
        <w:tc>
          <w:tcPr>
            <w:tcW w:w="6076" w:type="dxa"/>
          </w:tcPr>
          <w:p w14:paraId="7F7714A0" w14:textId="77777777" w:rsidR="00F66E1F" w:rsidRDefault="00000000">
            <w:r>
              <w:t>Performance independent of plain or cluttered background; a check warns if more than one person is in frame</w:t>
            </w:r>
          </w:p>
        </w:tc>
      </w:tr>
      <w:tr w:rsidR="00F66E1F" w14:paraId="7F7714A4" w14:textId="77777777">
        <w:tc>
          <w:tcPr>
            <w:tcW w:w="3283" w:type="dxa"/>
          </w:tcPr>
          <w:p w14:paraId="7F7714A2" w14:textId="77777777" w:rsidR="00F66E1F" w:rsidRDefault="00000000">
            <w:r>
              <w:t>Signing speed</w:t>
            </w:r>
          </w:p>
        </w:tc>
        <w:tc>
          <w:tcPr>
            <w:tcW w:w="6076" w:type="dxa"/>
          </w:tcPr>
          <w:p w14:paraId="7F7714A3" w14:textId="77777777" w:rsidR="00F66E1F" w:rsidRDefault="00000000">
            <w:r>
              <w:t>Slow and medium speeds reliable; fast signing increases errors, mainly deletions, due to co-articulation</w:t>
            </w:r>
          </w:p>
        </w:tc>
      </w:tr>
      <w:tr w:rsidR="00F66E1F" w14:paraId="7F7714A7" w14:textId="77777777">
        <w:tc>
          <w:tcPr>
            <w:tcW w:w="3283" w:type="dxa"/>
          </w:tcPr>
          <w:p w14:paraId="7F7714A5" w14:textId="77777777" w:rsidR="00F66E1F" w:rsidRDefault="00000000">
            <w:r>
              <w:t>Hand dominance</w:t>
            </w:r>
          </w:p>
        </w:tc>
        <w:tc>
          <w:tcPr>
            <w:tcW w:w="6076" w:type="dxa"/>
          </w:tcPr>
          <w:p w14:paraId="7F7714A6" w14:textId="77777777" w:rsidR="00F66E1F" w:rsidRDefault="00000000">
            <w:r>
              <w:t>Consistent for left- and right-dominant signers, attributed to horizontal-flip augmentation</w:t>
            </w:r>
          </w:p>
        </w:tc>
      </w:tr>
      <w:tr w:rsidR="00F66E1F" w14:paraId="7F7714AA" w14:textId="77777777">
        <w:tc>
          <w:tcPr>
            <w:tcW w:w="3283" w:type="dxa"/>
          </w:tcPr>
          <w:p w14:paraId="7F7714A8" w14:textId="77777777" w:rsidR="00F66E1F" w:rsidRDefault="00000000">
            <w:r>
              <w:t>Capturing mode</w:t>
            </w:r>
          </w:p>
        </w:tc>
        <w:tc>
          <w:tcPr>
            <w:tcW w:w="6076" w:type="dxa"/>
          </w:tcPr>
          <w:p w14:paraId="7F7714A9" w14:textId="77777777" w:rsidR="00F66E1F" w:rsidRDefault="00000000">
            <w:r>
              <w:t>Landscape more reliable; in portrait the hands often leave the frame</w:t>
            </w:r>
          </w:p>
        </w:tc>
      </w:tr>
      <w:tr w:rsidR="00F66E1F" w14:paraId="7F7714AD" w14:textId="77777777">
        <w:tc>
          <w:tcPr>
            <w:tcW w:w="3283" w:type="dxa"/>
          </w:tcPr>
          <w:p w14:paraId="7F7714AB" w14:textId="77777777" w:rsidR="00F66E1F" w:rsidRDefault="00000000">
            <w:r>
              <w:t>Versus German data</w:t>
            </w:r>
          </w:p>
        </w:tc>
        <w:tc>
          <w:tcPr>
            <w:tcW w:w="6076" w:type="dxa"/>
          </w:tcPr>
          <w:p w14:paraId="7F7714AC" w14:textId="77777777" w:rsidR="00F66E1F" w:rsidRDefault="00000000">
            <w:r>
              <w:t>ISL data are harder (varied backgrounds, angles, clothing, novel signers, OOV glosses) than studio-recorded German data</w:t>
            </w:r>
          </w:p>
        </w:tc>
      </w:tr>
    </w:tbl>
    <w:p w14:paraId="7F7714AE" w14:textId="77777777" w:rsidR="00F66E1F" w:rsidRDefault="00000000">
      <w:pPr>
        <w:pStyle w:val="Heading2"/>
      </w:pPr>
      <w:r>
        <w:lastRenderedPageBreak/>
        <w:t>IX. Critical Discussion</w:t>
      </w:r>
    </w:p>
    <w:p w14:paraId="7F7714AF" w14:textId="77777777" w:rsidR="00F66E1F" w:rsidRDefault="00000000">
      <w:proofErr w:type="spellStart"/>
      <w:r>
        <w:t>SignFlow</w:t>
      </w:r>
      <w:proofErr w:type="spellEnd"/>
      <w:r>
        <w:t xml:space="preserve"> is a well-motivated, deployment-oriented system, and several of its ideas are practical contributions. This section separates what the evidence supports from what remains uncertain. The points below are our own reading of [1].</w:t>
      </w:r>
    </w:p>
    <w:p w14:paraId="7F7714B0" w14:textId="77777777" w:rsidR="00F66E1F" w:rsidRDefault="00000000">
      <w:pPr>
        <w:pStyle w:val="Heading3"/>
      </w:pPr>
      <w:r>
        <w:t>A. Strengths</w:t>
      </w:r>
    </w:p>
    <w:p w14:paraId="7F7714B1" w14:textId="77777777" w:rsidR="00F66E1F" w:rsidRDefault="00000000">
      <w:pPr>
        <w:pStyle w:val="ListParagraph"/>
        <w:numPr>
          <w:ilvl w:val="0"/>
          <w:numId w:val="7"/>
        </w:numPr>
      </w:pPr>
      <w:r>
        <w:rPr>
          <w:b/>
        </w:rPr>
        <w:t>Domain-matched pre-training.</w:t>
      </w:r>
      <w:r>
        <w:t xml:space="preserve"> Pre-training the CNN on isolated ISL words and the Transformer on pose features exploits the similarity between pre-training and target data and gives clear WER gains in the ablation (for example 43 to 19 with PE).</w:t>
      </w:r>
    </w:p>
    <w:p w14:paraId="7F7714B2" w14:textId="77777777" w:rsidR="00F66E1F" w:rsidRDefault="00000000">
      <w:pPr>
        <w:pStyle w:val="ListParagraph"/>
        <w:numPr>
          <w:ilvl w:val="0"/>
          <w:numId w:val="7"/>
        </w:numPr>
      </w:pPr>
      <w:r>
        <w:rPr>
          <w:b/>
        </w:rPr>
        <w:t>Practical pre-processing.</w:t>
      </w:r>
      <w:r>
        <w:t xml:space="preserve"> Alignment correction and similarity-based down-sampling to 6 fps address real deployment problems (</w:t>
      </w:r>
      <w:proofErr w:type="spellStart"/>
      <w:r>
        <w:t>off-centre</w:t>
      </w:r>
      <w:proofErr w:type="spellEnd"/>
      <w:r>
        <w:t xml:space="preserve"> signers, mixed devices) that benchmark-oriented work seldom handles.</w:t>
      </w:r>
    </w:p>
    <w:p w14:paraId="7F7714B3" w14:textId="77777777" w:rsidR="00F66E1F" w:rsidRDefault="00000000">
      <w:pPr>
        <w:pStyle w:val="ListParagraph"/>
        <w:numPr>
          <w:ilvl w:val="0"/>
          <w:numId w:val="7"/>
        </w:numPr>
      </w:pPr>
      <w:r>
        <w:rPr>
          <w:b/>
        </w:rPr>
        <w:t>Application-aware evaluation.</w:t>
      </w:r>
      <w:r>
        <w:t xml:space="preserve"> The Detection Rate </w:t>
      </w:r>
      <w:proofErr w:type="spellStart"/>
      <w:r>
        <w:t>recognises</w:t>
      </w:r>
      <w:proofErr w:type="spellEnd"/>
      <w:r>
        <w:t xml:space="preserve"> that, for retrieval-based chatbots, finding the keywords matters more than word order, and the deployed model was selected on that basis.</w:t>
      </w:r>
    </w:p>
    <w:p w14:paraId="7F7714B4" w14:textId="77777777" w:rsidR="00F66E1F" w:rsidRDefault="00000000">
      <w:pPr>
        <w:pStyle w:val="ListParagraph"/>
        <w:numPr>
          <w:ilvl w:val="0"/>
          <w:numId w:val="7"/>
        </w:numPr>
      </w:pPr>
      <w:r>
        <w:rPr>
          <w:b/>
        </w:rPr>
        <w:t>Lightweight design.</w:t>
      </w:r>
      <w:r>
        <w:t xml:space="preserve"> A single 3D </w:t>
      </w:r>
      <w:proofErr w:type="spellStart"/>
      <w:r>
        <w:t>ResNet</w:t>
      </w:r>
      <w:proofErr w:type="spellEnd"/>
      <w:r>
        <w:t xml:space="preserve"> plus an 8-layer encoder, with a reported 74 concurrent users on one GPU, is attractive for low-cost public services.</w:t>
      </w:r>
    </w:p>
    <w:p w14:paraId="7F7714B5" w14:textId="77777777" w:rsidR="00F66E1F" w:rsidRDefault="00000000">
      <w:pPr>
        <w:pStyle w:val="ListParagraph"/>
        <w:numPr>
          <w:ilvl w:val="0"/>
          <w:numId w:val="7"/>
        </w:numPr>
      </w:pPr>
      <w:r>
        <w:rPr>
          <w:b/>
        </w:rPr>
        <w:t>A needed resource.</w:t>
      </w:r>
      <w:r>
        <w:t xml:space="preserve"> The two corpora, with 13 signers, certified interpreters and ISLRTC-standard signs, fill a real gap if released.</w:t>
      </w:r>
    </w:p>
    <w:p w14:paraId="7F7714B6" w14:textId="77777777" w:rsidR="00F66E1F" w:rsidRDefault="00000000">
      <w:pPr>
        <w:pStyle w:val="Heading3"/>
      </w:pPr>
      <w:r>
        <w:t>B. Points that need caution</w:t>
      </w:r>
    </w:p>
    <w:p w14:paraId="7F7714B7" w14:textId="77777777" w:rsidR="00F66E1F" w:rsidRDefault="00000000">
      <w:pPr>
        <w:pStyle w:val="ListParagraph"/>
        <w:numPr>
          <w:ilvl w:val="0"/>
          <w:numId w:val="8"/>
        </w:numPr>
      </w:pPr>
      <w:r>
        <w:rPr>
          <w:b/>
        </w:rPr>
        <w:t>Small, scripted, in-domain evaluation.</w:t>
      </w:r>
      <w:r>
        <w:t xml:space="preserve"> The vocabulary is 163 words and 226 sentences from one service domain, and the real-time test sets were authored by the researchers. WER 19 is therefore not comparable with results on open-vocabulary benchmarks such as PHOENIX-2014T.</w:t>
      </w:r>
    </w:p>
    <w:p w14:paraId="7F7714B8" w14:textId="77777777" w:rsidR="00F66E1F" w:rsidRDefault="00000000">
      <w:pPr>
        <w:pStyle w:val="ListParagraph"/>
        <w:numPr>
          <w:ilvl w:val="0"/>
          <w:numId w:val="8"/>
        </w:numPr>
      </w:pPr>
      <w:r>
        <w:rPr>
          <w:b/>
        </w:rPr>
        <w:t>WER versus deployment choice.</w:t>
      </w:r>
      <w:r>
        <w:t xml:space="preserve"> The lowest-WER model (19, pre-trained with PE) is not the one deployed; the deployed model (b) has a much higher WER (about 0.25 to 0.27 from the charts). Readers should not read WER 19 as the accuracy of the live system. Model (b) also has the highest detection rate, yet the detection rate itself is only about 0.63 on in-vocabulary sentences and 0.42 with OOV words, so a large share of reference words is still missed.</w:t>
      </w:r>
    </w:p>
    <w:p w14:paraId="7F7714B9" w14:textId="77777777" w:rsidR="00F66E1F" w:rsidRDefault="00000000">
      <w:pPr>
        <w:pStyle w:val="ListParagraph"/>
        <w:numPr>
          <w:ilvl w:val="0"/>
          <w:numId w:val="8"/>
        </w:numPr>
      </w:pPr>
      <w:r>
        <w:rPr>
          <w:b/>
        </w:rPr>
        <w:t>Evidence for signer independence.</w:t>
      </w:r>
      <w:r>
        <w:t xml:space="preserve"> The 100 percent and 95 percent figures are described for particular </w:t>
      </w:r>
      <w:proofErr w:type="spellStart"/>
      <w:r>
        <w:t>favourable</w:t>
      </w:r>
      <w:proofErr w:type="spellEnd"/>
      <w:r>
        <w:t xml:space="preserve"> test conditions (known gloss sequences, in-vocabulary words, detection rate above 50 percent). Since 13 signers are used for training and the number and demographics of unseen test signers are not detailed, a stronger protocol (a signer-disjoint split reported with confidence intervals) would be needed to establish signer independence.</w:t>
      </w:r>
    </w:p>
    <w:p w14:paraId="7F7714BA" w14:textId="77777777" w:rsidR="00F66E1F" w:rsidRDefault="00000000">
      <w:pPr>
        <w:pStyle w:val="ListParagraph"/>
        <w:numPr>
          <w:ilvl w:val="0"/>
          <w:numId w:val="8"/>
        </w:numPr>
      </w:pPr>
      <w:r>
        <w:rPr>
          <w:b/>
        </w:rPr>
        <w:t>Approximate numbers.</w:t>
      </w:r>
      <w:r>
        <w:t xml:space="preserve"> Several results appear only as charts, so exact values and variance across runs are not available.</w:t>
      </w:r>
    </w:p>
    <w:p w14:paraId="7F7714BB" w14:textId="77777777" w:rsidR="00F66E1F" w:rsidRDefault="00000000">
      <w:pPr>
        <w:pStyle w:val="ListParagraph"/>
        <w:numPr>
          <w:ilvl w:val="0"/>
          <w:numId w:val="8"/>
        </w:numPr>
      </w:pPr>
      <w:r>
        <w:rPr>
          <w:b/>
        </w:rPr>
        <w:t>Ambiguity in the pre-training description.</w:t>
      </w:r>
      <w:r>
        <w:t xml:space="preserve"> The text describes the Transformer as pre-trained with CTC on continuous videos, but also states that both networks were pre-trained on isolated word videos for a classification task, and the pose network diagram ends in an ISL word output. A reproduction would need this clarified.</w:t>
      </w:r>
    </w:p>
    <w:p w14:paraId="7F7714BC" w14:textId="77777777" w:rsidR="00F66E1F" w:rsidRDefault="00000000">
      <w:pPr>
        <w:pStyle w:val="ListParagraph"/>
        <w:numPr>
          <w:ilvl w:val="0"/>
          <w:numId w:val="8"/>
        </w:numPr>
      </w:pPr>
      <w:r>
        <w:rPr>
          <w:b/>
        </w:rPr>
        <w:t>Non-manual signals.</w:t>
      </w:r>
      <w:r>
        <w:t xml:space="preserve"> Facial expression and head movement, which carry grammatical information in ISL, are not explicitly modelled, and only upper-body pose and hands are used.</w:t>
      </w:r>
    </w:p>
    <w:p w14:paraId="7F7714BD" w14:textId="77777777" w:rsidR="00F66E1F" w:rsidRDefault="00000000">
      <w:pPr>
        <w:pStyle w:val="ListParagraph"/>
        <w:numPr>
          <w:ilvl w:val="0"/>
          <w:numId w:val="8"/>
        </w:numPr>
      </w:pPr>
      <w:r>
        <w:rPr>
          <w:b/>
        </w:rPr>
        <w:t>Data availability.</w:t>
      </w:r>
      <w:r>
        <w:t xml:space="preserve"> Until the datasets are published, independent verification is not possible.</w:t>
      </w:r>
    </w:p>
    <w:p w14:paraId="7F7714BE" w14:textId="77777777" w:rsidR="00F66E1F" w:rsidRDefault="00000000">
      <w:pPr>
        <w:pStyle w:val="Heading2"/>
      </w:pPr>
      <w:r>
        <w:lastRenderedPageBreak/>
        <w:t>X. Applications</w:t>
      </w:r>
    </w:p>
    <w:p w14:paraId="7F7714BF" w14:textId="77777777" w:rsidR="00F66E1F" w:rsidRDefault="00000000">
      <w:pPr>
        <w:pStyle w:val="ListParagraph"/>
        <w:numPr>
          <w:ilvl w:val="0"/>
          <w:numId w:val="9"/>
        </w:numPr>
      </w:pPr>
      <w:r>
        <w:rPr>
          <w:b/>
        </w:rPr>
        <w:t>Government and public services:</w:t>
      </w:r>
      <w:r>
        <w:t xml:space="preserve"> sign-enabled chatbots, such as the </w:t>
      </w:r>
      <w:proofErr w:type="spellStart"/>
      <w:r>
        <w:t>eRaktkosh</w:t>
      </w:r>
      <w:proofErr w:type="spellEnd"/>
      <w:r>
        <w:t xml:space="preserve"> assistant on the UMANG application, give deaf citizens access to services without an interpreter.</w:t>
      </w:r>
    </w:p>
    <w:p w14:paraId="7F7714C0" w14:textId="77777777" w:rsidR="00F66E1F" w:rsidRDefault="00000000">
      <w:pPr>
        <w:pStyle w:val="ListParagraph"/>
        <w:numPr>
          <w:ilvl w:val="0"/>
          <w:numId w:val="9"/>
        </w:numPr>
      </w:pPr>
      <w:r>
        <w:rPr>
          <w:b/>
        </w:rPr>
        <w:t>Healthcare:</w:t>
      </w:r>
      <w:r>
        <w:t xml:space="preserve"> deaf patients can ask about appointments, blood availability or procedures at kiosks or help desks.</w:t>
      </w:r>
    </w:p>
    <w:p w14:paraId="7F7714C1" w14:textId="77777777" w:rsidR="00F66E1F" w:rsidRDefault="00000000">
      <w:pPr>
        <w:pStyle w:val="ListParagraph"/>
        <w:numPr>
          <w:ilvl w:val="0"/>
          <w:numId w:val="9"/>
        </w:numPr>
      </w:pPr>
      <w:r>
        <w:rPr>
          <w:b/>
        </w:rPr>
        <w:t>Education:</w:t>
      </w:r>
      <w:r>
        <w:t xml:space="preserve"> classroom interaction, ISL-learning tools and e-learning content for deaf students.</w:t>
      </w:r>
    </w:p>
    <w:p w14:paraId="7F7714C2" w14:textId="77777777" w:rsidR="00F66E1F" w:rsidRDefault="00000000">
      <w:pPr>
        <w:pStyle w:val="ListParagraph"/>
        <w:numPr>
          <w:ilvl w:val="0"/>
          <w:numId w:val="9"/>
        </w:numPr>
      </w:pPr>
      <w:r>
        <w:rPr>
          <w:b/>
        </w:rPr>
        <w:t>Customer support:</w:t>
      </w:r>
      <w:r>
        <w:t xml:space="preserve"> banks, railways, telecom and retail help-desks offering video support in ISL.</w:t>
      </w:r>
    </w:p>
    <w:p w14:paraId="7F7714C3" w14:textId="77777777" w:rsidR="00F66E1F" w:rsidRDefault="00000000">
      <w:pPr>
        <w:pStyle w:val="ListParagraph"/>
        <w:numPr>
          <w:ilvl w:val="0"/>
          <w:numId w:val="9"/>
        </w:numPr>
      </w:pPr>
      <w:r>
        <w:rPr>
          <w:b/>
        </w:rPr>
        <w:t>Legal and emergency assistance:</w:t>
      </w:r>
      <w:r>
        <w:t xml:space="preserve"> communication with police, courts and emergency services where interpreters are scarce.</w:t>
      </w:r>
    </w:p>
    <w:p w14:paraId="7F7714C4" w14:textId="77777777" w:rsidR="00F66E1F" w:rsidRDefault="00000000">
      <w:pPr>
        <w:pStyle w:val="ListParagraph"/>
        <w:numPr>
          <w:ilvl w:val="0"/>
          <w:numId w:val="9"/>
        </w:numPr>
      </w:pPr>
      <w:r>
        <w:rPr>
          <w:b/>
        </w:rPr>
        <w:t>Research:</w:t>
      </w:r>
      <w:r>
        <w:t xml:space="preserve"> the corpora, pose-based pre-training and detection-rate metric can be reused for other Indian domains and for sign language translation.</w:t>
      </w:r>
    </w:p>
    <w:p w14:paraId="7F7714C5" w14:textId="77777777" w:rsidR="00F66E1F" w:rsidRDefault="00000000">
      <w:pPr>
        <w:pStyle w:val="Heading2"/>
      </w:pPr>
      <w:r>
        <w:t>XI. Limitations and Future Directions</w:t>
      </w:r>
    </w:p>
    <w:p w14:paraId="7F7714C6" w14:textId="77777777" w:rsidR="00F66E1F" w:rsidRDefault="00000000">
      <w:pPr>
        <w:pStyle w:val="Heading3"/>
      </w:pPr>
      <w:r>
        <w:t xml:space="preserve">A. Limitations reported for </w:t>
      </w:r>
      <w:proofErr w:type="spellStart"/>
      <w:r>
        <w:t>SignFlow</w:t>
      </w:r>
      <w:proofErr w:type="spellEnd"/>
    </w:p>
    <w:p w14:paraId="7F7714C7" w14:textId="77777777" w:rsidR="00F66E1F" w:rsidRDefault="00000000">
      <w:r>
        <w:t xml:space="preserve">Out-of-vocabulary signs make accurate recognition difficult and also disturb the detection of in-vocabulary words. Fast signing raises deletion errors because of co-articulation. The vocabulary is restricted to the </w:t>
      </w:r>
      <w:proofErr w:type="spellStart"/>
      <w:r>
        <w:t>eRaktkosh</w:t>
      </w:r>
      <w:proofErr w:type="spellEnd"/>
      <w:r>
        <w:t xml:space="preserve"> domain, so general ISL conversation is unsupported. Portrait recordings often cut off the hands, at least 6 fps is needed for prediction, and multiple people in the frame reduce accuracy.</w:t>
      </w:r>
    </w:p>
    <w:p w14:paraId="7F7714C8" w14:textId="77777777" w:rsidR="00F66E1F" w:rsidRDefault="00000000">
      <w:pPr>
        <w:pStyle w:val="Heading3"/>
      </w:pPr>
      <w:r>
        <w:t>B. Research directions</w:t>
      </w:r>
    </w:p>
    <w:p w14:paraId="7F7714C9" w14:textId="77777777" w:rsidR="00F66E1F" w:rsidRDefault="00000000">
      <w:pPr>
        <w:pStyle w:val="ListParagraph"/>
        <w:numPr>
          <w:ilvl w:val="0"/>
          <w:numId w:val="10"/>
        </w:numPr>
      </w:pPr>
      <w:r>
        <w:rPr>
          <w:b/>
        </w:rPr>
        <w:t>Larger and more diverse data:</w:t>
      </w:r>
      <w:r>
        <w:t xml:space="preserve"> more words, sentences and signers, including fast signers, to reduce OOV and deletion errors.</w:t>
      </w:r>
    </w:p>
    <w:p w14:paraId="7F7714CA" w14:textId="77777777" w:rsidR="00F66E1F" w:rsidRDefault="00000000">
      <w:pPr>
        <w:pStyle w:val="ListParagraph"/>
        <w:numPr>
          <w:ilvl w:val="0"/>
          <w:numId w:val="10"/>
        </w:numPr>
      </w:pPr>
      <w:r>
        <w:rPr>
          <w:b/>
        </w:rPr>
        <w:t>OOV handling:</w:t>
      </w:r>
      <w:r>
        <w:t xml:space="preserve"> detect unknown signs and ask the user to rephrase, or learn new signs from few examples.</w:t>
      </w:r>
    </w:p>
    <w:p w14:paraId="7F7714CB" w14:textId="77777777" w:rsidR="00F66E1F" w:rsidRDefault="00000000">
      <w:pPr>
        <w:pStyle w:val="ListParagraph"/>
        <w:numPr>
          <w:ilvl w:val="0"/>
          <w:numId w:val="10"/>
        </w:numPr>
      </w:pPr>
      <w:r>
        <w:rPr>
          <w:b/>
        </w:rPr>
        <w:t>Attention-based sequence-to-sequence models:</w:t>
      </w:r>
      <w:r>
        <w:t xml:space="preserve"> explore alternatives to CTC that may improve alignment, as suggested in [1].</w:t>
      </w:r>
    </w:p>
    <w:p w14:paraId="7F7714CC" w14:textId="77777777" w:rsidR="00F66E1F" w:rsidRDefault="00000000">
      <w:pPr>
        <w:pStyle w:val="ListParagraph"/>
        <w:numPr>
          <w:ilvl w:val="0"/>
          <w:numId w:val="10"/>
        </w:numPr>
      </w:pPr>
      <w:r>
        <w:rPr>
          <w:b/>
        </w:rPr>
        <w:t xml:space="preserve">Keyword-oriented </w:t>
      </w:r>
      <w:proofErr w:type="spellStart"/>
      <w:r>
        <w:rPr>
          <w:b/>
        </w:rPr>
        <w:t>optimisation</w:t>
      </w:r>
      <w:proofErr w:type="spellEnd"/>
      <w:r>
        <w:rPr>
          <w:b/>
        </w:rPr>
        <w:t>:</w:t>
      </w:r>
      <w:r>
        <w:t xml:space="preserve"> train and select models directly for detection rate.</w:t>
      </w:r>
    </w:p>
    <w:p w14:paraId="7F7714CD" w14:textId="77777777" w:rsidR="00F66E1F" w:rsidRDefault="00000000">
      <w:pPr>
        <w:pStyle w:val="ListParagraph"/>
        <w:numPr>
          <w:ilvl w:val="0"/>
          <w:numId w:val="10"/>
        </w:numPr>
      </w:pPr>
      <w:r>
        <w:rPr>
          <w:b/>
        </w:rPr>
        <w:t>Non-manual cues:</w:t>
      </w:r>
      <w:r>
        <w:t xml:space="preserve"> add facial expression and head movement features.</w:t>
      </w:r>
    </w:p>
    <w:p w14:paraId="7F7714CE" w14:textId="77777777" w:rsidR="00F66E1F" w:rsidRDefault="00000000">
      <w:pPr>
        <w:pStyle w:val="ListParagraph"/>
        <w:numPr>
          <w:ilvl w:val="0"/>
          <w:numId w:val="10"/>
        </w:numPr>
      </w:pPr>
      <w:r>
        <w:rPr>
          <w:b/>
        </w:rPr>
        <w:t>Sign language translation:</w:t>
      </w:r>
      <w:r>
        <w:t xml:space="preserve"> convert glosses to fluent text or speech in English and Indian languages, and generate ISL output for two-way communication.</w:t>
      </w:r>
    </w:p>
    <w:p w14:paraId="7F7714CF" w14:textId="77777777" w:rsidR="00F66E1F" w:rsidRDefault="00000000">
      <w:pPr>
        <w:pStyle w:val="ListParagraph"/>
        <w:numPr>
          <w:ilvl w:val="0"/>
          <w:numId w:val="10"/>
        </w:numPr>
      </w:pPr>
      <w:r>
        <w:rPr>
          <w:b/>
        </w:rPr>
        <w:t>Edge deployment:</w:t>
      </w:r>
      <w:r>
        <w:t xml:space="preserve"> compress the model for smartphones to lower server cost and latency.</w:t>
      </w:r>
    </w:p>
    <w:p w14:paraId="7F7714D0" w14:textId="77777777" w:rsidR="00F66E1F" w:rsidRDefault="00000000">
      <w:pPr>
        <w:pStyle w:val="ListParagraph"/>
        <w:numPr>
          <w:ilvl w:val="0"/>
          <w:numId w:val="10"/>
        </w:numPr>
      </w:pPr>
      <w:r>
        <w:rPr>
          <w:b/>
        </w:rPr>
        <w:t>Robust evaluation:</w:t>
      </w:r>
      <w:r>
        <w:t xml:space="preserve"> signer-disjoint splits, open-vocabulary test sets and public benchmarks for ISL.</w:t>
      </w:r>
    </w:p>
    <w:p w14:paraId="7F7714D1" w14:textId="77777777" w:rsidR="00F66E1F" w:rsidRDefault="00000000">
      <w:pPr>
        <w:pStyle w:val="Heading2"/>
      </w:pPr>
      <w:r>
        <w:t>XII. Conclusion</w:t>
      </w:r>
    </w:p>
    <w:p w14:paraId="7F7714D2" w14:textId="77777777" w:rsidR="00F66E1F" w:rsidRDefault="00000000">
      <w:r>
        <w:t xml:space="preserve">This paper reviewed AI-based continuous Indian Sign Language recognition and examined </w:t>
      </w:r>
      <w:proofErr w:type="spellStart"/>
      <w:r>
        <w:t>SignFlow</w:t>
      </w:r>
      <w:proofErr w:type="spellEnd"/>
      <w:r>
        <w:t xml:space="preserve"> [1], a real-time framework that combines a 3D CNN pre-trained on isolated ISL words with an 8-layer Transformer pre-trained on </w:t>
      </w:r>
      <w:proofErr w:type="spellStart"/>
      <w:r>
        <w:t>MediaPipe</w:t>
      </w:r>
      <w:proofErr w:type="spellEnd"/>
      <w:r>
        <w:t xml:space="preserve"> pose and hand features, trained end to end with CTC. According to its authors, ISL-specific pre-training, alignment correction and similarity-based down-sampling to 6 fps make real-time recognition practical on varied devices, with a WER of 19 on the Continuous ISL dataset and 74 concurrent users served by one GPU. The Detection Rate metric shows that the best model for </w:t>
      </w:r>
      <w:r>
        <w:lastRenderedPageBreak/>
        <w:t>an application depends on the task and not only on WER, and the finding that a Transformer can work well without position encoding for constrained, word-level tasks is noteworthy. At the same time, the evidence comes from a small, single-domain, partly chart-reported evaluation, and OOV signs, fast signing and the lack of non-manual features limit general use. Larger public datasets, rigorous signer-independent protocols and open-vocabulary modelling are the main steps toward making digital services accessible to India's deaf community.</w:t>
      </w:r>
    </w:p>
    <w:p w14:paraId="7F7714D3" w14:textId="77777777" w:rsidR="00F66E1F" w:rsidRDefault="00000000">
      <w:pPr>
        <w:pStyle w:val="Heading2"/>
      </w:pPr>
      <w:r>
        <w:t>Acknowledgment</w:t>
      </w:r>
    </w:p>
    <w:p w14:paraId="7F7714D4" w14:textId="77777777" w:rsidR="00F66E1F" w:rsidRDefault="00000000">
      <w:r>
        <w:t>The authors thank Dr. P. M. Patil (Principal) and Dr. H. B. Jadhav (Head, Department of Computer Engineering), Adsul's Technical Campus, for their support.</w:t>
      </w:r>
    </w:p>
    <w:p w14:paraId="7F7714D5" w14:textId="77777777" w:rsidR="00F66E1F" w:rsidRDefault="00000000">
      <w:pPr>
        <w:pStyle w:val="Heading2"/>
      </w:pPr>
      <w:r>
        <w:t>References</w:t>
      </w:r>
    </w:p>
    <w:p w14:paraId="7F7714D6" w14:textId="77777777" w:rsidR="00F66E1F" w:rsidRDefault="00000000">
      <w:r>
        <w:t xml:space="preserve">[1] M. Geetha, N. Aloysius, D. A. Somasundaran, A. Raghunath and P. Nedungadi, "Toward real-time recognition of continuous Indian Sign Language: A multi-modal approach using RGB and pose," </w:t>
      </w:r>
      <w:r>
        <w:rPr>
          <w:i/>
        </w:rPr>
        <w:t>IEEE Access</w:t>
      </w:r>
      <w:r>
        <w:t xml:space="preserve">, vol. 13, pp. 60270–60283, 2025, </w:t>
      </w:r>
      <w:proofErr w:type="spellStart"/>
      <w:r>
        <w:t>doi</w:t>
      </w:r>
      <w:proofErr w:type="spellEnd"/>
      <w:r>
        <w:t>: 10.1109/ACCESS.2025.3554618.</w:t>
      </w:r>
    </w:p>
    <w:p w14:paraId="7F7714D7" w14:textId="77777777" w:rsidR="00F66E1F" w:rsidRDefault="00000000">
      <w:r>
        <w:t xml:space="preserve">[2] A. Othman, "Sign language varieties around the world," in </w:t>
      </w:r>
      <w:r>
        <w:rPr>
          <w:i/>
        </w:rPr>
        <w:t>Sign Language Processing: From Gesture to Meaning</w:t>
      </w:r>
      <w:r>
        <w:t>. Cham, Switzerland: Springer, 2024, pp. 41–56.</w:t>
      </w:r>
    </w:p>
    <w:p w14:paraId="7F7714D8" w14:textId="77777777" w:rsidR="00F66E1F" w:rsidRDefault="00000000">
      <w:r>
        <w:t xml:space="preserve">[3] S. Renjith and R. </w:t>
      </w:r>
      <w:proofErr w:type="spellStart"/>
      <w:r>
        <w:t>Manazhy</w:t>
      </w:r>
      <w:proofErr w:type="spellEnd"/>
      <w:r>
        <w:t xml:space="preserve">, "Sign language: A systematic review on classification and recognition," </w:t>
      </w:r>
      <w:r>
        <w:rPr>
          <w:i/>
        </w:rPr>
        <w:t>Multimedia Tools Appl.</w:t>
      </w:r>
      <w:r>
        <w:t>, vol. 83, no. 31, pp. 77077–77127, Feb. 2024.</w:t>
      </w:r>
    </w:p>
    <w:p w14:paraId="7F7714D9" w14:textId="77777777" w:rsidR="00F66E1F" w:rsidRDefault="00000000">
      <w:r>
        <w:t xml:space="preserve">[4] N. Aloysius and M. Geetha, "Understanding vision-based continuous sign language recognition," </w:t>
      </w:r>
      <w:r>
        <w:rPr>
          <w:i/>
        </w:rPr>
        <w:t>Multimedia Tools Appl.</w:t>
      </w:r>
      <w:r>
        <w:t>, vol. 79, nos. 31–32, pp. 22177–22209, Aug. 2020.</w:t>
      </w:r>
    </w:p>
    <w:p w14:paraId="7F7714DA" w14:textId="77777777" w:rsidR="00F66E1F" w:rsidRDefault="00000000">
      <w:r>
        <w:t xml:space="preserve">[5] Q. Zhu, J. Li, F. Yuan and Q. Gan, "Multiscale temporal network for continuous sign language recognition," </w:t>
      </w:r>
      <w:r>
        <w:rPr>
          <w:i/>
        </w:rPr>
        <w:t xml:space="preserve">J. Electron. </w:t>
      </w:r>
      <w:proofErr w:type="spellStart"/>
      <w:r>
        <w:rPr>
          <w:i/>
        </w:rPr>
        <w:t>Imag</w:t>
      </w:r>
      <w:proofErr w:type="spellEnd"/>
      <w:r>
        <w:rPr>
          <w:i/>
        </w:rPr>
        <w:t>.</w:t>
      </w:r>
      <w:r>
        <w:t>, vol. 33, no. 2, Art. no. 023059, Apr. 2024.</w:t>
      </w:r>
    </w:p>
    <w:p w14:paraId="7F7714DB" w14:textId="77777777" w:rsidR="00F66E1F" w:rsidRDefault="00000000">
      <w:r>
        <w:t xml:space="preserve">[6] L. Hu, L. Gao, Z. Liu and W. Feng, "Scalable frame resolution for efficient continuous sign language recognition," </w:t>
      </w:r>
      <w:r>
        <w:rPr>
          <w:i/>
        </w:rPr>
        <w:t xml:space="preserve">Pattern </w:t>
      </w:r>
      <w:proofErr w:type="spellStart"/>
      <w:r>
        <w:rPr>
          <w:i/>
        </w:rPr>
        <w:t>Recognit</w:t>
      </w:r>
      <w:proofErr w:type="spellEnd"/>
      <w:r>
        <w:rPr>
          <w:i/>
        </w:rPr>
        <w:t>.</w:t>
      </w:r>
      <w:r>
        <w:t>, vol. 145, Art. no. 109903, Jan. 2024.</w:t>
      </w:r>
    </w:p>
    <w:p w14:paraId="7F7714DC" w14:textId="77777777" w:rsidR="00F66E1F" w:rsidRDefault="00000000">
      <w:r>
        <w:t xml:space="preserve">[7] R. Zuo and B. Mak, "Improving continuous sign language recognition with consistency constraints and signer removal," </w:t>
      </w:r>
      <w:r>
        <w:rPr>
          <w:i/>
        </w:rPr>
        <w:t xml:space="preserve">ACM Trans. Multimedia </w:t>
      </w:r>
      <w:proofErr w:type="spellStart"/>
      <w:r>
        <w:rPr>
          <w:i/>
        </w:rPr>
        <w:t>Comput</w:t>
      </w:r>
      <w:proofErr w:type="spellEnd"/>
      <w:r>
        <w:rPr>
          <w:i/>
        </w:rPr>
        <w:t>., Commun., Appl.</w:t>
      </w:r>
      <w:r>
        <w:t>, vol. 20, no. 6, pp. 1–25, Jun. 2024.</w:t>
      </w:r>
    </w:p>
    <w:p w14:paraId="7F7714DD" w14:textId="77777777" w:rsidR="00F66E1F" w:rsidRDefault="00000000">
      <w:r>
        <w:t>[8] N. Aloysius, M. Geetha and P. Nedungadi, "Continuous sign language recognition with adapted conformer via unsupervised pretraining," arXiv:2405.12018, 2024.</w:t>
      </w:r>
    </w:p>
    <w:p w14:paraId="7F7714DE" w14:textId="77777777" w:rsidR="00F66E1F" w:rsidRDefault="00000000">
      <w:r>
        <w:t xml:space="preserve">[9] Y. Chen, R. Zuo, F. Wei, Y. Wu, S. Liu and B. Mak, "Two-stream network for sign language recognition and translation," in </w:t>
      </w:r>
      <w:r>
        <w:rPr>
          <w:i/>
        </w:rPr>
        <w:t>Proc. Adv. Neural Inf. Process. Syst.</w:t>
      </w:r>
      <w:r>
        <w:t>, vol. 35, 2022, pp. 17043–17056.</w:t>
      </w:r>
    </w:p>
    <w:p w14:paraId="7F7714DF" w14:textId="77777777" w:rsidR="00F66E1F" w:rsidRDefault="00000000">
      <w:r>
        <w:t xml:space="preserve">[10] Y. Chen, F. Wei, X. Sun, Z. Wu and S. Lin, "A simple multi-modality transfer learning baseline for sign language translation," in </w:t>
      </w:r>
      <w:r>
        <w:rPr>
          <w:i/>
        </w:rPr>
        <w:t>Proc. IEEE/CVF CVPR</w:t>
      </w:r>
      <w:r>
        <w:t>, Jun. 2022, pp. 5110–5120.</w:t>
      </w:r>
    </w:p>
    <w:p w14:paraId="7F7714E0" w14:textId="77777777" w:rsidR="00F66E1F" w:rsidRDefault="00000000">
      <w:r>
        <w:t xml:space="preserve">[11] O. Koller, N. C. </w:t>
      </w:r>
      <w:proofErr w:type="spellStart"/>
      <w:r>
        <w:t>Camgoz</w:t>
      </w:r>
      <w:proofErr w:type="spellEnd"/>
      <w:r>
        <w:t xml:space="preserve">, H. Ney and R. Bowden, "Weakly supervised learning with multi-stream CNN-LSTM-HMMs to discover sequential parallelism in sign language videos," </w:t>
      </w:r>
      <w:r>
        <w:rPr>
          <w:i/>
        </w:rPr>
        <w:t>IEEE Trans. Pattern Anal. Mach. Intell.</w:t>
      </w:r>
      <w:r>
        <w:t>, vol. 42, no. 9, pp. 2306–2320, Sep. 2020.</w:t>
      </w:r>
    </w:p>
    <w:p w14:paraId="7F7714E3" w14:textId="77777777" w:rsidR="00F66E1F" w:rsidRDefault="00F66E1F"/>
    <w:sectPr w:rsidR="00F66E1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A701D"/>
    <w:multiLevelType w:val="hybridMultilevel"/>
    <w:tmpl w:val="9BD4B566"/>
    <w:lvl w:ilvl="0" w:tplc="B7246826">
      <w:start w:val="1"/>
      <w:numFmt w:val="bullet"/>
      <w:lvlText w:val="•"/>
      <w:lvlJc w:val="left"/>
      <w:pPr>
        <w:ind w:left="720" w:hanging="360"/>
      </w:pPr>
    </w:lvl>
    <w:lvl w:ilvl="1" w:tplc="FB7C4862">
      <w:start w:val="1"/>
      <w:numFmt w:val="bullet"/>
      <w:lvlText w:val="o"/>
      <w:lvlJc w:val="left"/>
      <w:pPr>
        <w:ind w:left="1440" w:hanging="360"/>
      </w:pPr>
    </w:lvl>
    <w:lvl w:ilvl="2" w:tplc="302A28A8">
      <w:start w:val="1"/>
      <w:numFmt w:val="bullet"/>
      <w:lvlText w:val="▪"/>
      <w:lvlJc w:val="left"/>
      <w:pPr>
        <w:ind w:left="2160" w:hanging="360"/>
      </w:pPr>
    </w:lvl>
    <w:lvl w:ilvl="3" w:tplc="11C4D750">
      <w:start w:val="1"/>
      <w:numFmt w:val="bullet"/>
      <w:lvlText w:val="•"/>
      <w:lvlJc w:val="left"/>
      <w:pPr>
        <w:ind w:left="2880" w:hanging="360"/>
      </w:pPr>
    </w:lvl>
    <w:lvl w:ilvl="4" w:tplc="B538A5B6">
      <w:start w:val="1"/>
      <w:numFmt w:val="bullet"/>
      <w:lvlText w:val="o"/>
      <w:lvlJc w:val="left"/>
      <w:pPr>
        <w:ind w:left="3600" w:hanging="360"/>
      </w:pPr>
    </w:lvl>
    <w:lvl w:ilvl="5" w:tplc="D3E0E0EE">
      <w:start w:val="1"/>
      <w:numFmt w:val="bullet"/>
      <w:lvlText w:val="▪"/>
      <w:lvlJc w:val="left"/>
      <w:pPr>
        <w:ind w:left="4320" w:hanging="360"/>
      </w:pPr>
    </w:lvl>
    <w:lvl w:ilvl="6" w:tplc="BA20F734">
      <w:start w:val="1"/>
      <w:numFmt w:val="bullet"/>
      <w:lvlText w:val="•"/>
      <w:lvlJc w:val="left"/>
      <w:pPr>
        <w:ind w:left="5040" w:hanging="360"/>
      </w:pPr>
    </w:lvl>
    <w:lvl w:ilvl="7" w:tplc="433CAF1E">
      <w:start w:val="1"/>
      <w:numFmt w:val="bullet"/>
      <w:lvlText w:val="o"/>
      <w:lvlJc w:val="left"/>
      <w:pPr>
        <w:ind w:left="5760" w:hanging="360"/>
      </w:pPr>
    </w:lvl>
    <w:lvl w:ilvl="8" w:tplc="7F22CA4E">
      <w:start w:val="1"/>
      <w:numFmt w:val="bullet"/>
      <w:lvlText w:val="▪"/>
      <w:lvlJc w:val="left"/>
      <w:pPr>
        <w:ind w:left="6480" w:hanging="360"/>
      </w:pPr>
    </w:lvl>
  </w:abstractNum>
  <w:abstractNum w:abstractNumId="1" w15:restartNumberingAfterBreak="0">
    <w:nsid w:val="655E05B1"/>
    <w:multiLevelType w:val="hybridMultilevel"/>
    <w:tmpl w:val="05887A38"/>
    <w:lvl w:ilvl="0" w:tplc="35DEEC0E">
      <w:start w:val="1"/>
      <w:numFmt w:val="decimal"/>
      <w:lvlText w:val="%1."/>
      <w:lvlJc w:val="left"/>
      <w:pPr>
        <w:ind w:left="720" w:hanging="360"/>
      </w:pPr>
    </w:lvl>
    <w:lvl w:ilvl="1" w:tplc="981C127A">
      <w:start w:val="1"/>
      <w:numFmt w:val="lowerLetter"/>
      <w:lvlText w:val="%2."/>
      <w:lvlJc w:val="left"/>
      <w:pPr>
        <w:ind w:left="1440" w:hanging="360"/>
      </w:pPr>
    </w:lvl>
    <w:lvl w:ilvl="2" w:tplc="31E45A74">
      <w:start w:val="1"/>
      <w:numFmt w:val="lowerRoman"/>
      <w:lvlText w:val="%3."/>
      <w:lvlJc w:val="left"/>
      <w:pPr>
        <w:ind w:left="2160" w:hanging="360"/>
      </w:pPr>
    </w:lvl>
    <w:lvl w:ilvl="3" w:tplc="A2B22A24">
      <w:start w:val="1"/>
      <w:numFmt w:val="decimal"/>
      <w:lvlText w:val="%4."/>
      <w:lvlJc w:val="left"/>
      <w:pPr>
        <w:ind w:left="2880" w:hanging="360"/>
      </w:pPr>
    </w:lvl>
    <w:lvl w:ilvl="4" w:tplc="F4D643C6">
      <w:start w:val="1"/>
      <w:numFmt w:val="lowerLetter"/>
      <w:lvlText w:val="%5."/>
      <w:lvlJc w:val="left"/>
      <w:pPr>
        <w:ind w:left="3600" w:hanging="360"/>
      </w:pPr>
    </w:lvl>
    <w:lvl w:ilvl="5" w:tplc="819A592A">
      <w:start w:val="1"/>
      <w:numFmt w:val="lowerRoman"/>
      <w:lvlText w:val="%6."/>
      <w:lvlJc w:val="left"/>
      <w:pPr>
        <w:ind w:left="4320" w:hanging="360"/>
      </w:pPr>
    </w:lvl>
    <w:lvl w:ilvl="6" w:tplc="2062B0DE">
      <w:start w:val="1"/>
      <w:numFmt w:val="decimal"/>
      <w:lvlText w:val="%7."/>
      <w:lvlJc w:val="left"/>
      <w:pPr>
        <w:ind w:left="5040" w:hanging="360"/>
      </w:pPr>
    </w:lvl>
    <w:lvl w:ilvl="7" w:tplc="AAE6A31A">
      <w:start w:val="1"/>
      <w:numFmt w:val="lowerLetter"/>
      <w:lvlText w:val="%8."/>
      <w:lvlJc w:val="left"/>
      <w:pPr>
        <w:ind w:left="5760" w:hanging="360"/>
      </w:pPr>
    </w:lvl>
    <w:lvl w:ilvl="8" w:tplc="A3B4D842">
      <w:start w:val="1"/>
      <w:numFmt w:val="lowerRoman"/>
      <w:lvlText w:val="%9."/>
      <w:lvlJc w:val="left"/>
      <w:pPr>
        <w:ind w:left="6480" w:hanging="360"/>
      </w:pPr>
    </w:lvl>
  </w:abstractNum>
  <w:num w:numId="1" w16cid:durableId="592864134">
    <w:abstractNumId w:val="0"/>
  </w:num>
  <w:num w:numId="2" w16cid:durableId="1220281845">
    <w:abstractNumId w:val="0"/>
  </w:num>
  <w:num w:numId="3" w16cid:durableId="1534801579">
    <w:abstractNumId w:val="1"/>
    <w:lvlOverride w:ilvl="0">
      <w:startOverride w:val="1"/>
    </w:lvlOverride>
  </w:num>
  <w:num w:numId="4" w16cid:durableId="1299653760">
    <w:abstractNumId w:val="0"/>
  </w:num>
  <w:num w:numId="5" w16cid:durableId="586353675">
    <w:abstractNumId w:val="1"/>
    <w:lvlOverride w:ilvl="0">
      <w:startOverride w:val="1"/>
    </w:lvlOverride>
  </w:num>
  <w:num w:numId="6" w16cid:durableId="791360268">
    <w:abstractNumId w:val="1"/>
    <w:lvlOverride w:ilvl="0">
      <w:startOverride w:val="1"/>
    </w:lvlOverride>
  </w:num>
  <w:num w:numId="7" w16cid:durableId="1883398583">
    <w:abstractNumId w:val="0"/>
  </w:num>
  <w:num w:numId="8" w16cid:durableId="1731607973">
    <w:abstractNumId w:val="1"/>
    <w:lvlOverride w:ilvl="0">
      <w:startOverride w:val="1"/>
    </w:lvlOverride>
  </w:num>
  <w:num w:numId="9" w16cid:durableId="1330593577">
    <w:abstractNumId w:val="0"/>
  </w:num>
  <w:num w:numId="10" w16cid:durableId="1998455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66E1F"/>
    <w:rsid w:val="000E0C69"/>
    <w:rsid w:val="00831274"/>
    <w:rsid w:val="009E6158"/>
    <w:rsid w:val="00F66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13AE"/>
  <w15:docId w15:val="{D537F4E4-9F3C-448F-8CB8-25C35770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4540</Words>
  <Characters>25879</Characters>
  <Application>Microsoft Office Word</Application>
  <DocSecurity>0</DocSecurity>
  <Lines>215</Lines>
  <Paragraphs>60</Paragraphs>
  <ScaleCrop>false</ScaleCrop>
  <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Real-Time Continuous Indian Sign Language Recognition A Review of the S</dc:title>
  <dc:description>Claude Docs node/35b6dce3-b20c@10 docx-w7</dc:description>
  <cp:lastModifiedBy>suhas kadam</cp:lastModifiedBy>
  <cp:revision>12</cp:revision>
  <dcterms:created xsi:type="dcterms:W3CDTF">2026-10-20T07:02:00Z</dcterms:created>
  <dcterms:modified xsi:type="dcterms:W3CDTF">2026-10-20T07:04:00Z</dcterms:modified>
</cp:coreProperties>
</file>