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7B6C"/>
          <w:sz w:val="96"/>
        </w:rPr>
        <w:t>EduKaay</w:t>
      </w:r>
    </w:p>
    <w:p>
      <w:pPr>
        <w:jc w:val="center"/>
      </w:pPr>
      <w:r>
        <w:rPr>
          <w:b/>
          <w:color w:val="D4AF37"/>
          <w:sz w:val="40"/>
        </w:rPr>
        <w:t>Marketplace de Tutorat pour l’Afrique de l’Ouest</w:t>
      </w:r>
    </w:p>
    <w:p/>
    <w:p>
      <w:pPr>
        <w:jc w:val="center"/>
      </w:pPr>
      <w:r>
        <w:rPr>
          <w:color w:val="1A1A1A"/>
          <w:sz w:val="28"/>
        </w:rPr>
        <w:t>Document de Présentation aux Investisseurs</w:t>
      </w:r>
    </w:p>
    <w:p>
      <w:pPr>
        <w:jc w:val="center"/>
      </w:pPr>
      <w:r>
        <w:rPr>
          <w:color w:val="666666"/>
          <w:sz w:val="24"/>
        </w:rPr>
        <w:t>Avril 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rPr>
          <w:sz w:val="24"/>
        </w:rPr>
        <w:t xml:space="preserve">1. Résumé Exécutif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3</w:t>
      </w:r>
    </w:p>
    <w:p>
      <w:r>
        <w:rPr>
          <w:sz w:val="24"/>
        </w:rPr>
        <w:t xml:space="preserve">2. Opportunité de Marché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4</w:t>
      </w:r>
    </w:p>
    <w:p>
      <w:r>
        <w:rPr>
          <w:sz w:val="24"/>
        </w:rPr>
        <w:t xml:space="preserve">3. Notre Solution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5</w:t>
      </w:r>
    </w:p>
    <w:p>
      <w:r>
        <w:rPr>
          <w:sz w:val="24"/>
        </w:rPr>
        <w:t xml:space="preserve">4. Modèle Économique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6</w:t>
      </w:r>
    </w:p>
    <w:p>
      <w:r>
        <w:rPr>
          <w:sz w:val="24"/>
        </w:rPr>
        <w:t xml:space="preserve">5. Architecture Technique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7</w:t>
      </w:r>
    </w:p>
    <w:p>
      <w:r>
        <w:rPr>
          <w:sz w:val="24"/>
        </w:rPr>
        <w:t xml:space="preserve">6. Stratégie de Lancement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8</w:t>
      </w:r>
    </w:p>
    <w:p>
      <w:r>
        <w:rPr>
          <w:sz w:val="24"/>
        </w:rPr>
        <w:t xml:space="preserve">7. Équipe et Besoins de Financement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9</w:t>
      </w:r>
    </w:p>
    <w:p>
      <w:r>
        <w:rPr>
          <w:sz w:val="24"/>
        </w:rPr>
        <w:t xml:space="preserve">8. Impact Social </w:t>
      </w:r>
      <w:r>
        <w:rPr>
          <w:color w:val="AAAAAA"/>
          <w:sz w:val="20"/>
        </w:rPr>
        <w:t>............................................................</w:t>
      </w:r>
      <w:r>
        <w:rPr>
          <w:sz w:val="24"/>
        </w:rPr>
        <w:t xml:space="preserve"> 10</w:t>
      </w:r>
    </w:p>
    <w:p>
      <w:r>
        <w:br w:type="page"/>
      </w:r>
    </w:p>
    <w:p>
      <w:pPr>
        <w:pStyle w:val="Heading1"/>
      </w:pPr>
      <w:r>
        <w:t>1. Résumé Exécutif</w:t>
      </w:r>
    </w:p>
    <w:p>
      <w:r>
        <w:t>EduKaay est une marketplace mobile-first de tutorat éducatif pour l’Afrique de l’Ouest, lancée au Sénégal. Elle connecte les élèves (du primaire à l’université) avec des tuteurs qualifiés, améliorant les résultats scolaires et créant des emplois.</w:t>
      </w:r>
    </w:p>
    <w:p>
      <w:r>
        <w:t>Contrairement aux solutions européennes (Acadomia, Superprof), EduKaay intègre des facteurs spécifiques à l’Afrique : paiements Mobile Money (Wave, Orange Money, MTN), support des curriculums français et franco-arabe, et un système de bourses financé par la diaspora.</w:t>
      </w:r>
    </w:p>
    <w:p>
      <w:r>
        <w:t>Le marché mondial du tutorat en ligne est en plein essor, projeté à environ 23,7 milliards de dollars d’ici 2030, mais l’Afrique reste largement sous-desservie. EduKaay vise à combler ce vide en proposant une solution adaptée aux réalités locales.</w:t>
      </w:r>
    </w:p>
    <w:p>
      <w:pPr>
        <w:pStyle w:val="Heading2"/>
      </w:pPr>
      <w:r>
        <w:t>Chiffres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Marché mondial du tutorat (2030)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23,7 Mds USD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Croissance annuelle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~15%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Jeunes &lt; 25 ans en Afrique subsaharienne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500 M+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Transferts diaspora sénégalaise/an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 Mds USD+</w:t>
            </w:r>
          </w:p>
        </w:tc>
      </w:tr>
    </w:tbl>
    <w:p>
      <w:r>
        <w:br w:type="page"/>
      </w:r>
    </w:p>
    <w:p>
      <w:pPr>
        <w:pStyle w:val="Heading1"/>
      </w:pPr>
      <w:r>
        <w:t>2. Opportunité de Marché</w:t>
      </w:r>
    </w:p>
    <w:p>
      <w:r>
        <w:t>L’Afrique de l’Ouest représente l’une des plus grandes opportunités dans le secteur de l’éducation numérique, portée par une démographie jeune et une pénétration mobile en forte croissance.</w:t>
      </w:r>
    </w:p>
    <w:p>
      <w:pPr>
        <w:pStyle w:val="ListBullet"/>
      </w:pPr>
      <w:r>
        <w:t>Le marché du tutorat en ligne mondial croît à ~15% par an, tiré par la demande post-pandémie.</w:t>
      </w:r>
    </w:p>
    <w:p>
      <w:pPr>
        <w:pStyle w:val="ListBullet"/>
      </w:pPr>
      <w:r>
        <w:t>L’Afrique subsaharienne compte plus de 500 millions de jeunes de moins de 25 ans – la population la plus jeune au monde.</w:t>
      </w:r>
    </w:p>
    <w:p>
      <w:pPr>
        <w:pStyle w:val="ListBullet"/>
      </w:pPr>
      <w:r>
        <w:t>Le taux de pénétration du mobile au Sénégal dépasse 100%, avec une adoption rapide des smartphones.</w:t>
      </w:r>
    </w:p>
    <w:p>
      <w:pPr>
        <w:pStyle w:val="ListBullet"/>
      </w:pPr>
      <w:r>
        <w:t>La diaspora sénégalaise envoie plus de 2 milliards USD de transferts par an – un potentiel de financement de bourses.</w:t>
      </w:r>
    </w:p>
    <w:p>
      <w:pPr>
        <w:pStyle w:val="ListBullet"/>
      </w:pPr>
      <w:r>
        <w:t>Aucune plateforme de tutorat ne domine le marché ouest-africain : le terrain est libre.</w:t>
      </w:r>
    </w:p>
    <w:p>
      <w:pPr>
        <w:pStyle w:val="ListBullet"/>
      </w:pPr>
      <w:r>
        <w:t>Fort besoin de soutien scolaire dans les curriculums français et franco-arabe, non adressé par les plateformes occidentales.</w:t>
      </w:r>
    </w:p>
    <w:p/>
    <w:p>
      <w:pPr>
        <w:pStyle w:val="Heading2"/>
      </w:pPr>
      <w:r>
        <w:t>Analyse concurrentielle</w:t>
      </w:r>
    </w:p>
    <w:p>
      <w:r>
        <w:t>Les principaux acteurs mondiaux (Superprof, Preply, Wyzant) se concentrent sur les marchés développés. Leurs modèles ne sont pas adaptés aux réalités africaines : absence de Mobile Money, pas de support des curriculums locaux, et des tarifs inaccessibles pour la majorité.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Plateforme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Marché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Mobile Money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Curriculums africains</w:t>
            </w:r>
          </w:p>
        </w:tc>
      </w:tr>
      <w:tr>
        <w:tc>
          <w:tcPr>
            <w:tcW w:type="dxa" w:w="2160"/>
          </w:tcPr>
          <w:p>
            <w:r>
              <w:t>Superprof</w:t>
            </w:r>
          </w:p>
        </w:tc>
        <w:tc>
          <w:tcPr>
            <w:tcW w:type="dxa" w:w="2160"/>
          </w:tcPr>
          <w:p>
            <w:r>
              <w:t>Global (Europe)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</w:tr>
      <w:tr>
        <w:tc>
          <w:tcPr>
            <w:tcW w:type="dxa" w:w="2160"/>
          </w:tcPr>
          <w:p>
            <w:r>
              <w:t>Preply</w:t>
            </w:r>
          </w:p>
        </w:tc>
        <w:tc>
          <w:tcPr>
            <w:tcW w:type="dxa" w:w="2160"/>
          </w:tcPr>
          <w:p>
            <w:r>
              <w:t>Global (USA/EU)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</w:tr>
      <w:tr>
        <w:tc>
          <w:tcPr>
            <w:tcW w:type="dxa" w:w="2160"/>
          </w:tcPr>
          <w:p>
            <w:r>
              <w:t>Acadomia</w:t>
            </w:r>
          </w:p>
        </w:tc>
        <w:tc>
          <w:tcPr>
            <w:tcW w:type="dxa" w:w="2160"/>
          </w:tcPr>
          <w:p>
            <w:r>
              <w:t>France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</w:tr>
      <w:tr>
        <w:tc>
          <w:tcPr>
            <w:tcW w:type="dxa" w:w="2160"/>
          </w:tcPr>
          <w:p>
            <w:r>
              <w:t>EduKaay</w:t>
            </w:r>
          </w:p>
        </w:tc>
        <w:tc>
          <w:tcPr>
            <w:tcW w:type="dxa" w:w="2160"/>
          </w:tcPr>
          <w:p>
            <w:r>
              <w:t>Afrique de l’Ouest</w:t>
            </w:r>
          </w:p>
        </w:tc>
        <w:tc>
          <w:tcPr>
            <w:tcW w:type="dxa" w:w="2160"/>
          </w:tcPr>
          <w:p>
            <w:r>
              <w:t>Oui ✓</w:t>
            </w:r>
          </w:p>
        </w:tc>
        <w:tc>
          <w:tcPr>
            <w:tcW w:type="dxa" w:w="2160"/>
          </w:tcPr>
          <w:p>
            <w:r>
              <w:t>Oui ✓</w:t>
            </w:r>
          </w:p>
        </w:tc>
      </w:tr>
    </w:tbl>
    <w:p>
      <w:r>
        <w:br w:type="page"/>
      </w:r>
    </w:p>
    <w:p>
      <w:pPr>
        <w:pStyle w:val="Heading1"/>
      </w:pPr>
      <w:r>
        <w:t>3. Notre Solution</w:t>
      </w:r>
    </w:p>
    <w:p>
      <w:r>
        <w:t>EduKaay est une plateforme complète qui répond aux besoins spécifiques du marché éducatif ouest-africain, en combinant technologie moderne et compréhension du contexte local.</w:t>
      </w:r>
    </w:p>
    <w:p>
      <w:pPr>
        <w:pStyle w:val="Heading3"/>
      </w:pPr>
      <w:r>
        <w:t>Marketplace de tutorat</w:t>
      </w:r>
    </w:p>
    <w:p>
      <w:r>
        <w:t>Connexion directe entre étudiants et tuteurs qualifiés, avec profils vérifiés, notes et avis.</w:t>
      </w:r>
    </w:p>
    <w:p>
      <w:pPr>
        <w:pStyle w:val="Heading3"/>
      </w:pPr>
      <w:r>
        <w:t>Double modalité</w:t>
      </w:r>
    </w:p>
    <w:p>
      <w:r>
        <w:t>Cours à domicile ET en ligne via visioconférence intégrée avec tableau blanc interactif.</w:t>
      </w:r>
    </w:p>
    <w:p>
      <w:pPr>
        <w:pStyle w:val="Heading3"/>
      </w:pPr>
      <w:r>
        <w:t>Paiement Mobile Money</w:t>
      </w:r>
    </w:p>
    <w:p>
      <w:r>
        <w:t>Intégration native de Wave, Orange Money et MTN MoMo pour des paiements simples et sécurisés en XOF.</w:t>
      </w:r>
    </w:p>
    <w:p>
      <w:pPr>
        <w:pStyle w:val="Heading3"/>
      </w:pPr>
      <w:r>
        <w:t>Vérification des tuteurs</w:t>
      </w:r>
    </w:p>
    <w:p>
      <w:r>
        <w:t>Système de notation, vérification d’identité et validation des compétences.</w:t>
      </w:r>
    </w:p>
    <w:p>
      <w:pPr>
        <w:pStyle w:val="Heading3"/>
      </w:pPr>
      <w:r>
        <w:t>Programme de bourses</w:t>
      </w:r>
    </w:p>
    <w:p>
      <w:r>
        <w:t>Module de dons permettant à la diaspora de financer les cours d’étudiants défavorisés.</w:t>
      </w:r>
    </w:p>
    <w:p>
      <w:pPr>
        <w:pStyle w:val="Heading3"/>
      </w:pPr>
      <w:r>
        <w:t>Multi-curriculum</w:t>
      </w:r>
    </w:p>
    <w:p>
      <w:r>
        <w:t>Support des curriculums français, franco-arabe et anglophone.</w:t>
      </w:r>
    </w:p>
    <w:p>
      <w:pPr>
        <w:pStyle w:val="Heading3"/>
      </w:pPr>
      <w:r>
        <w:t>Mobile-first</w:t>
      </w:r>
    </w:p>
    <w:p>
      <w:r>
        <w:t>Application Android native + application web responsive pour une accessibilité maximale.</w:t>
      </w:r>
    </w:p>
    <w:p>
      <w:r>
        <w:br w:type="page"/>
      </w:r>
    </w:p>
    <w:p>
      <w:pPr>
        <w:pStyle w:val="Heading1"/>
      </w:pPr>
      <w:r>
        <w:t>4. Modèle Économique</w:t>
      </w:r>
    </w:p>
    <w:p>
      <w:r>
        <w:t>EduKaay adopte un modèle de revenus diversifié, centré sur les commissions de transaction, avec des sources de revenus complémentaires pour assurer une croissance durable.</w:t>
      </w:r>
    </w:p>
    <w:p>
      <w:pPr>
        <w:pStyle w:val="Heading2"/>
      </w:pPr>
      <w:r>
        <w:t>Sources de revenus</w:t>
      </w:r>
    </w:p>
    <w:p>
      <w:pPr>
        <w:pStyle w:val="ListBullet"/>
      </w:pPr>
      <w:r>
        <w:t>Commission de 15% sur chaque transaction entre étudiant et tuteur</w:t>
      </w:r>
    </w:p>
    <w:p>
      <w:pPr>
        <w:pStyle w:val="ListBullet"/>
      </w:pPr>
      <w:r>
        <w:t>Abonnements premium pour les tuteurs (visibilité accrue, outils avancés)</w:t>
      </w:r>
    </w:p>
    <w:p>
      <w:pPr>
        <w:pStyle w:val="ListBullet"/>
      </w:pPr>
      <w:r>
        <w:t>Frais de service de 3% sur les bourses diaspora</w:t>
      </w:r>
    </w:p>
    <w:p>
      <w:pPr>
        <w:pStyle w:val="ListBullet"/>
      </w:pPr>
      <w:r>
        <w:t>Partenariats avec institutions éducatives (universités, écoles)</w:t>
      </w:r>
    </w:p>
    <w:p>
      <w:pPr>
        <w:pStyle w:val="ListBullet"/>
      </w:pPr>
      <w:r>
        <w:t>Revenus publicitaires ciblés (fournisseurs de matériel scolaire)</w:t>
      </w:r>
    </w:p>
    <w:p>
      <w:pPr>
        <w:pStyle w:val="Heading2"/>
      </w:pPr>
      <w:r>
        <w:t>Projections de croissance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Mois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Mois 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Mois 24</w:t>
            </w:r>
          </w:p>
        </w:tc>
      </w:tr>
      <w:tr>
        <w:tc>
          <w:tcPr>
            <w:tcW w:type="dxa" w:w="2160"/>
          </w:tcPr>
          <w:p>
            <w:r>
              <w:t>Utilisateurs actifs</w:t>
            </w:r>
          </w:p>
        </w:tc>
        <w:tc>
          <w:tcPr>
            <w:tcW w:type="dxa" w:w="2160"/>
          </w:tcPr>
          <w:p>
            <w:r>
              <w:t>2 000</w:t>
            </w:r>
          </w:p>
        </w:tc>
        <w:tc>
          <w:tcPr>
            <w:tcW w:type="dxa" w:w="2160"/>
          </w:tcPr>
          <w:p>
            <w:r>
              <w:t>10 000</w:t>
            </w:r>
          </w:p>
        </w:tc>
        <w:tc>
          <w:tcPr>
            <w:tcW w:type="dxa" w:w="2160"/>
          </w:tcPr>
          <w:p>
            <w:r>
              <w:t>50 000</w:t>
            </w:r>
          </w:p>
        </w:tc>
      </w:tr>
      <w:tr>
        <w:tc>
          <w:tcPr>
            <w:tcW w:type="dxa" w:w="2160"/>
          </w:tcPr>
          <w:p>
            <w:r>
              <w:t>Séances/mois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5 000</w:t>
            </w:r>
          </w:p>
        </w:tc>
        <w:tc>
          <w:tcPr>
            <w:tcW w:type="dxa" w:w="2160"/>
          </w:tcPr>
          <w:p>
            <w:r>
              <w:t>30 000</w:t>
            </w:r>
          </w:p>
        </w:tc>
      </w:tr>
      <w:tr>
        <w:tc>
          <w:tcPr>
            <w:tcW w:type="dxa" w:w="2160"/>
          </w:tcPr>
          <w:p>
            <w:r>
              <w:t>Revenu mensuel (XOF)</w:t>
            </w:r>
          </w:p>
        </w:tc>
        <w:tc>
          <w:tcPr>
            <w:tcW w:type="dxa" w:w="2160"/>
          </w:tcPr>
          <w:p>
            <w:r>
              <w:t>1,5 M</w:t>
            </w:r>
          </w:p>
        </w:tc>
        <w:tc>
          <w:tcPr>
            <w:tcW w:type="dxa" w:w="2160"/>
          </w:tcPr>
          <w:p>
            <w:r>
              <w:t>15 M</w:t>
            </w:r>
          </w:p>
        </w:tc>
        <w:tc>
          <w:tcPr>
            <w:tcW w:type="dxa" w:w="2160"/>
          </w:tcPr>
          <w:p>
            <w:r>
              <w:t>90 M</w:t>
            </w:r>
          </w:p>
        </w:tc>
      </w:tr>
    </w:tbl>
    <w:p>
      <w:r>
        <w:br w:type="page"/>
      </w:r>
    </w:p>
    <w:p>
      <w:pPr>
        <w:pStyle w:val="Heading1"/>
      </w:pPr>
      <w:r>
        <w:t>5. Architecture Technique</w:t>
      </w:r>
    </w:p>
    <w:p>
      <w:r>
        <w:t>EduKaay repose sur une architecture moderne en 3 couches (clients, API, base de données), conçue pour scaler et s’adapter à la croissance du marché.</w:t>
      </w:r>
    </w:p>
    <w:p>
      <w:pPr>
        <w:pStyle w:val="Heading2"/>
      </w:pPr>
      <w:r>
        <w:t>Stack technologique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Frontend Web</w:t>
            </w:r>
          </w:p>
        </w:tc>
        <w:tc>
          <w:tcPr>
            <w:tcW w:type="dxa" w:w="2880"/>
          </w:tcPr>
          <w:p>
            <w:r>
              <w:t>Next.js 14 + Tailwind CSS</w:t>
            </w:r>
          </w:p>
        </w:tc>
        <w:tc>
          <w:tcPr>
            <w:tcW w:type="dxa" w:w="2880"/>
          </w:tcPr>
          <w:p>
            <w:r>
              <w:t>SEO-friendly, rendu côté serveur, développement rapide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Écosystème riche, performant pour les services temps réel</w:t>
            </w:r>
          </w:p>
        </w:tc>
      </w:tr>
      <w:tr>
        <w:tc>
          <w:tcPr>
            <w:tcW w:type="dxa" w:w="2880"/>
          </w:tcPr>
          <w:p>
            <w:r>
              <w:t>Base de données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Intégrité des données, ACID, adapté aux données financières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React Native (Expo)</w:t>
            </w:r>
          </w:p>
        </w:tc>
        <w:tc>
          <w:tcPr>
            <w:tcW w:type="dxa" w:w="2880"/>
          </w:tcPr>
          <w:p>
            <w:r>
              <w:t>Code partagé avec le web, déploiement rapide sur Android</w:t>
            </w:r>
          </w:p>
        </w:tc>
      </w:tr>
      <w:tr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JWT + SMS OTP</w:t>
            </w:r>
          </w:p>
        </w:tc>
        <w:tc>
          <w:tcPr>
            <w:tcW w:type="dxa" w:w="2880"/>
          </w:tcPr>
          <w:p>
            <w:r>
              <w:t>Sécurité forte, adapté au mobile</w:t>
            </w:r>
          </w:p>
        </w:tc>
      </w:tr>
      <w:tr>
        <w:tc>
          <w:tcPr>
            <w:tcW w:type="dxa" w:w="2880"/>
          </w:tcPr>
          <w:p>
            <w:r>
              <w:t>Paiements</w:t>
            </w:r>
          </w:p>
        </w:tc>
        <w:tc>
          <w:tcPr>
            <w:tcW w:type="dxa" w:w="2880"/>
          </w:tcPr>
          <w:p>
            <w:r>
              <w:t>Wave, OM, MTN APIs</w:t>
            </w:r>
          </w:p>
        </w:tc>
        <w:tc>
          <w:tcPr>
            <w:tcW w:type="dxa" w:w="2880"/>
          </w:tcPr>
          <w:p>
            <w:r>
              <w:t>Couverture maximale du marché ouest-africain</w:t>
            </w:r>
          </w:p>
        </w:tc>
      </w:tr>
      <w:tr>
        <w:tc>
          <w:tcPr>
            <w:tcW w:type="dxa" w:w="2880"/>
          </w:tcPr>
          <w:p>
            <w:r>
              <w:t>Hébergement</w:t>
            </w:r>
          </w:p>
        </w:tc>
        <w:tc>
          <w:tcPr>
            <w:tcW w:type="dxa" w:w="2880"/>
          </w:tcPr>
          <w:p>
            <w:r>
              <w:t>AWS / GCP + CI/CD</w:t>
            </w:r>
          </w:p>
        </w:tc>
        <w:tc>
          <w:tcPr>
            <w:tcW w:type="dxa" w:w="2880"/>
          </w:tcPr>
          <w:p>
            <w:r>
              <w:t>Scalabilité, fiabilité, déploiement automatisé</w:t>
            </w:r>
          </w:p>
        </w:tc>
      </w:tr>
    </w:tbl>
    <w:p/>
    <w:p>
      <w:pPr>
        <w:pStyle w:val="Heading2"/>
      </w:pPr>
      <w:r>
        <w:t>Diagramme d’architecture</w:t>
      </w:r>
    </w:p>
    <w:p>
      <w:r>
        <w:t>L’architecture suit un pattern classique :</w:t>
        <w:br/>
        <w:t>Clients (Web Next.js + Mobile React Native) → API Gateway → Services (Auth, Matching, Paiements) → Base de données PostgreSQL + Stockage S3</w:t>
      </w:r>
    </w:p>
    <w:p>
      <w:r>
        <w:br w:type="page"/>
      </w:r>
    </w:p>
    <w:p>
      <w:pPr>
        <w:pStyle w:val="Heading1"/>
      </w:pPr>
      <w:r>
        <w:t>6. Stratégie de Lancement</w:t>
      </w:r>
    </w:p>
    <w:p>
      <w:r>
        <w:t>Notre stratégie de déploiement suit une approche progressive en trois phases, permettant de valider le modèle avant d’étendre géographiquement.</w:t>
      </w:r>
    </w:p>
    <w:p>
      <w:pPr>
        <w:pStyle w:val="Heading2"/>
      </w:pPr>
      <w:r>
        <w:t>Phase 1 – MVP (Mois 1-6)</w:t>
      </w:r>
    </w:p>
    <w:p>
      <w:r>
        <w:rPr>
          <w:i/>
          <w:color w:val="D4AF37"/>
        </w:rPr>
        <w:t>Lancement à Dakar</w:t>
      </w:r>
    </w:p>
    <w:p>
      <w:pPr>
        <w:pStyle w:val="ListBullet"/>
      </w:pPr>
      <w:r>
        <w:t>Développement des fonctionnalités essentielles (inscription, recherche, réservation, paiement)</w:t>
      </w:r>
    </w:p>
    <w:p>
      <w:pPr>
        <w:pStyle w:val="ListBullet"/>
      </w:pPr>
      <w:r>
        <w:t>Recrutement de 200 tuteurs universitaires à Dakar</w:t>
      </w:r>
    </w:p>
    <w:p>
      <w:pPr>
        <w:pStyle w:val="ListBullet"/>
      </w:pPr>
      <w:r>
        <w:t>Lancement de l’app web et Android</w:t>
      </w:r>
    </w:p>
    <w:p>
      <w:pPr>
        <w:pStyle w:val="ListBullet"/>
      </w:pPr>
      <w:r>
        <w:t>Partenariats avec 5 universités dakaroises</w:t>
      </w:r>
    </w:p>
    <w:p>
      <w:pPr>
        <w:pStyle w:val="ListBullet"/>
      </w:pPr>
      <w:r>
        <w:t>Objectif : 2 000 utilisateurs actifs</w:t>
      </w:r>
    </w:p>
    <w:p>
      <w:pPr>
        <w:pStyle w:val="Heading2"/>
      </w:pPr>
      <w:r>
        <w:t>Phase 2 – Croissance (Mois 7-12)</w:t>
      </w:r>
    </w:p>
    <w:p>
      <w:r>
        <w:rPr>
          <w:i/>
          <w:color w:val="D4AF37"/>
        </w:rPr>
        <w:t>Extension nationale</w:t>
      </w:r>
    </w:p>
    <w:p>
      <w:pPr>
        <w:pStyle w:val="ListBullet"/>
      </w:pPr>
      <w:r>
        <w:t>Extension aux villes secondaires : Thiès, Saint-Louis, Ziguinchor</w:t>
      </w:r>
    </w:p>
    <w:p>
      <w:pPr>
        <w:pStyle w:val="ListBullet"/>
      </w:pPr>
      <w:r>
        <w:t>Ajout de la visioconférence et du programme de bourses diaspora</w:t>
      </w:r>
    </w:p>
    <w:p>
      <w:pPr>
        <w:pStyle w:val="ListBullet"/>
      </w:pPr>
      <w:r>
        <w:t>Campagnes marketing sur les réseaux sociaux</w:t>
      </w:r>
    </w:p>
    <w:p>
      <w:pPr>
        <w:pStyle w:val="ListBullet"/>
      </w:pPr>
      <w:r>
        <w:t>Objectif : 10 000 utilisateurs actifs</w:t>
      </w:r>
    </w:p>
    <w:p>
      <w:pPr>
        <w:pStyle w:val="Heading2"/>
      </w:pPr>
      <w:r>
        <w:t>Phase 3 – Expansion (Mois 13-24)</w:t>
      </w:r>
    </w:p>
    <w:p>
      <w:r>
        <w:rPr>
          <w:i/>
          <w:color w:val="D4AF37"/>
        </w:rPr>
        <w:t>Régionale</w:t>
      </w:r>
    </w:p>
    <w:p>
      <w:pPr>
        <w:pStyle w:val="ListBullet"/>
      </w:pPr>
      <w:r>
        <w:t>Ouverture au Mali, Côte d’Ivoire, Guinée</w:t>
      </w:r>
    </w:p>
    <w:p>
      <w:pPr>
        <w:pStyle w:val="ListBullet"/>
      </w:pPr>
      <w:r>
        <w:t>Adaptation aux spécificités locales (langues, curriculums)</w:t>
      </w:r>
    </w:p>
    <w:p>
      <w:pPr>
        <w:pStyle w:val="ListBullet"/>
      </w:pPr>
      <w:r>
        <w:t>Levée de fonds Série A</w:t>
      </w:r>
    </w:p>
    <w:p>
      <w:pPr>
        <w:pStyle w:val="ListBullet"/>
      </w:pPr>
      <w:r>
        <w:t>Objectif : 50 000 utilisateurs actifs</w:t>
      </w:r>
    </w:p>
    <w:p/>
    <w:p>
      <w:pPr>
        <w:pStyle w:val="Heading2"/>
      </w:pPr>
      <w:r>
        <w:t>Calendrier prévisionnel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 1 (M1-6)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 2 (M7-12)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 3 (M13-24)</w:t>
            </w:r>
          </w:p>
        </w:tc>
      </w:tr>
      <w:tr>
        <w:tc>
          <w:tcPr>
            <w:tcW w:type="dxa" w:w="2160"/>
          </w:tcPr>
          <w:p>
            <w:r>
              <w:t>Développement MVP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█████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Recrutement tuteurs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███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</w:t>
            </w:r>
          </w:p>
        </w:tc>
      </w:tr>
      <w:tr>
        <w:tc>
          <w:tcPr>
            <w:tcW w:type="dxa" w:w="2160"/>
          </w:tcPr>
          <w:p>
            <w:r>
              <w:t>Lancement &amp; Marketing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████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███</w:t>
            </w:r>
          </w:p>
        </w:tc>
      </w:tr>
      <w:tr>
        <w:tc>
          <w:tcPr>
            <w:tcW w:type="dxa" w:w="2160"/>
          </w:tcPr>
          <w:p>
            <w:r>
              <w:t>Fonctionnalités avancées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████</w:t>
            </w:r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</w:t>
            </w:r>
          </w:p>
        </w:tc>
      </w:tr>
      <w:tr>
        <w:tc>
          <w:tcPr>
            <w:tcW w:type="dxa" w:w="2160"/>
          </w:tcPr>
          <w:p>
            <w:r>
              <w:t>Expansion régionale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color w:val="0F7B6C"/>
              </w:rPr>
              <w:t>█████</w:t>
            </w:r>
          </w:p>
        </w:tc>
      </w:tr>
    </w:tbl>
    <w:p>
      <w:r>
        <w:br w:type="page"/>
      </w:r>
    </w:p>
    <w:p>
      <w:pPr>
        <w:pStyle w:val="Heading1"/>
      </w:pPr>
      <w:r>
        <w:t>7. Équipe et Besoins de Financement</w:t>
      </w:r>
    </w:p>
    <w:p>
      <w:pPr>
        <w:pStyle w:val="Heading2"/>
      </w:pPr>
      <w:r>
        <w:t>Besoin de financement</w:t>
      </w:r>
    </w:p>
    <w:p>
      <w:r>
        <w:rPr>
          <w:b/>
          <w:color w:val="0F7B6C"/>
          <w:sz w:val="48"/>
        </w:rPr>
        <w:t>150 000 EUR</w:t>
      </w:r>
      <w:r>
        <w:rPr>
          <w:sz w:val="24"/>
        </w:rPr>
        <w:t xml:space="preserve"> en financement seed pour le développement du MVP et le lancement commercial.</w:t>
      </w:r>
    </w:p>
    <w:p>
      <w:pPr>
        <w:pStyle w:val="Heading2"/>
      </w:pPr>
      <w:r>
        <w:t>Allocation des fonds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Montant</w:t>
            </w:r>
          </w:p>
        </w:tc>
      </w:tr>
      <w:tr>
        <w:tc>
          <w:tcPr>
            <w:tcW w:type="dxa" w:w="2880"/>
          </w:tcPr>
          <w:p>
            <w:r>
              <w:t>Développement technique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75 000 EUR</w:t>
            </w:r>
          </w:p>
        </w:tc>
      </w:tr>
      <w:tr>
        <w:tc>
          <w:tcPr>
            <w:tcW w:type="dxa" w:w="2880"/>
          </w:tcPr>
          <w:p>
            <w:r>
              <w:t>Marketing &amp; Acquisition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30 000 EUR</w:t>
            </w:r>
          </w:p>
        </w:tc>
      </w:tr>
      <w:tr>
        <w:tc>
          <w:tcPr>
            <w:tcW w:type="dxa" w:w="2880"/>
          </w:tcPr>
          <w:p>
            <w:r>
              <w:t>Opérations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22 500 EUR</w:t>
            </w:r>
          </w:p>
        </w:tc>
      </w:tr>
      <w:tr>
        <w:tc>
          <w:tcPr>
            <w:tcW w:type="dxa" w:w="2880"/>
          </w:tcPr>
          <w:p>
            <w:r>
              <w:t>Réserve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22 500 EUR</w:t>
            </w:r>
          </w:p>
        </w:tc>
      </w:tr>
    </w:tbl>
    <w:p>
      <w:pPr>
        <w:pStyle w:val="Heading2"/>
      </w:pPr>
      <w:r>
        <w:t>KPIs clés</w:t>
      </w:r>
    </w:p>
    <w:p>
      <w:pPr>
        <w:pStyle w:val="ListBullet"/>
      </w:pPr>
      <w:r>
        <w:t>Nombre d’utilisateurs actifs mensuels (MAU)</w:t>
      </w:r>
    </w:p>
    <w:p>
      <w:pPr>
        <w:pStyle w:val="ListBullet"/>
      </w:pPr>
      <w:r>
        <w:t>Taux de conversion visiteur → réservation</w:t>
      </w:r>
    </w:p>
    <w:p>
      <w:pPr>
        <w:pStyle w:val="ListBullet"/>
      </w:pPr>
      <w:r>
        <w:t>Revenu moyen par utilisateur (ARPU)</w:t>
      </w:r>
    </w:p>
    <w:p>
      <w:pPr>
        <w:pStyle w:val="ListBullet"/>
      </w:pPr>
      <w:r>
        <w:t>Net Promoter Score (NPS)</w:t>
      </w:r>
    </w:p>
    <w:p>
      <w:pPr>
        <w:pStyle w:val="ListBullet"/>
      </w:pPr>
      <w:r>
        <w:t>Taux de rétention des tuteurs</w:t>
      </w:r>
    </w:p>
    <w:p>
      <w:pPr>
        <w:pStyle w:val="ListBullet"/>
      </w:pPr>
      <w:r>
        <w:t>Nombre de séances complétées par mois</w:t>
      </w:r>
    </w:p>
    <w:p>
      <w:r>
        <w:br w:type="page"/>
      </w:r>
    </w:p>
    <w:p>
      <w:pPr>
        <w:pStyle w:val="Heading1"/>
      </w:pPr>
      <w:r>
        <w:t>8. Impact Social</w:t>
      </w:r>
    </w:p>
    <w:p>
      <w:r>
        <w:t>EduKaay n’est pas seulement une entreprise technologique : c’est un projet à fort impact social, aligné avec les Objectifs de Développement Durable des Nations Unies.</w:t>
      </w:r>
    </w:p>
    <w:p>
      <w:pPr>
        <w:pStyle w:val="Heading3"/>
      </w:pPr>
      <w:r>
        <w:t>Création d’emplois</w:t>
      </w:r>
    </w:p>
    <w:p>
      <w:r>
        <w:t>Les étudiants-tuteurs génèrent un revenu complémentaire tout en renforçant leurs propres compétences pédagogiques.</w:t>
      </w:r>
    </w:p>
    <w:p>
      <w:pPr>
        <w:pStyle w:val="Heading3"/>
      </w:pPr>
      <w:r>
        <w:t>Démocratisation du soutien scolaire</w:t>
      </w:r>
    </w:p>
    <w:p>
      <w:r>
        <w:t>Des tarifs accessibles et le programme de bourses rendent le tutorat disponible à tous, pas seulement aux familles aisées.</w:t>
      </w:r>
    </w:p>
    <w:p>
      <w:pPr>
        <w:pStyle w:val="Heading3"/>
      </w:pPr>
      <w:r>
        <w:t>Réduction des inégalités éducatives</w:t>
      </w:r>
    </w:p>
    <w:p>
      <w:r>
        <w:t>Les élèves des zones périurbaines et rurales accèdent à des tuteurs de qualité grâce aux cours en ligne.</w:t>
      </w:r>
    </w:p>
    <w:p>
      <w:pPr>
        <w:pStyle w:val="Heading3"/>
      </w:pPr>
      <w:r>
        <w:t>Souveraineté éducative africaine</w:t>
      </w:r>
    </w:p>
    <w:p>
      <w:r>
        <w:t>Une plateforme conçue par et pour les Africains, adaptée aux réalités locales.</w:t>
      </w:r>
    </w:p>
    <w:p>
      <w:pPr>
        <w:pStyle w:val="Heading3"/>
      </w:pPr>
      <w:r>
        <w:t>ODD 4 – Éducation de qualité</w:t>
      </w:r>
    </w:p>
    <w:p>
      <w:r>
        <w:t>Contribution directe à l’objectif 4 des Nations Unies : assurer une éducation inclusive et équitable de qualité.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0F7B6C"/>
          <w:sz w:val="48"/>
        </w:rPr>
        <w:t>Merci de votre intérêt pour EduKaay</w:t>
      </w:r>
    </w:p>
    <w:p>
      <w:pPr>
        <w:jc w:val="center"/>
      </w:pPr>
      <w:r>
        <w:rPr>
          <w:i/>
          <w:color w:val="D4AF37"/>
          <w:sz w:val="28"/>
        </w:rPr>
        <w:t>Ensemble, transformons l’éducation en Afrique.</w:t>
      </w:r>
    </w:p>
    <w:p>
      <w:pPr>
        <w:jc w:val="center"/>
      </w:pPr>
      <w:r>
        <w:rPr>
          <w:sz w:val="22"/>
        </w:rPr>
        <w:br/>
        <w:br/>
        <w:t>Contact : contact@edukaay.com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F7B6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F7B6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/>
      <w:outlineLvl w:val="2"/>
    </w:pPr>
    <w:rPr>
      <w:rFonts w:asciiTheme="majorHAnsi" w:eastAsiaTheme="majorEastAsia" w:hAnsiTheme="majorHAnsi" w:cstheme="majorBidi" w:ascii="Arial" w:hAnsi="Arial"/>
      <w:b/>
      <w:bCs/>
      <w:color w:val="0F7B6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