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Capstone Project Prospectus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 Title:</w:t>
      </w:r>
      <w:r w:rsidDel="00000000" w:rsidR="00000000" w:rsidRPr="00000000">
        <w:rPr>
          <w:rFonts w:ascii="Google Sans" w:cs="Google Sans" w:eastAsia="Google Sans" w:hAnsi="Google Sans"/>
          <w:color w:val="1f1f1f"/>
          <w:rtl w:val="0"/>
        </w:rPr>
        <w:t xml:space="preserve"> Quantifying the Operational ROI and Engineering Bottlenecks of Internal Developer Platforms (IDP) Using Predictive Telemetry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General Idea / Overview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enterprise engineering organizations heavily invest in Internal Developer Platforms (IDPs) to abstract infrastructure complexities (such as Kubernetes orchestration) and accelerate software delivery. However, technology executives lack empirical, data-driven frameworks to measure platform ROI, optimize developer velocity, and pinpoint remaining software development lifecycle (SDLC) bottlenecks.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This project addresses the central question: </w:t>
      </w:r>
      <w:r w:rsidDel="00000000" w:rsidR="00000000" w:rsidRPr="00000000">
        <w:rPr>
          <w:rFonts w:ascii="Google Sans" w:cs="Google Sans" w:eastAsia="Google Sans" w:hAnsi="Google Sans"/>
          <w:b w:val="1"/>
          <w:bCs w:val="1"/>
          <w:color w:val="1f1f1f"/>
          <w:rtl w:val="0"/>
        </w:rPr>
        <w:t xml:space="preserve">Can we leverage engineering infrastructure telemetry to predict software deployment cycle times, isolate systemic technical debt, and mathematically segment developer squads to strategically optimize platform adoption?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Data Strategy &amp; Feature Matrix</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will utilize an engineered telemetry dataset simulating a mature enterprise SDLC environment (~1,000 unique deployment lifecycles). The data schema maps directly to operational realities and is structured as follows: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Variable (Dependent Variable)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Deployment_Cycle_Time (Continuous / Hours):</w:t>
      </w:r>
      <w:r w:rsidDel="00000000" w:rsidR="00000000" w:rsidRPr="00000000">
        <w:rPr>
          <w:rFonts w:ascii="Google Sans" w:cs="Google Sans" w:eastAsia="Google Sans" w:hAnsi="Google Sans"/>
          <w:color w:val="1f1f1f"/>
          <w:rtl w:val="0"/>
        </w:rPr>
        <w:t xml:space="preserve"> The absolute elapsed time from a developer opening a Pull Request (PR) to that service running successfully in a production-ready Kubernetes namespace.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Features Matrix (X)</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Platform Adoption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IDP_API_Calls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 of developer interactions with the platform API per sprint.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GitOps_Auto_Sync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Whether automated GitOps deployment pipelines are enabled.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Manual_Kubectl_Count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 of direct cluster bypass commands executed by developers.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 &amp; Debt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Microservice_Deps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Discrete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number of downstream architectural dependencies.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Helm_Template_Lines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Size and complexity of underlying infrastructure-as-code manifests.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Repo_Code_Churn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lines of code modified/deleted within the deployment window.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Team Demographics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Team_Size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Discrete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number of active contributors on the engineering squad.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Offshore_Ratio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Percentage of the team operating across distributed time zones.</w:t>
            </w:r>
          </w:p>
        </w:tc>
      </w:tr>
    </w:tbl>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Methodological Framework &amp; Techniques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this multi-dimensional problem, the project implements three core algorithms from the Module 11 curriculum sequentially to extract high-leverage insights:</w:t>
      </w: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Technique 1: Principal Component Analysis (PCA)</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Application:</w:t>
      </w:r>
      <w:r w:rsidDel="00000000" w:rsidR="00000000" w:rsidRPr="00000000">
        <w:rPr>
          <w:rFonts w:ascii="Google Sans" w:cs="Google Sans" w:eastAsia="Google Sans" w:hAnsi="Google Sans"/>
          <w:color w:val="1f1f1f"/>
          <w:rtl w:val="0"/>
        </w:rPr>
        <w:t xml:space="preserve"> Infrastructure telemetry is inherently collinear (e.g., highly complex microservices naturally generate larger Helm templates and higher code churn). PCA will be used to reduce this high-dimensional noise, collapsing correlated metrics into 2 or 3 principal components that capture maximum variance representing "Systemic Structural Complexity."</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Strategic Objective:</w:t>
      </w:r>
      <w:r w:rsidDel="00000000" w:rsidR="00000000" w:rsidRPr="00000000">
        <w:rPr>
          <w:rFonts w:ascii="Google Sans" w:cs="Google Sans" w:eastAsia="Google Sans" w:hAnsi="Google Sans"/>
          <w:color w:val="1f1f1f"/>
          <w:rtl w:val="0"/>
        </w:rPr>
        <w:t xml:space="preserve"> Cleanly isolates pure architectural complexity from behavioral adoption patterns before entering predictive models.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Technique 2: Lasso (</w:t>
      </w:r>
      <w:r w:rsidDel="00000000" w:rsidR="00000000" w:rsidRPr="00000000">
        <w:rPr>
          <w:rFonts w:ascii="Google Sans" w:cs="Google Sans" w:eastAsia="Google Sans" w:hAnsi="Google Sans"/>
          <w:b w:val="1"/>
          <w:bCs w:val="1"/>
          <w:i w:val="1"/>
          <w:iCs w:val="1"/>
          <w:color w:val="1f1f1f"/>
          <w:sz w:val="28"/>
          <w:szCs w:val="28"/>
          <w:rtl w:val="0"/>
        </w:rPr>
        <w:t xml:space="preserve">L</w:t>
      </w:r>
      <w:r w:rsidDel="00000000" w:rsidR="00000000" w:rsidRPr="00000000">
        <w:rPr>
          <w:rFonts w:ascii="Google Sans" w:cs="Google Sans" w:eastAsia="Google Sans" w:hAnsi="Google Sans"/>
          <w:b w:val="1"/>
          <w:bCs w:val="1"/>
          <w:i w:val="1"/>
          <w:iCs w:val="1"/>
          <w:color w:val="1f1f1f"/>
          <w:sz w:val="28"/>
          <w:szCs w:val="28"/>
          <w:vertAlign w:val="subscript"/>
          <w:rtl w:val="0"/>
        </w:rPr>
        <w:t xml:space="preserve">1</w:t>
      </w:r>
      <w:r w:rsidDel="00000000" w:rsidR="00000000" w:rsidRPr="00000000">
        <w:rPr>
          <w:rFonts w:ascii="Google Sans" w:cs="Google Sans" w:eastAsia="Google Sans" w:hAnsi="Google Sans"/>
          <w:color w:val="1f1f1f"/>
          <w:rtl w:val="0"/>
        </w:rPr>
        <w:t xml:space="preserve">) and Ridge (</w:t>
      </w:r>
      <w:r w:rsidDel="00000000" w:rsidR="00000000" w:rsidRPr="00000000">
        <w:rPr>
          <w:rFonts w:ascii="Google Sans" w:cs="Google Sans" w:eastAsia="Google Sans" w:hAnsi="Google Sans"/>
          <w:b w:val="1"/>
          <w:bCs w:val="1"/>
          <w:i w:val="1"/>
          <w:iCs w:val="1"/>
          <w:color w:val="1f1f1f"/>
          <w:sz w:val="28"/>
          <w:szCs w:val="28"/>
          <w:rtl w:val="0"/>
        </w:rPr>
        <w:t xml:space="preserve">L</w:t>
      </w:r>
      <w:r w:rsidDel="00000000" w:rsidR="00000000" w:rsidRPr="00000000">
        <w:rPr>
          <w:rFonts w:ascii="Google Sans" w:cs="Google Sans" w:eastAsia="Google Sans" w:hAnsi="Google Sans"/>
          <w:b w:val="1"/>
          <w:bCs w:val="1"/>
          <w:i w:val="1"/>
          <w:iCs w:val="1"/>
          <w:color w:val="1f1f1f"/>
          <w:sz w:val="28"/>
          <w:szCs w:val="28"/>
          <w:vertAlign w:val="subscript"/>
          <w:rtl w:val="0"/>
        </w:rPr>
        <w:t xml:space="preserve">2</w:t>
      </w:r>
      <w:r w:rsidDel="00000000" w:rsidR="00000000" w:rsidRPr="00000000">
        <w:rPr>
          <w:rFonts w:ascii="Google Sans" w:cs="Google Sans" w:eastAsia="Google Sans" w:hAnsi="Google Sans"/>
          <w:color w:val="1f1f1f"/>
          <w:rtl w:val="0"/>
        </w:rPr>
        <w:t xml:space="preserve">) Regularized Regression</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Application:</w:t>
      </w:r>
      <w:r w:rsidDel="00000000" w:rsidR="00000000" w:rsidRPr="00000000">
        <w:rPr>
          <w:rFonts w:ascii="Google Sans" w:cs="Google Sans" w:eastAsia="Google Sans" w:hAnsi="Google Sans"/>
          <w:color w:val="1f1f1f"/>
          <w:rtl w:val="0"/>
        </w:rPr>
        <w:t xml:space="preserve"> A regularized linear model will be trained to predict the continuous target Deployment_Cycle_Time. Lasso regression will be specifically leveraged to apply an </w:t>
      </w:r>
      <w:r w:rsidDel="00000000" w:rsidR="00000000" w:rsidRPr="00000000">
        <w:rPr>
          <w:rFonts w:ascii="Google Sans" w:cs="Google Sans" w:eastAsia="Google Sans" w:hAnsi="Google Sans"/>
          <w:b w:val="1"/>
          <w:bCs w:val="1"/>
          <w:i w:val="1"/>
          <w:iCs w:val="1"/>
          <w:color w:val="1f1f1f"/>
          <w:rtl w:val="0"/>
        </w:rPr>
        <w:t xml:space="preserve">L</w:t>
      </w:r>
      <w:r w:rsidDel="00000000" w:rsidR="00000000" w:rsidRPr="00000000">
        <w:rPr>
          <w:rFonts w:ascii="Google Sans" w:cs="Google Sans" w:eastAsia="Google Sans" w:hAnsi="Google Sans"/>
          <w:b w:val="1"/>
          <w:bCs w:val="1"/>
          <w:i w:val="1"/>
          <w:iCs w:val="1"/>
          <w:color w:val="1f1f1f"/>
          <w:vertAlign w:val="subscript"/>
          <w:rtl w:val="0"/>
        </w:rPr>
        <w:t xml:space="preserve">1</w:t>
      </w:r>
      <w:r w:rsidDel="00000000" w:rsidR="00000000" w:rsidRPr="00000000">
        <w:rPr>
          <w:rFonts w:ascii="Google Sans" w:cs="Google Sans" w:eastAsia="Google Sans" w:hAnsi="Google Sans"/>
          <w:color w:val="1f1f1f"/>
          <w:rtl w:val="0"/>
        </w:rPr>
        <w:t xml:space="preserve"> penalty, forcing non-essential or weak feature coefficients to absolute zero.</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Strategic Objective:</w:t>
      </w:r>
      <w:r w:rsidDel="00000000" w:rsidR="00000000" w:rsidRPr="00000000">
        <w:rPr>
          <w:rFonts w:ascii="Google Sans" w:cs="Google Sans" w:eastAsia="Google Sans" w:hAnsi="Google Sans"/>
          <w:color w:val="1f1f1f"/>
          <w:rtl w:val="0"/>
        </w:rPr>
        <w:t xml:space="preserve"> Acts as an objective, mathematical feature selector. The non-zero coefficients surviving the Lasso penalty will expose the absolute strongest macro drivers of deployment friction or acceleration for executive review.</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Technique 3: K-Means Clustering</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Application:</w:t>
      </w:r>
      <w:r w:rsidDel="00000000" w:rsidR="00000000" w:rsidRPr="00000000">
        <w:rPr>
          <w:rFonts w:ascii="Google Sans" w:cs="Google Sans" w:eastAsia="Google Sans" w:hAnsi="Google Sans"/>
          <w:color w:val="1f1f1f"/>
          <w:rtl w:val="0"/>
        </w:rPr>
        <w:t xml:space="preserve"> Unsupervised K-Means clustering will be executed on the engineering squads utilizing feature dimensions of platform adoption and complexity. The Elbow Method and Silhouette Analysis will determine the mathematically optimal number of cohorts ($K$).</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Strategic Objective:</w:t>
      </w:r>
      <w:r w:rsidDel="00000000" w:rsidR="00000000" w:rsidRPr="00000000">
        <w:rPr>
          <w:rFonts w:ascii="Google Sans" w:cs="Google Sans" w:eastAsia="Google Sans" w:hAnsi="Google Sans"/>
          <w:color w:val="1f1f1f"/>
          <w:rtl w:val="0"/>
        </w:rPr>
        <w:t xml:space="preserve"> Instead of issuing broad, ineffective company-wide mandates, leadership can use these empirical profiles (e.g., "High-Velocity Platform Adopters," "Legacy Scripting Holdouts") to deploy highly targeted training and infrastructure support.</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Strategic &amp; Operational Impact (The "So What?")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successful completion, this project transitions from an algorithmic workbook into an executive roadmap:</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Justifies Tech Spend:</w:t>
      </w:r>
      <w:r w:rsidDel="00000000" w:rsidR="00000000" w:rsidRPr="00000000">
        <w:rPr>
          <w:rFonts w:ascii="Google Sans" w:cs="Google Sans" w:eastAsia="Google Sans" w:hAnsi="Google Sans"/>
          <w:color w:val="1f1f1f"/>
          <w:rtl w:val="0"/>
        </w:rPr>
        <w:t xml:space="preserve"> Provides quantitative proof of how much platform adoption actively decreases time-to-market.</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Optimizes Resource Allocation:</w:t>
      </w:r>
      <w:r w:rsidDel="00000000" w:rsidR="00000000" w:rsidRPr="00000000">
        <w:rPr>
          <w:rFonts w:ascii="Google Sans" w:cs="Google Sans" w:eastAsia="Google Sans" w:hAnsi="Google Sans"/>
          <w:color w:val="1f1f1f"/>
          <w:rtl w:val="0"/>
        </w:rPr>
        <w:t xml:space="preserve"> Flags exact architectural patterns (e.g., excessive downstream microservice dependencies) that drag down velocity, shifting engineering focus from guessing bottlenecks to fixing them.</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Enforces Corporate Governance:</w:t>
      </w:r>
      <w:r w:rsidDel="00000000" w:rsidR="00000000" w:rsidRPr="00000000">
        <w:rPr>
          <w:rFonts w:ascii="Google Sans" w:cs="Google Sans" w:eastAsia="Google Sans" w:hAnsi="Google Sans"/>
          <w:color w:val="1f1f1f"/>
          <w:rtl w:val="0"/>
        </w:rPr>
        <w:t xml:space="preserve"> Empirically proves the operational cost of bypassing standard platform guardrails (manual overrides), paving the way for data-backed compliance policies.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