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Samantha Barbey</w:t>
      </w:r>
    </w:p>
    <w:p w:rsidR="00000000" w:rsidDel="00000000" w:rsidP="00000000" w:rsidRDefault="00000000" w:rsidRPr="00000000" w14:paraId="00000002">
      <w:pPr>
        <w:rPr/>
      </w:pPr>
      <w:r w:rsidDel="00000000" w:rsidR="00000000" w:rsidRPr="00000000">
        <w:rPr>
          <w:rtl w:val="0"/>
        </w:rPr>
        <w:t xml:space="preserve">Credit Risk Classification</w:t>
      </w:r>
    </w:p>
    <w:p w:rsidR="00000000" w:rsidDel="00000000" w:rsidP="00000000" w:rsidRDefault="00000000" w:rsidRPr="00000000" w14:paraId="00000003">
      <w:pPr>
        <w:rPr/>
      </w:pPr>
      <w:r w:rsidDel="00000000" w:rsidR="00000000" w:rsidRPr="00000000">
        <w:rPr>
          <w:rtl w:val="0"/>
        </w:rPr>
        <w:t xml:space="preserve">20 Nov, 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Credit Risk Analysis Report</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Overview:</w:t>
      </w:r>
    </w:p>
    <w:p w:rsidR="00000000" w:rsidDel="00000000" w:rsidP="00000000" w:rsidRDefault="00000000" w:rsidRPr="00000000" w14:paraId="00000008">
      <w:pPr>
        <w:rPr>
          <w:rFonts w:ascii="Roboto" w:cs="Roboto" w:eastAsia="Roboto" w:hAnsi="Roboto"/>
          <w:color w:val="374151"/>
          <w:sz w:val="24"/>
          <w:szCs w:val="24"/>
        </w:rPr>
      </w:pPr>
      <w:r w:rsidDel="00000000" w:rsidR="00000000" w:rsidRPr="00000000">
        <w:rPr>
          <w:rtl w:val="0"/>
        </w:rPr>
        <w:tab/>
      </w:r>
      <w:r w:rsidDel="00000000" w:rsidR="00000000" w:rsidRPr="00000000">
        <w:rPr>
          <w:rFonts w:ascii="Roboto" w:cs="Roboto" w:eastAsia="Roboto" w:hAnsi="Roboto"/>
          <w:color w:val="374151"/>
          <w:sz w:val="24"/>
          <w:szCs w:val="24"/>
          <w:rtl w:val="0"/>
        </w:rPr>
        <w:t xml:space="preserve">The purpose of this credit risk analysis is to evaluate the accuracy of machine learning in predicting credit risk. The model is used to determine whether a loan applicant is at high credit risk or not. Accurate credit risk assessment is crucial for financial institutions to make informed lending decisions and manage potential financial losses.</w:t>
      </w:r>
    </w:p>
    <w:p w:rsidR="00000000" w:rsidDel="00000000" w:rsidP="00000000" w:rsidRDefault="00000000" w:rsidRPr="00000000" w14:paraId="00000009">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b w:val="1"/>
          <w:color w:val="374151"/>
          <w:sz w:val="24"/>
          <w:szCs w:val="24"/>
          <w:u w:val="single"/>
        </w:rPr>
      </w:pPr>
      <w:r w:rsidDel="00000000" w:rsidR="00000000" w:rsidRPr="00000000">
        <w:rPr>
          <w:rFonts w:ascii="Roboto" w:cs="Roboto" w:eastAsia="Roboto" w:hAnsi="Roboto"/>
          <w:b w:val="1"/>
          <w:color w:val="374151"/>
          <w:sz w:val="24"/>
          <w:szCs w:val="24"/>
          <w:u w:val="single"/>
          <w:rtl w:val="0"/>
        </w:rPr>
        <w:t xml:space="preserve">Evaluation:</w:t>
      </w:r>
    </w:p>
    <w:p w:rsidR="00000000" w:rsidDel="00000000" w:rsidP="00000000" w:rsidRDefault="00000000" w:rsidRPr="00000000" w14:paraId="0000000B">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Accuracy Score: </w:t>
      </w:r>
      <w:r w:rsidDel="00000000" w:rsidR="00000000" w:rsidRPr="00000000">
        <w:rPr>
          <w:rFonts w:ascii="Roboto" w:cs="Roboto" w:eastAsia="Roboto" w:hAnsi="Roboto"/>
          <w:color w:val="374151"/>
          <w:sz w:val="21"/>
          <w:szCs w:val="21"/>
          <w:highlight w:val="white"/>
          <w:rtl w:val="0"/>
        </w:rPr>
        <w:t xml:space="preserve">95.21352751368186</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0C">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Precision: 99%</w:t>
      </w:r>
    </w:p>
    <w:p w:rsidR="00000000" w:rsidDel="00000000" w:rsidP="00000000" w:rsidRDefault="00000000" w:rsidRPr="00000000" w14:paraId="0000000D">
      <w:pPr>
        <w:numPr>
          <w:ilvl w:val="0"/>
          <w:numId w:val="1"/>
        </w:numPr>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Recall: 99%</w:t>
      </w:r>
    </w:p>
    <w:p w:rsidR="00000000" w:rsidDel="00000000" w:rsidP="00000000" w:rsidRDefault="00000000" w:rsidRPr="00000000" w14:paraId="0000000E">
      <w:pPr>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F">
      <w:pPr>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ab/>
      </w:r>
    </w:p>
    <w:p w:rsidR="00000000" w:rsidDel="00000000" w:rsidP="00000000" w:rsidRDefault="00000000" w:rsidRPr="00000000" w14:paraId="00000010">
      <w:pPr>
        <w:rPr>
          <w:rFonts w:ascii="Roboto" w:cs="Roboto" w:eastAsia="Roboto" w:hAnsi="Roboto"/>
          <w:b w:val="1"/>
          <w:color w:val="374151"/>
          <w:sz w:val="24"/>
          <w:szCs w:val="24"/>
          <w:u w:val="single"/>
        </w:rPr>
      </w:pPr>
      <w:r w:rsidDel="00000000" w:rsidR="00000000" w:rsidRPr="00000000">
        <w:rPr>
          <w:rFonts w:ascii="Roboto" w:cs="Roboto" w:eastAsia="Roboto" w:hAnsi="Roboto"/>
          <w:b w:val="1"/>
          <w:color w:val="374151"/>
          <w:sz w:val="24"/>
          <w:szCs w:val="24"/>
          <w:u w:val="single"/>
          <w:rtl w:val="0"/>
        </w:rPr>
        <w:t xml:space="preserve">Summary:</w:t>
      </w:r>
    </w:p>
    <w:p w:rsidR="00000000" w:rsidDel="00000000" w:rsidP="00000000" w:rsidRDefault="00000000" w:rsidRPr="00000000" w14:paraId="00000011">
      <w:pPr>
        <w:ind w:firstLine="72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overall accuracy score of 99% indicates that the model is making correct predictions in the majority of cases. The balanced precision and recall scores suggest that the model is effective in both minimizing false positives and capturing a substantial portion of actual high-risk instances. In conclusion, the machine learning model exhibits accuracy, precision, and recall scores, making it a valuable tool for credit risk analysis. This can contribute to more informed and accurate lending decisions.</w:t>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