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Écoute puis écris. RELU Sucrerie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Une capitale européenne RELU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spacing w:after="120" w:before="120"/>
      </w:pPr>
      <w:r>
        <w:rPr>
          <w:sz w:val="24"/>
          <w:szCs w:val="24"/>
        </w:rPr>
        <w:t xml:space="preserve">__________________________________________________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Paris est la capitale de la France.</w:t>
      </w:r>
    </w:p>
    <w:p>
      <w:pPr>
        <w:pStyle w:val="Heading2"/>
        <w:pageBreakBefore/>
        <w:spacing w:after="120" w:before="240"/>
      </w:pPr>
      <w:r>
        <w:t xml:space="preserve">Crédit / Attribution</w:t>
      </w:r>
    </w:p>
    <w:p>
      <w:pPr>
        <w:spacing w:after="40" w:before="40"/>
        <w:ind w:left="360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 xml:space="preserve">Phrase sur Paris — Atelier de test — CC BY — 4.0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2026-09-11T19:22:53.722Z</dcterms:created>
  <dcterms:modified xsi:type="dcterms:W3CDTF">2026-09-11T19:22:53.723Z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