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35664" w14:textId="77777777" w:rsidR="00850F83" w:rsidRPr="00850F83" w:rsidRDefault="00850F83" w:rsidP="00850F83">
      <w:pPr>
        <w:shd w:val="clear" w:color="auto" w:fill="FAFAFA"/>
        <w:spacing w:after="300" w:line="540" w:lineRule="atLeast"/>
        <w:outlineLvl w:val="0"/>
        <w:rPr>
          <w:rFonts w:ascii="Arial" w:eastAsia="Times New Roman" w:hAnsi="Arial" w:cs="Arial"/>
          <w:color w:val="333333"/>
          <w:kern w:val="36"/>
          <w:sz w:val="48"/>
          <w:szCs w:val="48"/>
        </w:rPr>
      </w:pPr>
      <w:r w:rsidRPr="00850F83">
        <w:rPr>
          <w:rFonts w:ascii="Arial" w:eastAsia="Times New Roman" w:hAnsi="Arial" w:cs="Arial"/>
          <w:color w:val="333333"/>
          <w:kern w:val="36"/>
          <w:sz w:val="48"/>
          <w:szCs w:val="48"/>
        </w:rPr>
        <w:t>Cost Function - Intuition II</w:t>
      </w:r>
    </w:p>
    <w:p w14:paraId="3775FA51" w14:textId="77777777" w:rsidR="00850F83" w:rsidRPr="00850F83" w:rsidRDefault="00850F83" w:rsidP="00850F83">
      <w:pPr>
        <w:shd w:val="clear" w:color="auto" w:fill="FAFAFA"/>
        <w:spacing w:after="300" w:line="300" w:lineRule="atLeast"/>
        <w:rPr>
          <w:rFonts w:ascii="Arial" w:eastAsia="Times New Roman" w:hAnsi="Arial" w:cs="Arial"/>
          <w:color w:val="333333"/>
          <w:sz w:val="21"/>
          <w:szCs w:val="21"/>
        </w:rPr>
      </w:pPr>
      <w:r w:rsidRPr="00850F83">
        <w:rPr>
          <w:rFonts w:ascii="Arial" w:eastAsia="Times New Roman" w:hAnsi="Arial" w:cs="Arial"/>
          <w:color w:val="333333"/>
          <w:sz w:val="21"/>
          <w:szCs w:val="21"/>
        </w:rPr>
        <w:t xml:space="preserve">A contour plot is a graph that contains many contour lines. A contour line of a </w:t>
      </w:r>
      <w:proofErr w:type="gramStart"/>
      <w:r w:rsidRPr="00850F83">
        <w:rPr>
          <w:rFonts w:ascii="Arial" w:eastAsia="Times New Roman" w:hAnsi="Arial" w:cs="Arial"/>
          <w:color w:val="333333"/>
          <w:sz w:val="21"/>
          <w:szCs w:val="21"/>
        </w:rPr>
        <w:t>two variable</w:t>
      </w:r>
      <w:proofErr w:type="gramEnd"/>
      <w:r w:rsidRPr="00850F83">
        <w:rPr>
          <w:rFonts w:ascii="Arial" w:eastAsia="Times New Roman" w:hAnsi="Arial" w:cs="Arial"/>
          <w:color w:val="333333"/>
          <w:sz w:val="21"/>
          <w:szCs w:val="21"/>
        </w:rPr>
        <w:t xml:space="preserve"> function has a constant value at all points of the same line. An example of such a graph is the one to the right below.</w:t>
      </w:r>
    </w:p>
    <w:p w14:paraId="4410D3E9" w14:textId="16308C3D" w:rsidR="00850F83" w:rsidRPr="00850F83" w:rsidRDefault="00850F83" w:rsidP="00850F83">
      <w:pPr>
        <w:spacing w:after="0" w:line="240" w:lineRule="auto"/>
        <w:rPr>
          <w:rFonts w:ascii="Times New Roman" w:eastAsia="Times New Roman" w:hAnsi="Times New Roman" w:cs="Times New Roman"/>
          <w:sz w:val="24"/>
          <w:szCs w:val="24"/>
        </w:rPr>
      </w:pPr>
      <w:r w:rsidRPr="00850F83">
        <w:rPr>
          <w:rFonts w:ascii="Times New Roman" w:eastAsia="Times New Roman" w:hAnsi="Times New Roman" w:cs="Times New Roman"/>
          <w:noProof/>
          <w:sz w:val="24"/>
          <w:szCs w:val="24"/>
        </w:rPr>
        <w:drawing>
          <wp:inline distT="0" distB="0" distL="0" distR="0" wp14:anchorId="34CED5FD" wp14:editId="668EFA98">
            <wp:extent cx="6286500" cy="3333750"/>
            <wp:effectExtent l="0" t="0" r="0" b="0"/>
            <wp:docPr id="3" name="Picture 3" descr="https://d3c33hcgiwev3.cloudfront.net/imageAssetProxy.v1/N2oKYp2wEeaVChLw2Vaaug_d4d1c5b1c90578b32a6672e3b7e4b3a4_Screenshot-2016-10-29-01.14.37.png?expiry=1521763200000&amp;hmac=ErJmJp3vRv4IszdgvZoq8PX3e0Cy5p3QP6g9JtFe_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N2oKYp2wEeaVChLw2Vaaug_d4d1c5b1c90578b32a6672e3b7e4b3a4_Screenshot-2016-10-29-01.14.37.png?expiry=1521763200000&amp;hmac=ErJmJp3vRv4IszdgvZoq8PX3e0Cy5p3QP6g9JtFe_d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86500" cy="3333750"/>
                    </a:xfrm>
                    <a:prstGeom prst="rect">
                      <a:avLst/>
                    </a:prstGeom>
                    <a:noFill/>
                    <a:ln>
                      <a:noFill/>
                    </a:ln>
                  </pic:spPr>
                </pic:pic>
              </a:graphicData>
            </a:graphic>
          </wp:inline>
        </w:drawing>
      </w:r>
    </w:p>
    <w:p w14:paraId="549E6D5B" w14:textId="77777777" w:rsidR="00850F83" w:rsidRPr="00850F83" w:rsidRDefault="00850F83" w:rsidP="00850F83">
      <w:pPr>
        <w:shd w:val="clear" w:color="auto" w:fill="FAFAFA"/>
        <w:spacing w:after="0" w:line="300" w:lineRule="atLeast"/>
        <w:rPr>
          <w:rFonts w:ascii="Arial" w:eastAsia="Times New Roman" w:hAnsi="Arial" w:cs="Arial"/>
          <w:color w:val="333333"/>
          <w:sz w:val="21"/>
          <w:szCs w:val="21"/>
        </w:rPr>
      </w:pPr>
      <w:r w:rsidRPr="00850F83">
        <w:rPr>
          <w:rFonts w:ascii="Arial" w:eastAsia="Times New Roman" w:hAnsi="Arial" w:cs="Arial"/>
          <w:color w:val="333333"/>
          <w:sz w:val="21"/>
          <w:szCs w:val="21"/>
        </w:rPr>
        <w:t>Taking any color and going along the 'circle', one would expect to get the same value of the cost function. For example, the three green points found on the green line above have the same value for </w:t>
      </w:r>
      <w:r w:rsidRPr="00850F83">
        <w:rPr>
          <w:rFonts w:ascii="MathJax_Math" w:eastAsia="Times New Roman" w:hAnsi="MathJax_Math" w:cs="Arial"/>
          <w:i/>
          <w:iCs/>
          <w:color w:val="333333"/>
          <w:sz w:val="26"/>
          <w:szCs w:val="26"/>
          <w:bdr w:val="none" w:sz="0" w:space="0" w:color="auto" w:frame="1"/>
        </w:rPr>
        <w:t>J</w:t>
      </w:r>
      <w:r w:rsidRPr="00850F83">
        <w:rPr>
          <w:rFonts w:ascii="MathJax_Main" w:eastAsia="Times New Roman" w:hAnsi="MathJax_Main" w:cs="Arial"/>
          <w:color w:val="333333"/>
          <w:sz w:val="26"/>
          <w:szCs w:val="26"/>
          <w:bdr w:val="none" w:sz="0" w:space="0" w:color="auto" w:frame="1"/>
        </w:rPr>
        <w:t>(</w:t>
      </w:r>
      <w:r w:rsidRPr="00850F83">
        <w:rPr>
          <w:rFonts w:ascii="MathJax_Math" w:eastAsia="Times New Roman" w:hAnsi="MathJax_Math" w:cs="Arial"/>
          <w:i/>
          <w:iCs/>
          <w:color w:val="333333"/>
          <w:sz w:val="26"/>
          <w:szCs w:val="26"/>
          <w:bdr w:val="none" w:sz="0" w:space="0" w:color="auto" w:frame="1"/>
        </w:rPr>
        <w:t>θ</w:t>
      </w:r>
      <w:proofErr w:type="gramStart"/>
      <w:r w:rsidRPr="00850F83">
        <w:rPr>
          <w:rFonts w:ascii="MathJax_Main" w:eastAsia="Times New Roman" w:hAnsi="MathJax_Main" w:cs="Arial"/>
          <w:color w:val="333333"/>
          <w:sz w:val="18"/>
          <w:szCs w:val="18"/>
          <w:bdr w:val="none" w:sz="0" w:space="0" w:color="auto" w:frame="1"/>
        </w:rPr>
        <w:t>0</w:t>
      </w:r>
      <w:r w:rsidRPr="00850F83">
        <w:rPr>
          <w:rFonts w:ascii="MathJax_Main" w:eastAsia="Times New Roman" w:hAnsi="MathJax_Main" w:cs="Arial"/>
          <w:color w:val="333333"/>
          <w:sz w:val="26"/>
          <w:szCs w:val="26"/>
          <w:bdr w:val="none" w:sz="0" w:space="0" w:color="auto" w:frame="1"/>
        </w:rPr>
        <w:t>,</w:t>
      </w:r>
      <w:r w:rsidRPr="00850F83">
        <w:rPr>
          <w:rFonts w:ascii="MathJax_Math" w:eastAsia="Times New Roman" w:hAnsi="MathJax_Math" w:cs="Arial"/>
          <w:i/>
          <w:iCs/>
          <w:color w:val="333333"/>
          <w:sz w:val="26"/>
          <w:szCs w:val="26"/>
          <w:bdr w:val="none" w:sz="0" w:space="0" w:color="auto" w:frame="1"/>
        </w:rPr>
        <w:t>θ</w:t>
      </w:r>
      <w:proofErr w:type="gramEnd"/>
      <w:r w:rsidRPr="00850F83">
        <w:rPr>
          <w:rFonts w:ascii="MathJax_Main" w:eastAsia="Times New Roman" w:hAnsi="MathJax_Main" w:cs="Arial"/>
          <w:color w:val="333333"/>
          <w:sz w:val="18"/>
          <w:szCs w:val="18"/>
          <w:bdr w:val="none" w:sz="0" w:space="0" w:color="auto" w:frame="1"/>
        </w:rPr>
        <w:t>1</w:t>
      </w:r>
      <w:r w:rsidRPr="00850F83">
        <w:rPr>
          <w:rFonts w:ascii="MathJax_Main" w:eastAsia="Times New Roman" w:hAnsi="MathJax_Main" w:cs="Arial"/>
          <w:color w:val="333333"/>
          <w:sz w:val="26"/>
          <w:szCs w:val="26"/>
          <w:bdr w:val="none" w:sz="0" w:space="0" w:color="auto" w:frame="1"/>
        </w:rPr>
        <w:t>)</w:t>
      </w:r>
      <w:r w:rsidRPr="00850F83">
        <w:rPr>
          <w:rFonts w:ascii="Arial" w:eastAsia="Times New Roman" w:hAnsi="Arial" w:cs="Arial"/>
          <w:color w:val="333333"/>
          <w:sz w:val="21"/>
          <w:szCs w:val="21"/>
        </w:rPr>
        <w:t> and as a result, they are found along the same line. The circled x displays the value of the cost function for the graph on the left when </w:t>
      </w:r>
      <w:r w:rsidRPr="00850F83">
        <w:rPr>
          <w:rFonts w:ascii="MathJax_Math" w:eastAsia="Times New Roman" w:hAnsi="MathJax_Math" w:cs="Arial"/>
          <w:i/>
          <w:iCs/>
          <w:color w:val="333333"/>
          <w:sz w:val="26"/>
          <w:szCs w:val="26"/>
          <w:bdr w:val="none" w:sz="0" w:space="0" w:color="auto" w:frame="1"/>
        </w:rPr>
        <w:t>θ</w:t>
      </w:r>
      <w:r w:rsidRPr="00850F83">
        <w:rPr>
          <w:rFonts w:ascii="MathJax_Main" w:eastAsia="Times New Roman" w:hAnsi="MathJax_Main" w:cs="Arial"/>
          <w:color w:val="333333"/>
          <w:sz w:val="18"/>
          <w:szCs w:val="18"/>
          <w:bdr w:val="none" w:sz="0" w:space="0" w:color="auto" w:frame="1"/>
        </w:rPr>
        <w:t>0</w:t>
      </w:r>
      <w:r w:rsidRPr="00850F83">
        <w:rPr>
          <w:rFonts w:ascii="Arial" w:eastAsia="Times New Roman" w:hAnsi="Arial" w:cs="Arial"/>
          <w:color w:val="333333"/>
          <w:sz w:val="21"/>
          <w:szCs w:val="21"/>
        </w:rPr>
        <w:t> = 800 and </w:t>
      </w:r>
      <w:r w:rsidRPr="00850F83">
        <w:rPr>
          <w:rFonts w:ascii="MathJax_Math" w:eastAsia="Times New Roman" w:hAnsi="MathJax_Math" w:cs="Arial"/>
          <w:i/>
          <w:iCs/>
          <w:color w:val="333333"/>
          <w:sz w:val="26"/>
          <w:szCs w:val="26"/>
          <w:bdr w:val="none" w:sz="0" w:space="0" w:color="auto" w:frame="1"/>
        </w:rPr>
        <w:t>θ</w:t>
      </w:r>
      <w:r w:rsidRPr="00850F83">
        <w:rPr>
          <w:rFonts w:ascii="MathJax_Main" w:eastAsia="Times New Roman" w:hAnsi="MathJax_Main" w:cs="Arial"/>
          <w:color w:val="333333"/>
          <w:sz w:val="18"/>
          <w:szCs w:val="18"/>
          <w:bdr w:val="none" w:sz="0" w:space="0" w:color="auto" w:frame="1"/>
        </w:rPr>
        <w:t>1</w:t>
      </w:r>
      <w:r w:rsidRPr="00850F83">
        <w:rPr>
          <w:rFonts w:ascii="Arial" w:eastAsia="Times New Roman" w:hAnsi="Arial" w:cs="Arial"/>
          <w:color w:val="333333"/>
          <w:sz w:val="21"/>
          <w:szCs w:val="21"/>
        </w:rPr>
        <w:t>= -0.15. Taking another h(x) and plotting its contour plot, one gets the following graphs:</w:t>
      </w:r>
    </w:p>
    <w:p w14:paraId="5CD6227C" w14:textId="51669968" w:rsidR="00850F83" w:rsidRPr="00850F83" w:rsidRDefault="00850F83" w:rsidP="00850F83">
      <w:pPr>
        <w:spacing w:after="0" w:line="240" w:lineRule="auto"/>
        <w:rPr>
          <w:rFonts w:ascii="Times New Roman" w:eastAsia="Times New Roman" w:hAnsi="Times New Roman" w:cs="Times New Roman"/>
          <w:sz w:val="24"/>
          <w:szCs w:val="24"/>
        </w:rPr>
      </w:pPr>
      <w:r w:rsidRPr="00850F83">
        <w:rPr>
          <w:rFonts w:ascii="Times New Roman" w:eastAsia="Times New Roman" w:hAnsi="Times New Roman" w:cs="Times New Roman"/>
          <w:noProof/>
          <w:sz w:val="24"/>
          <w:szCs w:val="24"/>
        </w:rPr>
        <w:lastRenderedPageBreak/>
        <w:drawing>
          <wp:inline distT="0" distB="0" distL="0" distR="0" wp14:anchorId="7DF40FC4" wp14:editId="0F588157">
            <wp:extent cx="6216650" cy="3467100"/>
            <wp:effectExtent l="0" t="0" r="0" b="0"/>
            <wp:docPr id="2" name="Picture 2" descr="https://d3c33hcgiwev3.cloudfront.net/imageAssetProxy.v1/26RZhJ34EeaiZBL80Yza_A_0f38a99c8ceb8aa5b90a5f12136fdf43_Screenshot-2016-10-29-01.14.57.png?expiry=1521763200000&amp;hmac=vAqaKYmPq-GQoFXxRiy-dMaaTp0xqU-tBGJbn8U5r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26RZhJ34EeaiZBL80Yza_A_0f38a99c8ceb8aa5b90a5f12136fdf43_Screenshot-2016-10-29-01.14.57.png?expiry=1521763200000&amp;hmac=vAqaKYmPq-GQoFXxRiy-dMaaTp0xqU-tBGJbn8U5rx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6650" cy="3467100"/>
                    </a:xfrm>
                    <a:prstGeom prst="rect">
                      <a:avLst/>
                    </a:prstGeom>
                    <a:noFill/>
                    <a:ln>
                      <a:noFill/>
                    </a:ln>
                  </pic:spPr>
                </pic:pic>
              </a:graphicData>
            </a:graphic>
          </wp:inline>
        </w:drawing>
      </w:r>
    </w:p>
    <w:p w14:paraId="1DF5D481" w14:textId="77777777" w:rsidR="00850F83" w:rsidRPr="00850F83" w:rsidRDefault="00850F83" w:rsidP="00850F83">
      <w:pPr>
        <w:shd w:val="clear" w:color="auto" w:fill="FAFAFA"/>
        <w:spacing w:after="0" w:line="300" w:lineRule="atLeast"/>
        <w:rPr>
          <w:rFonts w:ascii="Arial" w:eastAsia="Times New Roman" w:hAnsi="Arial" w:cs="Arial"/>
          <w:color w:val="333333"/>
          <w:sz w:val="21"/>
          <w:szCs w:val="21"/>
        </w:rPr>
      </w:pPr>
      <w:r w:rsidRPr="00850F83">
        <w:rPr>
          <w:rFonts w:ascii="Arial" w:eastAsia="Times New Roman" w:hAnsi="Arial" w:cs="Arial"/>
          <w:color w:val="333333"/>
          <w:sz w:val="21"/>
          <w:szCs w:val="21"/>
        </w:rPr>
        <w:t>When </w:t>
      </w:r>
      <w:r w:rsidRPr="00850F83">
        <w:rPr>
          <w:rFonts w:ascii="MathJax_Math" w:eastAsia="Times New Roman" w:hAnsi="MathJax_Math" w:cs="Arial"/>
          <w:i/>
          <w:iCs/>
          <w:color w:val="333333"/>
          <w:sz w:val="26"/>
          <w:szCs w:val="26"/>
          <w:bdr w:val="none" w:sz="0" w:space="0" w:color="auto" w:frame="1"/>
        </w:rPr>
        <w:t>θ</w:t>
      </w:r>
      <w:r w:rsidRPr="00850F83">
        <w:rPr>
          <w:rFonts w:ascii="MathJax_Main" w:eastAsia="Times New Roman" w:hAnsi="MathJax_Main" w:cs="Arial"/>
          <w:color w:val="333333"/>
          <w:sz w:val="18"/>
          <w:szCs w:val="18"/>
          <w:bdr w:val="none" w:sz="0" w:space="0" w:color="auto" w:frame="1"/>
        </w:rPr>
        <w:t>0</w:t>
      </w:r>
      <w:r w:rsidRPr="00850F83">
        <w:rPr>
          <w:rFonts w:ascii="Arial" w:eastAsia="Times New Roman" w:hAnsi="Arial" w:cs="Arial"/>
          <w:color w:val="333333"/>
          <w:sz w:val="21"/>
          <w:szCs w:val="21"/>
        </w:rPr>
        <w:t> = 360 and </w:t>
      </w:r>
      <w:r w:rsidRPr="00850F83">
        <w:rPr>
          <w:rFonts w:ascii="MathJax_Math" w:eastAsia="Times New Roman" w:hAnsi="MathJax_Math" w:cs="Arial"/>
          <w:i/>
          <w:iCs/>
          <w:color w:val="333333"/>
          <w:sz w:val="26"/>
          <w:szCs w:val="26"/>
          <w:bdr w:val="none" w:sz="0" w:space="0" w:color="auto" w:frame="1"/>
        </w:rPr>
        <w:t>θ</w:t>
      </w:r>
      <w:r w:rsidRPr="00850F83">
        <w:rPr>
          <w:rFonts w:ascii="MathJax_Main" w:eastAsia="Times New Roman" w:hAnsi="MathJax_Main" w:cs="Arial"/>
          <w:color w:val="333333"/>
          <w:sz w:val="18"/>
          <w:szCs w:val="18"/>
          <w:bdr w:val="none" w:sz="0" w:space="0" w:color="auto" w:frame="1"/>
        </w:rPr>
        <w:t>1</w:t>
      </w:r>
      <w:r w:rsidRPr="00850F83">
        <w:rPr>
          <w:rFonts w:ascii="Arial" w:eastAsia="Times New Roman" w:hAnsi="Arial" w:cs="Arial"/>
          <w:color w:val="333333"/>
          <w:sz w:val="21"/>
          <w:szCs w:val="21"/>
        </w:rPr>
        <w:t> = 0, the value of </w:t>
      </w:r>
      <w:r w:rsidRPr="00850F83">
        <w:rPr>
          <w:rFonts w:ascii="MathJax_Math" w:eastAsia="Times New Roman" w:hAnsi="MathJax_Math" w:cs="Arial"/>
          <w:i/>
          <w:iCs/>
          <w:color w:val="333333"/>
          <w:sz w:val="26"/>
          <w:szCs w:val="26"/>
          <w:bdr w:val="none" w:sz="0" w:space="0" w:color="auto" w:frame="1"/>
        </w:rPr>
        <w:t>J</w:t>
      </w:r>
      <w:r w:rsidRPr="00850F83">
        <w:rPr>
          <w:rFonts w:ascii="MathJax_Main" w:eastAsia="Times New Roman" w:hAnsi="MathJax_Main" w:cs="Arial"/>
          <w:color w:val="333333"/>
          <w:sz w:val="26"/>
          <w:szCs w:val="26"/>
          <w:bdr w:val="none" w:sz="0" w:space="0" w:color="auto" w:frame="1"/>
        </w:rPr>
        <w:t>(</w:t>
      </w:r>
      <w:r w:rsidRPr="00850F83">
        <w:rPr>
          <w:rFonts w:ascii="MathJax_Math" w:eastAsia="Times New Roman" w:hAnsi="MathJax_Math" w:cs="Arial"/>
          <w:i/>
          <w:iCs/>
          <w:color w:val="333333"/>
          <w:sz w:val="26"/>
          <w:szCs w:val="26"/>
          <w:bdr w:val="none" w:sz="0" w:space="0" w:color="auto" w:frame="1"/>
        </w:rPr>
        <w:t>θ</w:t>
      </w:r>
      <w:proofErr w:type="gramStart"/>
      <w:r w:rsidRPr="00850F83">
        <w:rPr>
          <w:rFonts w:ascii="MathJax_Main" w:eastAsia="Times New Roman" w:hAnsi="MathJax_Main" w:cs="Arial"/>
          <w:color w:val="333333"/>
          <w:sz w:val="18"/>
          <w:szCs w:val="18"/>
          <w:bdr w:val="none" w:sz="0" w:space="0" w:color="auto" w:frame="1"/>
        </w:rPr>
        <w:t>0</w:t>
      </w:r>
      <w:r w:rsidRPr="00850F83">
        <w:rPr>
          <w:rFonts w:ascii="MathJax_Main" w:eastAsia="Times New Roman" w:hAnsi="MathJax_Main" w:cs="Arial"/>
          <w:color w:val="333333"/>
          <w:sz w:val="26"/>
          <w:szCs w:val="26"/>
          <w:bdr w:val="none" w:sz="0" w:space="0" w:color="auto" w:frame="1"/>
        </w:rPr>
        <w:t>,</w:t>
      </w:r>
      <w:r w:rsidRPr="00850F83">
        <w:rPr>
          <w:rFonts w:ascii="MathJax_Math" w:eastAsia="Times New Roman" w:hAnsi="MathJax_Math" w:cs="Arial"/>
          <w:i/>
          <w:iCs/>
          <w:color w:val="333333"/>
          <w:sz w:val="26"/>
          <w:szCs w:val="26"/>
          <w:bdr w:val="none" w:sz="0" w:space="0" w:color="auto" w:frame="1"/>
        </w:rPr>
        <w:t>θ</w:t>
      </w:r>
      <w:proofErr w:type="gramEnd"/>
      <w:r w:rsidRPr="00850F83">
        <w:rPr>
          <w:rFonts w:ascii="MathJax_Main" w:eastAsia="Times New Roman" w:hAnsi="MathJax_Main" w:cs="Arial"/>
          <w:color w:val="333333"/>
          <w:sz w:val="18"/>
          <w:szCs w:val="18"/>
          <w:bdr w:val="none" w:sz="0" w:space="0" w:color="auto" w:frame="1"/>
        </w:rPr>
        <w:t>1</w:t>
      </w:r>
      <w:r w:rsidRPr="00850F83">
        <w:rPr>
          <w:rFonts w:ascii="MathJax_Main" w:eastAsia="Times New Roman" w:hAnsi="MathJax_Main" w:cs="Arial"/>
          <w:color w:val="333333"/>
          <w:sz w:val="26"/>
          <w:szCs w:val="26"/>
          <w:bdr w:val="none" w:sz="0" w:space="0" w:color="auto" w:frame="1"/>
        </w:rPr>
        <w:t>)</w:t>
      </w:r>
      <w:r w:rsidRPr="00850F83">
        <w:rPr>
          <w:rFonts w:ascii="Arial" w:eastAsia="Times New Roman" w:hAnsi="Arial" w:cs="Arial"/>
          <w:color w:val="333333"/>
          <w:sz w:val="21"/>
          <w:szCs w:val="21"/>
        </w:rPr>
        <w:t> in the contour plot gets closer to the center thus reducing the cost function error. Now giving our hypothesis function a slightly positive slope results in a better fit of the data.</w:t>
      </w:r>
    </w:p>
    <w:p w14:paraId="7AE60A17" w14:textId="6715681B" w:rsidR="00850F83" w:rsidRPr="00850F83" w:rsidRDefault="00850F83" w:rsidP="00850F83">
      <w:pPr>
        <w:spacing w:after="0" w:line="240" w:lineRule="auto"/>
        <w:rPr>
          <w:rFonts w:ascii="Times New Roman" w:eastAsia="Times New Roman" w:hAnsi="Times New Roman" w:cs="Times New Roman"/>
          <w:sz w:val="24"/>
          <w:szCs w:val="24"/>
        </w:rPr>
      </w:pPr>
      <w:r w:rsidRPr="00850F83">
        <w:rPr>
          <w:rFonts w:ascii="Times New Roman" w:eastAsia="Times New Roman" w:hAnsi="Times New Roman" w:cs="Times New Roman"/>
          <w:noProof/>
          <w:sz w:val="24"/>
          <w:szCs w:val="24"/>
        </w:rPr>
        <w:drawing>
          <wp:inline distT="0" distB="0" distL="0" distR="0" wp14:anchorId="170DCFA3" wp14:editId="138B6E5B">
            <wp:extent cx="6153150" cy="2990850"/>
            <wp:effectExtent l="0" t="0" r="0" b="0"/>
            <wp:docPr id="1" name="Picture 1" descr="https://d3c33hcgiwev3.cloudfront.net/imageAssetProxy.v1/hsGgT536Eeai9RKvXdDYag_2a61803b5f4f86d4290b6e878befc44f_Screenshot-2016-10-29-09.59.41.png?expiry=1521763200000&amp;hmac=Xz3afB1yUeOr2A-XcnAZoLO9erlGtPuif6l55Dry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hsGgT536Eeai9RKvXdDYag_2a61803b5f4f86d4290b6e878befc44f_Screenshot-2016-10-29-09.59.41.png?expiry=1521763200000&amp;hmac=Xz3afB1yUeOr2A-XcnAZoLO9erlGtPuif6l55DryF-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3150" cy="2990850"/>
                    </a:xfrm>
                    <a:prstGeom prst="rect">
                      <a:avLst/>
                    </a:prstGeom>
                    <a:noFill/>
                    <a:ln>
                      <a:noFill/>
                    </a:ln>
                  </pic:spPr>
                </pic:pic>
              </a:graphicData>
            </a:graphic>
          </wp:inline>
        </w:drawing>
      </w:r>
    </w:p>
    <w:p w14:paraId="661DFB28" w14:textId="77777777" w:rsidR="00850F83" w:rsidRPr="00850F83" w:rsidRDefault="00850F83" w:rsidP="00850F83">
      <w:pPr>
        <w:shd w:val="clear" w:color="auto" w:fill="FAFAFA"/>
        <w:spacing w:after="0" w:line="300" w:lineRule="atLeast"/>
        <w:rPr>
          <w:rFonts w:ascii="Arial" w:eastAsia="Times New Roman" w:hAnsi="Arial" w:cs="Arial"/>
          <w:color w:val="333333"/>
          <w:sz w:val="21"/>
          <w:szCs w:val="21"/>
        </w:rPr>
      </w:pPr>
      <w:r w:rsidRPr="00850F83">
        <w:rPr>
          <w:rFonts w:ascii="Arial" w:eastAsia="Times New Roman" w:hAnsi="Arial" w:cs="Arial"/>
          <w:color w:val="333333"/>
          <w:sz w:val="21"/>
          <w:szCs w:val="21"/>
        </w:rPr>
        <w:t>The graph above minimizes the cost function as much as possible and consequently, the result of </w:t>
      </w:r>
      <w:r w:rsidRPr="00850F83">
        <w:rPr>
          <w:rFonts w:ascii="MathJax_Math" w:eastAsia="Times New Roman" w:hAnsi="MathJax_Math" w:cs="Arial"/>
          <w:i/>
          <w:iCs/>
          <w:color w:val="333333"/>
          <w:sz w:val="26"/>
          <w:szCs w:val="26"/>
          <w:bdr w:val="none" w:sz="0" w:space="0" w:color="auto" w:frame="1"/>
        </w:rPr>
        <w:t>θ</w:t>
      </w:r>
      <w:r w:rsidRPr="00850F83">
        <w:rPr>
          <w:rFonts w:ascii="MathJax_Main" w:eastAsia="Times New Roman" w:hAnsi="MathJax_Main" w:cs="Arial"/>
          <w:color w:val="333333"/>
          <w:sz w:val="18"/>
          <w:szCs w:val="18"/>
          <w:bdr w:val="none" w:sz="0" w:space="0" w:color="auto" w:frame="1"/>
        </w:rPr>
        <w:t>1</w:t>
      </w:r>
      <w:r w:rsidRPr="00850F83">
        <w:rPr>
          <w:rFonts w:ascii="Arial" w:eastAsia="Times New Roman" w:hAnsi="Arial" w:cs="Arial"/>
          <w:color w:val="333333"/>
          <w:sz w:val="21"/>
          <w:szCs w:val="21"/>
        </w:rPr>
        <w:t> and </w:t>
      </w:r>
      <w:r w:rsidRPr="00850F83">
        <w:rPr>
          <w:rFonts w:ascii="MathJax_Math" w:eastAsia="Times New Roman" w:hAnsi="MathJax_Math" w:cs="Arial"/>
          <w:i/>
          <w:iCs/>
          <w:color w:val="333333"/>
          <w:sz w:val="26"/>
          <w:szCs w:val="26"/>
          <w:bdr w:val="none" w:sz="0" w:space="0" w:color="auto" w:frame="1"/>
        </w:rPr>
        <w:t>θ</w:t>
      </w:r>
      <w:r w:rsidRPr="00850F83">
        <w:rPr>
          <w:rFonts w:ascii="MathJax_Main" w:eastAsia="Times New Roman" w:hAnsi="MathJax_Main" w:cs="Arial"/>
          <w:color w:val="333333"/>
          <w:sz w:val="18"/>
          <w:szCs w:val="18"/>
          <w:bdr w:val="none" w:sz="0" w:space="0" w:color="auto" w:frame="1"/>
        </w:rPr>
        <w:t>0</w:t>
      </w:r>
      <w:r w:rsidRPr="00850F83">
        <w:rPr>
          <w:rFonts w:ascii="Arial" w:eastAsia="Times New Roman" w:hAnsi="Arial" w:cs="Arial"/>
          <w:color w:val="333333"/>
          <w:sz w:val="21"/>
          <w:szCs w:val="21"/>
        </w:rPr>
        <w:t> tend to be around 0.12 and 250 respectively. Plotting those values on our graph to the right seems to put our point in the center of the inner most 'circle'.</w:t>
      </w:r>
    </w:p>
    <w:p w14:paraId="7F0C6BEE" w14:textId="77777777" w:rsidR="00347B2D" w:rsidRDefault="00850F83">
      <w:bookmarkStart w:id="0" w:name="_GoBack"/>
      <w:bookmarkEnd w:id="0"/>
    </w:p>
    <w:sectPr w:rsidR="00347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83"/>
    <w:rsid w:val="00850F83"/>
    <w:rsid w:val="00C0301D"/>
    <w:rsid w:val="00C44BD1"/>
    <w:rsid w:val="00C9167F"/>
    <w:rsid w:val="00D4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872E2"/>
  <w15:chartTrackingRefBased/>
  <w15:docId w15:val="{B14EC753-F0C9-415D-B22C-571C2ED2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50F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F8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50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50F83"/>
  </w:style>
  <w:style w:type="character" w:customStyle="1" w:styleId="mo">
    <w:name w:val="mo"/>
    <w:basedOn w:val="DefaultParagraphFont"/>
    <w:rsid w:val="00850F83"/>
  </w:style>
  <w:style w:type="character" w:customStyle="1" w:styleId="mn">
    <w:name w:val="mn"/>
    <w:basedOn w:val="DefaultParagraphFont"/>
    <w:rsid w:val="00850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7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Kurakula, Sambasivarao</dc:creator>
  <cp:keywords/>
  <dc:description/>
  <cp:lastModifiedBy>Kurakula, Sambasivarao</cp:lastModifiedBy>
  <cp:revision>1</cp:revision>
  <dcterms:created xsi:type="dcterms:W3CDTF">2018-03-21T05:36:00Z</dcterms:created>
  <dcterms:modified xsi:type="dcterms:W3CDTF">2018-03-21T05:37:00Z</dcterms:modified>
</cp:coreProperties>
</file>