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683B" w14:textId="77777777" w:rsidR="00667334" w:rsidRPr="00667334" w:rsidRDefault="00667334" w:rsidP="00667334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667334">
        <w:rPr>
          <w:rFonts w:ascii="Arial" w:eastAsia="Times New Roman" w:hAnsi="Arial" w:cs="Arial"/>
          <w:color w:val="333333"/>
          <w:kern w:val="36"/>
          <w:sz w:val="48"/>
          <w:szCs w:val="48"/>
        </w:rPr>
        <w:t>Normal Equation</w:t>
      </w:r>
    </w:p>
    <w:p w14:paraId="5263E09C" w14:textId="77777777" w:rsidR="00667334" w:rsidRPr="00667334" w:rsidRDefault="00667334" w:rsidP="0066733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67334">
        <w:rPr>
          <w:rFonts w:ascii="Arial" w:eastAsia="Times New Roman" w:hAnsi="Arial" w:cs="Arial"/>
          <w:color w:val="333333"/>
          <w:sz w:val="21"/>
          <w:szCs w:val="21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r w:rsidRPr="00667334">
        <w:rPr>
          <w:rFonts w:ascii="Arial" w:eastAsia="Times New Roman" w:hAnsi="Arial" w:cs="Arial"/>
          <w:color w:val="333333"/>
          <w:sz w:val="21"/>
          <w:szCs w:val="21"/>
        </w:rPr>
        <w:t>θj</w:t>
      </w:r>
      <w:proofErr w:type="spellEnd"/>
      <w:r w:rsidRPr="00667334">
        <w:rPr>
          <w:rFonts w:ascii="Arial" w:eastAsia="Times New Roman" w:hAnsi="Arial" w:cs="Arial"/>
          <w:color w:val="333333"/>
          <w:sz w:val="21"/>
          <w:szCs w:val="21"/>
        </w:rPr>
        <w:t xml:space="preserve"> ’</w:t>
      </w:r>
      <w:proofErr w:type="gramStart"/>
      <w:r w:rsidRPr="00667334">
        <w:rPr>
          <w:rFonts w:ascii="Arial" w:eastAsia="Times New Roman" w:hAnsi="Arial" w:cs="Arial"/>
          <w:color w:val="333333"/>
          <w:sz w:val="21"/>
          <w:szCs w:val="21"/>
        </w:rPr>
        <w:t>s, and</w:t>
      </w:r>
      <w:proofErr w:type="gramEnd"/>
      <w:r w:rsidRPr="00667334">
        <w:rPr>
          <w:rFonts w:ascii="Arial" w:eastAsia="Times New Roman" w:hAnsi="Arial" w:cs="Arial"/>
          <w:color w:val="333333"/>
          <w:sz w:val="21"/>
          <w:szCs w:val="21"/>
        </w:rPr>
        <w:t xml:space="preserve"> setting them to zero. This allows us to find the optimum theta without iteration. The normal equation formula is given below:</w:t>
      </w:r>
    </w:p>
    <w:p w14:paraId="6531BF71" w14:textId="6EF03421" w:rsidR="00667334" w:rsidRPr="00667334" w:rsidRDefault="00667334" w:rsidP="00667334">
      <w:pPr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7334">
        <w:rPr>
          <w:rFonts w:ascii="MathJax_Math" w:eastAsia="Times New Roman" w:hAnsi="MathJax_Math" w:cs="Arial" w:hint="eastAsia"/>
          <w:i/>
          <w:iCs/>
          <w:color w:val="333333"/>
          <w:sz w:val="26"/>
          <w:szCs w:val="26"/>
          <w:bdr w:val="none" w:sz="0" w:space="0" w:color="auto" w:frame="1"/>
        </w:rPr>
        <w:t>Θ</w:t>
      </w:r>
      <w:r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 xml:space="preserve"> </w:t>
      </w:r>
      <w:r w:rsidRPr="0066733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 xml:space="preserve"> </w:t>
      </w:r>
      <w:r w:rsidRPr="0066733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6733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vertAlign w:val="superscript"/>
        </w:rPr>
        <w:t xml:space="preserve">T </w:t>
      </w:r>
      <w:r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vertAlign w:val="superscript"/>
        </w:rPr>
        <w:t xml:space="preserve">-1 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X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vertAlign w:val="superscript"/>
        </w:rPr>
        <w:t>T</w:t>
      </w:r>
      <w:r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Y</w:t>
      </w:r>
      <w:r w:rsidRPr="00667334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95598AA" wp14:editId="5278D2CB">
            <wp:extent cx="5734050" cy="3206750"/>
            <wp:effectExtent l="0" t="0" r="0" b="0"/>
            <wp:docPr id="1" name="Picture 1" descr="https://d3c33hcgiwev3.cloudfront.net/imageAssetProxy.v1/dykma6dwEea3qApInhZCFg_333df5f11086fee19c4fb81bc34d5125_Screenshot-2016-11-10-10.06.16.png?expiry=1521849600000&amp;hmac=4i6z00G7Cv-_nXib_V5O94ui62pKsExqg382ABUyD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dykma6dwEea3qApInhZCFg_333df5f11086fee19c4fb81bc34d5125_Screenshot-2016-11-10-10.06.16.png?expiry=1521849600000&amp;hmac=4i6z00G7Cv-_nXib_V5O94ui62pKsExqg382ABUyD9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31CF" w14:textId="77777777" w:rsidR="00667334" w:rsidRPr="00667334" w:rsidRDefault="00667334" w:rsidP="0066733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67334">
        <w:rPr>
          <w:rFonts w:ascii="Arial" w:eastAsia="Times New Roman" w:hAnsi="Arial" w:cs="Arial"/>
          <w:color w:val="333333"/>
          <w:sz w:val="21"/>
          <w:szCs w:val="21"/>
        </w:rPr>
        <w:t>There is </w:t>
      </w:r>
      <w:r w:rsidRPr="00667334">
        <w:rPr>
          <w:rFonts w:ascii="Arial" w:eastAsia="Times New Roman" w:hAnsi="Arial" w:cs="Arial"/>
          <w:b/>
          <w:bCs/>
          <w:color w:val="333333"/>
          <w:sz w:val="21"/>
          <w:szCs w:val="21"/>
        </w:rPr>
        <w:t>no need</w:t>
      </w:r>
      <w:r w:rsidRPr="00667334">
        <w:rPr>
          <w:rFonts w:ascii="Arial" w:eastAsia="Times New Roman" w:hAnsi="Arial" w:cs="Arial"/>
          <w:color w:val="333333"/>
          <w:sz w:val="21"/>
          <w:szCs w:val="21"/>
        </w:rPr>
        <w:t> to do feature scaling with the normal equation.</w:t>
      </w:r>
    </w:p>
    <w:p w14:paraId="10A5B149" w14:textId="77777777" w:rsidR="00667334" w:rsidRPr="00667334" w:rsidRDefault="00667334" w:rsidP="00667334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67334">
        <w:rPr>
          <w:rFonts w:ascii="Arial" w:eastAsia="Times New Roman" w:hAnsi="Arial" w:cs="Arial"/>
          <w:color w:val="333333"/>
          <w:sz w:val="21"/>
          <w:szCs w:val="21"/>
        </w:rPr>
        <w:t>The following is a comparison of gradient descent and the normal equation:</w:t>
      </w:r>
    </w:p>
    <w:tbl>
      <w:tblPr>
        <w:tblW w:w="112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6481"/>
      </w:tblGrid>
      <w:tr w:rsidR="00667334" w:rsidRPr="00667334" w14:paraId="42ED55FD" w14:textId="77777777" w:rsidTr="00667334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8F0441" w14:textId="77777777" w:rsidR="00667334" w:rsidRPr="00667334" w:rsidRDefault="00667334" w:rsidP="00667334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Gradient Descent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A2F712" w14:textId="77777777" w:rsidR="00667334" w:rsidRPr="00667334" w:rsidRDefault="00667334" w:rsidP="00667334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Equation</w:t>
            </w:r>
          </w:p>
        </w:tc>
      </w:tr>
      <w:tr w:rsidR="00667334" w:rsidRPr="00667334" w14:paraId="453453D1" w14:textId="77777777" w:rsidTr="0066733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08ACD8" w14:textId="77777777" w:rsidR="00667334" w:rsidRPr="00667334" w:rsidRDefault="00667334" w:rsidP="0066733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Need to choose alpha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DB9D75" w14:textId="77777777" w:rsidR="00667334" w:rsidRPr="00667334" w:rsidRDefault="00667334" w:rsidP="0066733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No need to choose alpha</w:t>
            </w:r>
          </w:p>
        </w:tc>
      </w:tr>
      <w:tr w:rsidR="00667334" w:rsidRPr="00667334" w14:paraId="31FDB4A7" w14:textId="77777777" w:rsidTr="0066733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3804941" w14:textId="77777777" w:rsidR="00667334" w:rsidRPr="00667334" w:rsidRDefault="00667334" w:rsidP="0066733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Needs many iterations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86EB4C" w14:textId="77777777" w:rsidR="00667334" w:rsidRPr="00667334" w:rsidRDefault="00667334" w:rsidP="00667334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No need to iterate</w:t>
            </w:r>
          </w:p>
        </w:tc>
      </w:tr>
      <w:tr w:rsidR="00667334" w:rsidRPr="00667334" w14:paraId="4EFA2745" w14:textId="77777777" w:rsidTr="0066733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082FD3" w14:textId="5809018B" w:rsidR="00667334" w:rsidRPr="00667334" w:rsidRDefault="00667334" w:rsidP="0066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O (</w:t>
            </w:r>
            <w:r w:rsidRPr="00667334">
              <w:rPr>
                <w:rFonts w:ascii="MathJax_Math" w:eastAsia="Times New Roman" w:hAnsi="MathJax_Math" w:cs="Times New Roman"/>
                <w:i/>
                <w:iCs/>
                <w:sz w:val="25"/>
                <w:szCs w:val="25"/>
                <w:bdr w:val="none" w:sz="0" w:space="0" w:color="auto" w:frame="1"/>
              </w:rPr>
              <w:t>kn</w:t>
            </w:r>
            <w:r>
              <w:rPr>
                <w:rFonts w:ascii="MathJax_Math" w:eastAsia="Times New Roman" w:hAnsi="MathJax_Math" w:cs="Times New Roman"/>
                <w:i/>
                <w:iCs/>
                <w:sz w:val="25"/>
                <w:szCs w:val="25"/>
                <w:bdr w:val="none" w:sz="0" w:space="0" w:color="auto" w:frame="1"/>
                <w:vertAlign w:val="superscript"/>
              </w:rPr>
              <w:t>2</w:t>
            </w: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E1FA497" w14:textId="7BB63FDD" w:rsidR="00667334" w:rsidRPr="00667334" w:rsidRDefault="00667334" w:rsidP="0066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O (</w:t>
            </w:r>
            <w:r w:rsidRPr="00667334">
              <w:rPr>
                <w:rFonts w:ascii="MathJax_Math" w:eastAsia="Times New Roman" w:hAnsi="MathJax_Math" w:cs="Times New Roman"/>
                <w:i/>
                <w:iCs/>
                <w:sz w:val="25"/>
                <w:szCs w:val="25"/>
                <w:bdr w:val="none" w:sz="0" w:space="0" w:color="auto" w:frame="1"/>
              </w:rPr>
              <w:t>n</w:t>
            </w:r>
            <w:r>
              <w:rPr>
                <w:rFonts w:ascii="MathJax_Math" w:eastAsia="Times New Roman" w:hAnsi="MathJax_Math" w:cs="Times New Roman"/>
                <w:i/>
                <w:iCs/>
                <w:sz w:val="25"/>
                <w:szCs w:val="25"/>
                <w:bdr w:val="none" w:sz="0" w:space="0" w:color="auto" w:frame="1"/>
                <w:vertAlign w:val="superscript"/>
              </w:rPr>
              <w:t>3</w:t>
            </w: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), need to calculate inverse of </w:t>
            </w:r>
            <w:r w:rsidRPr="00667334">
              <w:rPr>
                <w:rFonts w:ascii="MathJax_Math" w:eastAsia="Times New Roman" w:hAnsi="MathJax_Math" w:cs="Times New Roman"/>
                <w:i/>
                <w:iCs/>
                <w:sz w:val="25"/>
                <w:szCs w:val="25"/>
                <w:bdr w:val="none" w:sz="0" w:space="0" w:color="auto" w:frame="1"/>
              </w:rPr>
              <w:t>X</w:t>
            </w:r>
            <w:r w:rsidRPr="00667334">
              <w:rPr>
                <w:rFonts w:ascii="MathJax_Math" w:eastAsia="Times New Roman" w:hAnsi="MathJax_Math" w:cs="Times New Roman"/>
                <w:i/>
                <w:iCs/>
                <w:sz w:val="18"/>
                <w:szCs w:val="18"/>
                <w:bdr w:val="none" w:sz="0" w:space="0" w:color="auto" w:frame="1"/>
              </w:rPr>
              <w:t>T</w:t>
            </w:r>
            <w:r w:rsidRPr="00667334">
              <w:rPr>
                <w:rFonts w:ascii="MathJax_Math" w:eastAsia="Times New Roman" w:hAnsi="MathJax_Math" w:cs="Times New Roman"/>
                <w:i/>
                <w:iCs/>
                <w:sz w:val="25"/>
                <w:szCs w:val="25"/>
                <w:bdr w:val="none" w:sz="0" w:space="0" w:color="auto" w:frame="1"/>
              </w:rPr>
              <w:t>X</w:t>
            </w:r>
          </w:p>
        </w:tc>
      </w:tr>
      <w:tr w:rsidR="00667334" w:rsidRPr="00667334" w14:paraId="594DC1A0" w14:textId="77777777" w:rsidTr="0066733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C169FD" w14:textId="77777777" w:rsidR="00667334" w:rsidRPr="00667334" w:rsidRDefault="00667334" w:rsidP="0066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Works well when n is large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0C0CA4" w14:textId="77777777" w:rsidR="00667334" w:rsidRPr="00667334" w:rsidRDefault="00667334" w:rsidP="0066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7334">
              <w:rPr>
                <w:rFonts w:ascii="Times New Roman" w:eastAsia="Times New Roman" w:hAnsi="Times New Roman" w:cs="Times New Roman"/>
                <w:sz w:val="24"/>
                <w:szCs w:val="24"/>
              </w:rPr>
              <w:t>Slow if n is very large</w:t>
            </w:r>
          </w:p>
        </w:tc>
      </w:tr>
    </w:tbl>
    <w:p w14:paraId="1709ECFF" w14:textId="04E313A8" w:rsidR="00667334" w:rsidRPr="00667334" w:rsidRDefault="00667334" w:rsidP="00667334">
      <w:pPr>
        <w:shd w:val="clear" w:color="auto" w:fill="FAFAFA"/>
        <w:spacing w:after="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67334">
        <w:rPr>
          <w:rFonts w:ascii="Arial" w:eastAsia="Times New Roman" w:hAnsi="Arial" w:cs="Arial"/>
          <w:color w:val="333333"/>
          <w:sz w:val="21"/>
          <w:szCs w:val="21"/>
        </w:rPr>
        <w:lastRenderedPageBreak/>
        <w:t>With the normal equation, computing the inversion has complexity </w:t>
      </w:r>
      <w:r w:rsidRPr="00667334">
        <w:rPr>
          <w:rFonts w:ascii="MathJax_Caligraphic" w:eastAsia="Times New Roman" w:hAnsi="MathJax_Caligraphic" w:cs="Arial"/>
          <w:color w:val="333333"/>
          <w:sz w:val="26"/>
          <w:szCs w:val="26"/>
          <w:bdr w:val="none" w:sz="0" w:space="0" w:color="auto" w:frame="1"/>
        </w:rPr>
        <w:t>O</w:t>
      </w:r>
      <w:r w:rsidRPr="0066733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667334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n</w:t>
      </w:r>
      <w:r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vertAlign w:val="superscript"/>
        </w:rPr>
        <w:t>3</w:t>
      </w:r>
      <w:bookmarkStart w:id="0" w:name="_GoBack"/>
      <w:bookmarkEnd w:id="0"/>
      <w:r w:rsidRPr="00667334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667334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gramStart"/>
      <w:r w:rsidRPr="00667334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667334">
        <w:rPr>
          <w:rFonts w:ascii="Arial" w:eastAsia="Times New Roman" w:hAnsi="Arial" w:cs="Arial"/>
          <w:color w:val="333333"/>
          <w:sz w:val="21"/>
          <w:szCs w:val="21"/>
        </w:rPr>
        <w:t xml:space="preserve"> if we have a very large number of features, the normal equation will be slow. In practice, when n exceeds 10,000 it might be a good time to go from a normal solution to an iterative process.</w:t>
      </w:r>
    </w:p>
    <w:p w14:paraId="008478B1" w14:textId="77777777" w:rsidR="00347B2D" w:rsidRDefault="00667334"/>
    <w:sectPr w:rsidR="0034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34"/>
    <w:rsid w:val="00667334"/>
    <w:rsid w:val="00C0301D"/>
    <w:rsid w:val="00C44BD1"/>
    <w:rsid w:val="00C9167F"/>
    <w:rsid w:val="00D4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5B0F"/>
  <w15:chartTrackingRefBased/>
  <w15:docId w15:val="{2A603990-4B03-4A78-B846-FCCDCEAF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334"/>
    <w:rPr>
      <w:b/>
      <w:bCs/>
    </w:rPr>
  </w:style>
  <w:style w:type="character" w:customStyle="1" w:styleId="mi">
    <w:name w:val="mi"/>
    <w:basedOn w:val="DefaultParagraphFont"/>
    <w:rsid w:val="00667334"/>
  </w:style>
  <w:style w:type="character" w:customStyle="1" w:styleId="mn">
    <w:name w:val="mn"/>
    <w:basedOn w:val="DefaultParagraphFont"/>
    <w:rsid w:val="00667334"/>
  </w:style>
  <w:style w:type="character" w:customStyle="1" w:styleId="mo">
    <w:name w:val="mo"/>
    <w:basedOn w:val="DefaultParagraphFont"/>
    <w:rsid w:val="0066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Kurakula, Sambasivarao</dc:creator>
  <cp:keywords/>
  <dc:description/>
  <cp:lastModifiedBy>Kurakula, Sambasivarao</cp:lastModifiedBy>
  <cp:revision>1</cp:revision>
  <dcterms:created xsi:type="dcterms:W3CDTF">2018-03-22T06:43:00Z</dcterms:created>
  <dcterms:modified xsi:type="dcterms:W3CDTF">2018-03-22T06:48:00Z</dcterms:modified>
</cp:coreProperties>
</file>