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60" w:after="0"/>
      </w:pPr>
    </w:p>
    <w:p>
      <w:pPr>
        <w:spacing w:before="0" w:after="160"/>
        <w:jc w:val="center"/>
      </w:pPr>
      <w:r>
        <w:rPr>
          <w:rFonts w:ascii="Arial" w:cs="Arial" w:eastAsia="Arial" w:hAnsi="Arial"/>
          <w:b/>
          <w:bCs/>
          <w:caps/>
          <w:color w:val="1B3A6B"/>
          <w:sz w:val="56"/>
          <w:szCs w:val="56"/>
        </w:rPr>
        <w:t xml:space="preserve">PROJECT DEMONSTRATION</w:t>
      </w:r>
    </w:p>
    <w:p>
      <w:pPr>
        <w:spacing w:before="0" w:after="100"/>
        <w:jc w:val="center"/>
      </w:pPr>
      <w:r>
        <w:rPr>
          <w:rFonts w:ascii="Arial" w:cs="Arial" w:eastAsia="Arial" w:hAnsi="Arial"/>
          <w:b/>
          <w:bCs/>
          <w:color w:val="2E5FA3"/>
          <w:sz w:val="30"/>
          <w:szCs w:val="30"/>
        </w:rPr>
        <w:t xml:space="preserve">Smart Library Request Workflow in ServiceNow</w:t>
      </w:r>
    </w:p>
    <w:p>
      <w:pPr>
        <w:spacing w:before="0" w:after="560"/>
        <w:jc w:val="center"/>
      </w:pPr>
      <w:r>
        <w:rPr>
          <w:rFonts w:ascii="Arial" w:cs="Arial" w:eastAsia="Arial" w:hAnsi="Arial"/>
          <w:i/>
          <w:iCs/>
          <w:color w:val="595959"/>
          <w:sz w:val="22"/>
          <w:szCs w:val="22"/>
        </w:rPr>
        <w:t xml:space="preserve">—  Technical Project Report  —</w:t>
      </w:r>
    </w:p>
    <w:p>
      <w:pPr>
        <w:pBdr>
          <w:bottom w:val="single" w:color="2E75B6" w:sz="12" w:space="0"/>
        </w:pBdr>
        <w:spacing w:before="0" w:after="0"/>
      </w:pPr>
    </w:p>
    <w:p>
      <w:pPr>
        <w:pStyle w:val="Heading1"/>
        <w:shd w:fill="1B3A6B" w:val="clear"/>
        <w:spacing w:before="440" w:after="220"/>
      </w:pPr>
      <w:r>
        <w:rPr>
          <w:rFonts w:ascii="Arial" w:cs="Arial" w:eastAsia="Arial" w:hAnsi="Arial"/>
          <w:b/>
          <w:bCs/>
          <w:color w:val="FFFFFF"/>
          <w:sz w:val="32"/>
          <w:szCs w:val="32"/>
        </w:rPr>
        <w:t xml:space="preserve">  1.  Introduction</w:t>
      </w:r>
    </w:p>
    <w:p>
      <w:pPr>
        <w:pStyle w:val="BodyText"/>
      </w:pPr>
      <w:r>
        <w:rPr>
          <w:rFonts w:ascii="Arial" w:cs="Arial" w:eastAsia="Arial" w:hAnsi="Arial"/>
          <w:sz w:val="22"/>
          <w:szCs w:val="22"/>
        </w:rPr>
        <w:t xml:space="preserve">The Project Demonstration phase constitutes a critical milestone in the delivery of the Smart Library Request Workflow developed on the ServiceNow platform. Its primary purpose is to provide stakeholders, evaluators, and academic assessors with a live, observable account of the system operating as intended under realistic conditions. Rather than relying solely on written specifications or theoretical descriptions, the demonstration translates documented requirements and design decisions into visible, verifiable system behaviour.</w:t>
      </w:r>
    </w:p>
    <w:p>
      <w:pPr>
        <w:pStyle w:val="BodyText"/>
      </w:pPr>
      <w:r>
        <w:rPr>
          <w:rFonts w:ascii="Arial" w:cs="Arial" w:eastAsia="Arial" w:hAnsi="Arial"/>
          <w:sz w:val="22"/>
          <w:szCs w:val="22"/>
        </w:rPr>
        <w:t xml:space="preserve">The demonstration validates that each functional component of the system, including role-based access control, borrow request submission and approval, automated workflow execution, email notifications, and reporting, operates correctly and cohesively. It also serves to confirm that the user experience for both Student and Librarian roles aligns with the usability objectives established during the requirement analysis phase.</w:t>
      </w:r>
    </w:p>
    <w:p>
      <w:pPr>
        <w:pStyle w:val="BodyText"/>
      </w:pPr>
      <w:r>
        <w:rPr>
          <w:rFonts w:ascii="Arial" w:cs="Arial" w:eastAsia="Arial" w:hAnsi="Arial"/>
          <w:sz w:val="22"/>
          <w:szCs w:val="22"/>
        </w:rPr>
        <w:t xml:space="preserve">This section of the project report provides a structured and complete account of the demonstration process, covering the environment in which it was conducted, the scenario selected to represent typical system usage, a step-by-step narrative of the demonstration sequence, the features exhibited, the outcomes observed, and recommendations for future demonstration enhancements.</w:t>
      </w:r>
    </w:p>
    <w:p>
      <w:pPr>
        <w:pStyle w:val="Heading1"/>
        <w:shd w:fill="1B3A6B" w:val="clear"/>
        <w:spacing w:before="440" w:after="220"/>
      </w:pPr>
      <w:r>
        <w:rPr>
          <w:rFonts w:ascii="Arial" w:cs="Arial" w:eastAsia="Arial" w:hAnsi="Arial"/>
          <w:b/>
          <w:bCs/>
          <w:color w:val="FFFFFF"/>
          <w:sz w:val="32"/>
          <w:szCs w:val="32"/>
        </w:rPr>
        <w:t xml:space="preserve">  2.  Demonstration Environment</w:t>
      </w:r>
    </w:p>
    <w:p>
      <w:pPr>
        <w:pStyle w:val="BodyText"/>
      </w:pPr>
      <w:r>
        <w:rPr>
          <w:rFonts w:ascii="Arial" w:cs="Arial" w:eastAsia="Arial" w:hAnsi="Arial"/>
          <w:sz w:val="22"/>
          <w:szCs w:val="22"/>
        </w:rPr>
        <w:t xml:space="preserve">A carefully prepared and controlled environment was established to ensure that the demonstration accurately reflected the intended production configuration of the system. The following subsections describe each element of that environment.</w:t>
      </w:r>
    </w:p>
    <w:p>
      <w:pPr>
        <w:pStyle w:val="Heading2"/>
        <w:pBdr>
          <w:bottom w:val="single" w:color="2E75B6" w:sz="6" w:space="4"/>
        </w:pBdr>
        <w:spacing w:before="320" w:after="140"/>
      </w:pPr>
      <w:r>
        <w:rPr>
          <w:rFonts w:ascii="Arial" w:cs="Arial" w:eastAsia="Arial" w:hAnsi="Arial"/>
          <w:b/>
          <w:bCs/>
          <w:color w:val="1B3A6B"/>
          <w:sz w:val="26"/>
          <w:szCs w:val="26"/>
        </w:rPr>
        <w:t xml:space="preserve">2.1  ServiceNow Personal Developer Instance</w:t>
      </w:r>
    </w:p>
    <w:p>
      <w:pPr>
        <w:pStyle w:val="BodyText"/>
      </w:pPr>
      <w:r>
        <w:rPr>
          <w:rFonts w:ascii="Arial" w:cs="Arial" w:eastAsia="Arial" w:hAnsi="Arial"/>
          <w:sz w:val="22"/>
          <w:szCs w:val="22"/>
        </w:rPr>
        <w:t xml:space="preserve">The demonstration was conducted on a ServiceNow Personal Developer Instance (PDI), which is an isolated, fully functional ServiceNow environment allocated to individual developers for the purposes of development, configuration, and testing. The PDI replicates the capabilities of a production ServiceNow environment without impacting live organisational systems, making it an appropriate and reliable platform for academic project demonstration.</w:t>
      </w:r>
    </w:p>
    <w:p>
      <w:pPr>
        <w:pStyle w:val="BodyText"/>
      </w:pPr>
      <w:r>
        <w:rPr>
          <w:rFonts w:ascii="Arial" w:cs="Arial" w:eastAsia="Arial" w:hAnsi="Arial"/>
          <w:sz w:val="22"/>
          <w:szCs w:val="22"/>
        </w:rPr>
        <w:t xml:space="preserve">All configurations applied within the PDI, including custom tables, roles, workflows, UI policies, access control rules, and notification templates, were implemented directly by the project developer and represent the complete system as designed and documented throughout the project lifecycle.</w:t>
      </w:r>
    </w:p>
    <w:p>
      <w:pPr>
        <w:pStyle w:val="Heading2"/>
        <w:pBdr>
          <w:bottom w:val="single" w:color="2E75B6" w:sz="6" w:space="4"/>
        </w:pBdr>
        <w:spacing w:before="320" w:after="140"/>
      </w:pPr>
      <w:r>
        <w:rPr>
          <w:rFonts w:ascii="Arial" w:cs="Arial" w:eastAsia="Arial" w:hAnsi="Arial"/>
          <w:b/>
          <w:bCs/>
          <w:color w:val="1B3A6B"/>
          <w:sz w:val="26"/>
          <w:szCs w:val="26"/>
        </w:rPr>
        <w:t xml:space="preserve">2.2  Roles Used During Demonstration</w:t>
      </w:r>
    </w:p>
    <w:p>
      <w:pPr>
        <w:pStyle w:val="BodyText"/>
      </w:pPr>
      <w:r>
        <w:rPr>
          <w:rFonts w:ascii="Arial" w:cs="Arial" w:eastAsia="Arial" w:hAnsi="Arial"/>
          <w:sz w:val="22"/>
          <w:szCs w:val="22"/>
        </w:rPr>
        <w:t xml:space="preserve">Two distinct user roles were active during the demonstration, reflecting the two primary user categories for whom the system was designed. The Student role was assigned to a test user account representing a registered library user seeking to borrow a book. The Librarian role was assigned to a separate test account representing a library staff member responsible for reviewing and processing borrow requests. Each role was demonstrated independently, with the session alternating between accounts to illustrate the perspective and available actions of each user type.</w:t>
      </w:r>
    </w:p>
    <w:p>
      <w:pPr>
        <w:pStyle w:val="Heading2"/>
        <w:pBdr>
          <w:bottom w:val="single" w:color="2E75B6" w:sz="6" w:space="4"/>
        </w:pBdr>
        <w:spacing w:before="320" w:after="140"/>
      </w:pPr>
      <w:r>
        <w:rPr>
          <w:rFonts w:ascii="Arial" w:cs="Arial" w:eastAsia="Arial" w:hAnsi="Arial"/>
          <w:b/>
          <w:bCs/>
          <w:color w:val="1B3A6B"/>
          <w:sz w:val="26"/>
          <w:szCs w:val="26"/>
        </w:rPr>
        <w:t xml:space="preserve">2.3  Sample Book Records</w:t>
      </w:r>
    </w:p>
    <w:p>
      <w:pPr>
        <w:pStyle w:val="BodyText"/>
      </w:pPr>
      <w:r>
        <w:rPr>
          <w:rFonts w:ascii="Arial" w:cs="Arial" w:eastAsia="Arial" w:hAnsi="Arial"/>
          <w:sz w:val="22"/>
          <w:szCs w:val="22"/>
        </w:rPr>
        <w:t xml:space="preserve">A set of sample book records was pre-loaded into the Book catalogue table prior to the demonstration to provide realistic and representative data. The records used during the demonstration are presented in the table below.</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600"/>
        <w:gridCol w:w="1900"/>
        <w:gridCol w:w="1560"/>
      </w:tblGrid>
      <w:tr>
        <w:trPr>
          <w:tblHeader/>
        </w:trPr>
        <w:tc>
          <w:tcPr>
            <w:tcW w:type="dxa" w:w="2600"/>
            <w:tcBorders>
              <w:top w:val="single" w:color="BBCDE5" w:sz="1"/>
              <w:left w:val="single" w:color="BBCDE5" w:sz="1"/>
              <w:bottom w:val="single" w:color="BBCDE5" w:sz="1"/>
              <w:right w:val="single" w:color="BBCDE5"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Title</w:t>
            </w:r>
          </w:p>
        </w:tc>
        <w:tc>
          <w:tcPr>
            <w:tcW w:type="dxa" w:w="1700"/>
            <w:tcBorders>
              <w:top w:val="single" w:color="BBCDE5" w:sz="1"/>
              <w:left w:val="single" w:color="BBCDE5" w:sz="1"/>
              <w:bottom w:val="single" w:color="BBCDE5" w:sz="1"/>
              <w:right w:val="single" w:color="BBCDE5"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Author</w:t>
            </w:r>
          </w:p>
        </w:tc>
        <w:tc>
          <w:tcPr>
            <w:tcW w:type="dxa" w:w="1600"/>
            <w:tcBorders>
              <w:top w:val="single" w:color="BBCDE5" w:sz="1"/>
              <w:left w:val="single" w:color="BBCDE5" w:sz="1"/>
              <w:bottom w:val="single" w:color="BBCDE5" w:sz="1"/>
              <w:right w:val="single" w:color="BBCDE5"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ISBN</w:t>
            </w:r>
          </w:p>
        </w:tc>
        <w:tc>
          <w:tcPr>
            <w:tcW w:type="dxa" w:w="1900"/>
            <w:tcBorders>
              <w:top w:val="single" w:color="BBCDE5" w:sz="1"/>
              <w:left w:val="single" w:color="BBCDE5" w:sz="1"/>
              <w:bottom w:val="single" w:color="BBCDE5" w:sz="1"/>
              <w:right w:val="single" w:color="BBCDE5"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Category</w:t>
            </w:r>
          </w:p>
        </w:tc>
        <w:tc>
          <w:tcPr>
            <w:tcW w:type="dxa" w:w="1560"/>
            <w:tcBorders>
              <w:top w:val="single" w:color="BBCDE5" w:sz="1"/>
              <w:left w:val="single" w:color="BBCDE5" w:sz="1"/>
              <w:bottom w:val="single" w:color="BBCDE5" w:sz="1"/>
              <w:right w:val="single" w:color="BBCDE5"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Status</w:t>
            </w:r>
          </w:p>
        </w:tc>
      </w:tr>
      <w:tr>
        <w:tc>
          <w:tcPr>
            <w:tcW w:type="dxa" w:w="2600"/>
            <w:tcBorders>
              <w:top w:val="single" w:color="BBCDE5" w:sz="1"/>
              <w:left w:val="single" w:color="BBCDE5" w:sz="1"/>
              <w:bottom w:val="single" w:color="BBCDE5" w:sz="1"/>
              <w:right w:val="single" w:color="BBCDE5" w:sz="1"/>
            </w:tcBorders>
            <w:shd w:fill="F4F6FA" w:val="clear"/>
            <w:tcMar>
              <w:top w:type="dxa" w:w="80"/>
              <w:left w:type="dxa" w:w="140"/>
              <w:bottom w:type="dxa" w:w="80"/>
              <w:right w:type="dxa" w:w="140"/>
            </w:tcMar>
            <w:vAlign w:val="center"/>
          </w:tcPr>
          <w:p>
            <w:pPr>
              <w:jc w:val="left"/>
            </w:pPr>
            <w:r>
              <w:rPr>
                <w:rFonts w:ascii="Arial" w:cs="Arial" w:eastAsia="Arial" w:hAnsi="Arial"/>
                <w:color w:val="2E2E2E"/>
                <w:sz w:val="20"/>
                <w:szCs w:val="20"/>
              </w:rPr>
              <w:t xml:space="preserve">Introduction to Algorithms</w:t>
            </w:r>
          </w:p>
        </w:tc>
        <w:tc>
          <w:tcPr>
            <w:tcW w:type="dxa" w:w="1700"/>
            <w:tcBorders>
              <w:top w:val="single" w:color="BBCDE5" w:sz="1"/>
              <w:left w:val="single" w:color="BBCDE5" w:sz="1"/>
              <w:bottom w:val="single" w:color="BBCDE5" w:sz="1"/>
              <w:right w:val="single" w:color="BBCDE5" w:sz="1"/>
            </w:tcBorders>
            <w:shd w:fill="F4F6FA" w:val="clear"/>
            <w:tcMar>
              <w:top w:type="dxa" w:w="80"/>
              <w:left w:type="dxa" w:w="140"/>
              <w:bottom w:type="dxa" w:w="80"/>
              <w:right w:type="dxa" w:w="140"/>
            </w:tcMar>
            <w:vAlign w:val="center"/>
          </w:tcPr>
          <w:p>
            <w:pPr>
              <w:jc w:val="left"/>
            </w:pPr>
            <w:r>
              <w:rPr>
                <w:rFonts w:ascii="Arial" w:cs="Arial" w:eastAsia="Arial" w:hAnsi="Arial"/>
                <w:color w:val="2E2E2E"/>
                <w:sz w:val="20"/>
                <w:szCs w:val="20"/>
              </w:rPr>
              <w:t xml:space="preserve">Cormen et al.</w:t>
            </w:r>
          </w:p>
        </w:tc>
        <w:tc>
          <w:tcPr>
            <w:tcW w:type="dxa" w:w="1600"/>
            <w:tcBorders>
              <w:top w:val="single" w:color="BBCDE5" w:sz="1"/>
              <w:left w:val="single" w:color="BBCDE5" w:sz="1"/>
              <w:bottom w:val="single" w:color="BBCDE5" w:sz="1"/>
              <w:right w:val="single" w:color="BBCDE5" w:sz="1"/>
            </w:tcBorders>
            <w:shd w:fill="F4F6FA" w:val="clear"/>
            <w:tcMar>
              <w:top w:type="dxa" w:w="80"/>
              <w:left w:type="dxa" w:w="140"/>
              <w:bottom w:type="dxa" w:w="80"/>
              <w:right w:type="dxa" w:w="140"/>
            </w:tcMar>
            <w:vAlign w:val="center"/>
          </w:tcPr>
          <w:p>
            <w:pPr>
              <w:jc w:val="left"/>
            </w:pPr>
            <w:r>
              <w:rPr>
                <w:rFonts w:ascii="Arial" w:cs="Arial" w:eastAsia="Arial" w:hAnsi="Arial"/>
                <w:color w:val="2E2E2E"/>
                <w:sz w:val="20"/>
                <w:szCs w:val="20"/>
              </w:rPr>
              <w:t xml:space="preserve">978-0262033848</w:t>
            </w:r>
          </w:p>
        </w:tc>
        <w:tc>
          <w:tcPr>
            <w:tcW w:type="dxa" w:w="1900"/>
            <w:tcBorders>
              <w:top w:val="single" w:color="BBCDE5" w:sz="1"/>
              <w:left w:val="single" w:color="BBCDE5" w:sz="1"/>
              <w:bottom w:val="single" w:color="BBCDE5" w:sz="1"/>
              <w:right w:val="single" w:color="BBCDE5" w:sz="1"/>
            </w:tcBorders>
            <w:shd w:fill="F4F6FA" w:val="clear"/>
            <w:tcMar>
              <w:top w:type="dxa" w:w="80"/>
              <w:left w:type="dxa" w:w="140"/>
              <w:bottom w:type="dxa" w:w="80"/>
              <w:right w:type="dxa" w:w="140"/>
            </w:tcMar>
            <w:vAlign w:val="center"/>
          </w:tcPr>
          <w:p>
            <w:pPr>
              <w:jc w:val="left"/>
            </w:pPr>
            <w:r>
              <w:rPr>
                <w:rFonts w:ascii="Arial" w:cs="Arial" w:eastAsia="Arial" w:hAnsi="Arial"/>
                <w:color w:val="2E2E2E"/>
                <w:sz w:val="20"/>
                <w:szCs w:val="20"/>
              </w:rPr>
              <w:t xml:space="preserve">Computer Science</w:t>
            </w:r>
          </w:p>
        </w:tc>
        <w:tc>
          <w:tcPr>
            <w:tcW w:type="dxa" w:w="1560"/>
            <w:tcBorders>
              <w:top w:val="single" w:color="BBCDE5" w:sz="1"/>
              <w:left w:val="single" w:color="BBCDE5" w:sz="1"/>
              <w:bottom w:val="single" w:color="BBCDE5" w:sz="1"/>
              <w:right w:val="single" w:color="BBCDE5" w:sz="1"/>
            </w:tcBorders>
            <w:shd w:fill="F4F6FA" w:val="clear"/>
            <w:tcMar>
              <w:top w:type="dxa" w:w="80"/>
              <w:left w:type="dxa" w:w="140"/>
              <w:bottom w:type="dxa" w:w="80"/>
              <w:right w:type="dxa" w:w="140"/>
            </w:tcMar>
            <w:vAlign w:val="center"/>
          </w:tcPr>
          <w:p>
            <w:pPr>
              <w:jc w:val="left"/>
            </w:pPr>
            <w:r>
              <w:rPr>
                <w:rFonts w:ascii="Arial" w:cs="Arial" w:eastAsia="Arial" w:hAnsi="Arial"/>
                <w:color w:val="2E2E2E"/>
                <w:sz w:val="20"/>
                <w:szCs w:val="20"/>
              </w:rPr>
              <w:t xml:space="preserve">Available</w:t>
            </w:r>
          </w:p>
        </w:tc>
      </w:tr>
      <w:tr>
        <w:tc>
          <w:tcPr>
            <w:tcW w:type="dxa" w:w="26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vAlign w:val="center"/>
          </w:tcPr>
          <w:p>
            <w:pPr>
              <w:jc w:val="left"/>
            </w:pPr>
            <w:r>
              <w:rPr>
                <w:rFonts w:ascii="Arial" w:cs="Arial" w:eastAsia="Arial" w:hAnsi="Arial"/>
                <w:color w:val="2E2E2E"/>
                <w:sz w:val="20"/>
                <w:szCs w:val="20"/>
              </w:rPr>
              <w:t xml:space="preserve">Clean Code</w:t>
            </w:r>
          </w:p>
        </w:tc>
        <w:tc>
          <w:tcPr>
            <w:tcW w:type="dxa" w:w="17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vAlign w:val="center"/>
          </w:tcPr>
          <w:p>
            <w:pPr>
              <w:jc w:val="left"/>
            </w:pPr>
            <w:r>
              <w:rPr>
                <w:rFonts w:ascii="Arial" w:cs="Arial" w:eastAsia="Arial" w:hAnsi="Arial"/>
                <w:color w:val="2E2E2E"/>
                <w:sz w:val="20"/>
                <w:szCs w:val="20"/>
              </w:rPr>
              <w:t xml:space="preserve">Robert C. Martin</w:t>
            </w:r>
          </w:p>
        </w:tc>
        <w:tc>
          <w:tcPr>
            <w:tcW w:type="dxa" w:w="16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vAlign w:val="center"/>
          </w:tcPr>
          <w:p>
            <w:pPr>
              <w:jc w:val="left"/>
            </w:pPr>
            <w:r>
              <w:rPr>
                <w:rFonts w:ascii="Arial" w:cs="Arial" w:eastAsia="Arial" w:hAnsi="Arial"/>
                <w:color w:val="2E2E2E"/>
                <w:sz w:val="20"/>
                <w:szCs w:val="20"/>
              </w:rPr>
              <w:t xml:space="preserve">978-0132350884</w:t>
            </w:r>
          </w:p>
        </w:tc>
        <w:tc>
          <w:tcPr>
            <w:tcW w:type="dxa" w:w="19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vAlign w:val="center"/>
          </w:tcPr>
          <w:p>
            <w:pPr>
              <w:jc w:val="left"/>
            </w:pPr>
            <w:r>
              <w:rPr>
                <w:rFonts w:ascii="Arial" w:cs="Arial" w:eastAsia="Arial" w:hAnsi="Arial"/>
                <w:color w:val="2E2E2E"/>
                <w:sz w:val="20"/>
                <w:szCs w:val="20"/>
              </w:rPr>
              <w:t xml:space="preserve">Software Engineering</w:t>
            </w:r>
          </w:p>
        </w:tc>
        <w:tc>
          <w:tcPr>
            <w:tcW w:type="dxa" w:w="15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vAlign w:val="center"/>
          </w:tcPr>
          <w:p>
            <w:pPr>
              <w:jc w:val="left"/>
            </w:pPr>
            <w:r>
              <w:rPr>
                <w:rFonts w:ascii="Arial" w:cs="Arial" w:eastAsia="Arial" w:hAnsi="Arial"/>
                <w:color w:val="2E2E2E"/>
                <w:sz w:val="20"/>
                <w:szCs w:val="20"/>
              </w:rPr>
              <w:t xml:space="preserve">Available</w:t>
            </w:r>
          </w:p>
        </w:tc>
      </w:tr>
      <w:tr>
        <w:tc>
          <w:tcPr>
            <w:tcW w:type="dxa" w:w="2600"/>
            <w:tcBorders>
              <w:top w:val="single" w:color="BBCDE5" w:sz="1"/>
              <w:left w:val="single" w:color="BBCDE5" w:sz="1"/>
              <w:bottom w:val="single" w:color="BBCDE5" w:sz="1"/>
              <w:right w:val="single" w:color="BBCDE5" w:sz="1"/>
            </w:tcBorders>
            <w:shd w:fill="F4F6FA" w:val="clear"/>
            <w:tcMar>
              <w:top w:type="dxa" w:w="80"/>
              <w:left w:type="dxa" w:w="140"/>
              <w:bottom w:type="dxa" w:w="80"/>
              <w:right w:type="dxa" w:w="140"/>
            </w:tcMar>
            <w:vAlign w:val="center"/>
          </w:tcPr>
          <w:p>
            <w:pPr>
              <w:jc w:val="left"/>
            </w:pPr>
            <w:r>
              <w:rPr>
                <w:rFonts w:ascii="Arial" w:cs="Arial" w:eastAsia="Arial" w:hAnsi="Arial"/>
                <w:color w:val="2E2E2E"/>
                <w:sz w:val="20"/>
                <w:szCs w:val="20"/>
              </w:rPr>
              <w:t xml:space="preserve">The Pragmatic Programmer</w:t>
            </w:r>
          </w:p>
        </w:tc>
        <w:tc>
          <w:tcPr>
            <w:tcW w:type="dxa" w:w="1700"/>
            <w:tcBorders>
              <w:top w:val="single" w:color="BBCDE5" w:sz="1"/>
              <w:left w:val="single" w:color="BBCDE5" w:sz="1"/>
              <w:bottom w:val="single" w:color="BBCDE5" w:sz="1"/>
              <w:right w:val="single" w:color="BBCDE5" w:sz="1"/>
            </w:tcBorders>
            <w:shd w:fill="F4F6FA" w:val="clear"/>
            <w:tcMar>
              <w:top w:type="dxa" w:w="80"/>
              <w:left w:type="dxa" w:w="140"/>
              <w:bottom w:type="dxa" w:w="80"/>
              <w:right w:type="dxa" w:w="140"/>
            </w:tcMar>
            <w:vAlign w:val="center"/>
          </w:tcPr>
          <w:p>
            <w:pPr>
              <w:jc w:val="left"/>
            </w:pPr>
            <w:r>
              <w:rPr>
                <w:rFonts w:ascii="Arial" w:cs="Arial" w:eastAsia="Arial" w:hAnsi="Arial"/>
                <w:color w:val="2E2E2E"/>
                <w:sz w:val="20"/>
                <w:szCs w:val="20"/>
              </w:rPr>
              <w:t xml:space="preserve">Hunt &amp; Thomas</w:t>
            </w:r>
          </w:p>
        </w:tc>
        <w:tc>
          <w:tcPr>
            <w:tcW w:type="dxa" w:w="1600"/>
            <w:tcBorders>
              <w:top w:val="single" w:color="BBCDE5" w:sz="1"/>
              <w:left w:val="single" w:color="BBCDE5" w:sz="1"/>
              <w:bottom w:val="single" w:color="BBCDE5" w:sz="1"/>
              <w:right w:val="single" w:color="BBCDE5" w:sz="1"/>
            </w:tcBorders>
            <w:shd w:fill="F4F6FA" w:val="clear"/>
            <w:tcMar>
              <w:top w:type="dxa" w:w="80"/>
              <w:left w:type="dxa" w:w="140"/>
              <w:bottom w:type="dxa" w:w="80"/>
              <w:right w:type="dxa" w:w="140"/>
            </w:tcMar>
            <w:vAlign w:val="center"/>
          </w:tcPr>
          <w:p>
            <w:pPr>
              <w:jc w:val="left"/>
            </w:pPr>
            <w:r>
              <w:rPr>
                <w:rFonts w:ascii="Arial" w:cs="Arial" w:eastAsia="Arial" w:hAnsi="Arial"/>
                <w:color w:val="2E2E2E"/>
                <w:sz w:val="20"/>
                <w:szCs w:val="20"/>
              </w:rPr>
              <w:t xml:space="preserve">978-0135957059</w:t>
            </w:r>
          </w:p>
        </w:tc>
        <w:tc>
          <w:tcPr>
            <w:tcW w:type="dxa" w:w="1900"/>
            <w:tcBorders>
              <w:top w:val="single" w:color="BBCDE5" w:sz="1"/>
              <w:left w:val="single" w:color="BBCDE5" w:sz="1"/>
              <w:bottom w:val="single" w:color="BBCDE5" w:sz="1"/>
              <w:right w:val="single" w:color="BBCDE5" w:sz="1"/>
            </w:tcBorders>
            <w:shd w:fill="F4F6FA" w:val="clear"/>
            <w:tcMar>
              <w:top w:type="dxa" w:w="80"/>
              <w:left w:type="dxa" w:w="140"/>
              <w:bottom w:type="dxa" w:w="80"/>
              <w:right w:type="dxa" w:w="140"/>
            </w:tcMar>
            <w:vAlign w:val="center"/>
          </w:tcPr>
          <w:p>
            <w:pPr>
              <w:jc w:val="left"/>
            </w:pPr>
            <w:r>
              <w:rPr>
                <w:rFonts w:ascii="Arial" w:cs="Arial" w:eastAsia="Arial" w:hAnsi="Arial"/>
                <w:color w:val="2E2E2E"/>
                <w:sz w:val="20"/>
                <w:szCs w:val="20"/>
              </w:rPr>
              <w:t xml:space="preserve">Software Engineering</w:t>
            </w:r>
          </w:p>
        </w:tc>
        <w:tc>
          <w:tcPr>
            <w:tcW w:type="dxa" w:w="1560"/>
            <w:tcBorders>
              <w:top w:val="single" w:color="BBCDE5" w:sz="1"/>
              <w:left w:val="single" w:color="BBCDE5" w:sz="1"/>
              <w:bottom w:val="single" w:color="BBCDE5" w:sz="1"/>
              <w:right w:val="single" w:color="BBCDE5" w:sz="1"/>
            </w:tcBorders>
            <w:shd w:fill="F4F6FA" w:val="clear"/>
            <w:tcMar>
              <w:top w:type="dxa" w:w="80"/>
              <w:left w:type="dxa" w:w="140"/>
              <w:bottom w:type="dxa" w:w="80"/>
              <w:right w:type="dxa" w:w="140"/>
            </w:tcMar>
            <w:vAlign w:val="center"/>
          </w:tcPr>
          <w:p>
            <w:pPr>
              <w:jc w:val="left"/>
            </w:pPr>
            <w:r>
              <w:rPr>
                <w:rFonts w:ascii="Arial" w:cs="Arial" w:eastAsia="Arial" w:hAnsi="Arial"/>
                <w:color w:val="2E2E2E"/>
                <w:sz w:val="20"/>
                <w:szCs w:val="20"/>
              </w:rPr>
              <w:t xml:space="preserve">Borrowed</w:t>
            </w:r>
          </w:p>
        </w:tc>
      </w:tr>
      <w:tr>
        <w:tc>
          <w:tcPr>
            <w:tcW w:type="dxa" w:w="26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vAlign w:val="center"/>
          </w:tcPr>
          <w:p>
            <w:pPr>
              <w:jc w:val="left"/>
            </w:pPr>
            <w:r>
              <w:rPr>
                <w:rFonts w:ascii="Arial" w:cs="Arial" w:eastAsia="Arial" w:hAnsi="Arial"/>
                <w:color w:val="2E2E2E"/>
                <w:sz w:val="20"/>
                <w:szCs w:val="20"/>
              </w:rPr>
              <w:t xml:space="preserve">Database System Concepts</w:t>
            </w:r>
          </w:p>
        </w:tc>
        <w:tc>
          <w:tcPr>
            <w:tcW w:type="dxa" w:w="17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vAlign w:val="center"/>
          </w:tcPr>
          <w:p>
            <w:pPr>
              <w:jc w:val="left"/>
            </w:pPr>
            <w:r>
              <w:rPr>
                <w:rFonts w:ascii="Arial" w:cs="Arial" w:eastAsia="Arial" w:hAnsi="Arial"/>
                <w:color w:val="2E2E2E"/>
                <w:sz w:val="20"/>
                <w:szCs w:val="20"/>
              </w:rPr>
              <w:t xml:space="preserve">Silberschatz et al.</w:t>
            </w:r>
          </w:p>
        </w:tc>
        <w:tc>
          <w:tcPr>
            <w:tcW w:type="dxa" w:w="16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vAlign w:val="center"/>
          </w:tcPr>
          <w:p>
            <w:pPr>
              <w:jc w:val="left"/>
            </w:pPr>
            <w:r>
              <w:rPr>
                <w:rFonts w:ascii="Arial" w:cs="Arial" w:eastAsia="Arial" w:hAnsi="Arial"/>
                <w:color w:val="2E2E2E"/>
                <w:sz w:val="20"/>
                <w:szCs w:val="20"/>
              </w:rPr>
              <w:t xml:space="preserve">978-0078022159</w:t>
            </w:r>
          </w:p>
        </w:tc>
        <w:tc>
          <w:tcPr>
            <w:tcW w:type="dxa" w:w="190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vAlign w:val="center"/>
          </w:tcPr>
          <w:p>
            <w:pPr>
              <w:jc w:val="left"/>
            </w:pPr>
            <w:r>
              <w:rPr>
                <w:rFonts w:ascii="Arial" w:cs="Arial" w:eastAsia="Arial" w:hAnsi="Arial"/>
                <w:color w:val="2E2E2E"/>
                <w:sz w:val="20"/>
                <w:szCs w:val="20"/>
              </w:rPr>
              <w:t xml:space="preserve">Information Systems</w:t>
            </w:r>
          </w:p>
        </w:tc>
        <w:tc>
          <w:tcPr>
            <w:tcW w:type="dxa" w:w="1560"/>
            <w:tcBorders>
              <w:top w:val="single" w:color="BBCDE5" w:sz="1"/>
              <w:left w:val="single" w:color="BBCDE5" w:sz="1"/>
              <w:bottom w:val="single" w:color="BBCDE5" w:sz="1"/>
              <w:right w:val="single" w:color="BBCDE5" w:sz="1"/>
            </w:tcBorders>
            <w:shd w:fill="FFFFFF" w:val="clear"/>
            <w:tcMar>
              <w:top w:type="dxa" w:w="80"/>
              <w:left w:type="dxa" w:w="140"/>
              <w:bottom w:type="dxa" w:w="80"/>
              <w:right w:type="dxa" w:w="140"/>
            </w:tcMar>
            <w:vAlign w:val="center"/>
          </w:tcPr>
          <w:p>
            <w:pPr>
              <w:jc w:val="left"/>
            </w:pPr>
            <w:r>
              <w:rPr>
                <w:rFonts w:ascii="Arial" w:cs="Arial" w:eastAsia="Arial" w:hAnsi="Arial"/>
                <w:color w:val="2E2E2E"/>
                <w:sz w:val="20"/>
                <w:szCs w:val="20"/>
              </w:rPr>
              <w:t xml:space="preserve">Available</w:t>
            </w:r>
          </w:p>
        </w:tc>
      </w:tr>
      <w:tr>
        <w:tc>
          <w:tcPr>
            <w:tcW w:type="dxa" w:w="2600"/>
            <w:tcBorders>
              <w:top w:val="single" w:color="BBCDE5" w:sz="1"/>
              <w:left w:val="single" w:color="BBCDE5" w:sz="1"/>
              <w:bottom w:val="single" w:color="BBCDE5" w:sz="1"/>
              <w:right w:val="single" w:color="BBCDE5" w:sz="1"/>
            </w:tcBorders>
            <w:shd w:fill="F4F6FA" w:val="clear"/>
            <w:tcMar>
              <w:top w:type="dxa" w:w="80"/>
              <w:left w:type="dxa" w:w="140"/>
              <w:bottom w:type="dxa" w:w="80"/>
              <w:right w:type="dxa" w:w="140"/>
            </w:tcMar>
            <w:vAlign w:val="center"/>
          </w:tcPr>
          <w:p>
            <w:pPr>
              <w:jc w:val="left"/>
            </w:pPr>
            <w:r>
              <w:rPr>
                <w:rFonts w:ascii="Arial" w:cs="Arial" w:eastAsia="Arial" w:hAnsi="Arial"/>
                <w:color w:val="2E2E2E"/>
                <w:sz w:val="20"/>
                <w:szCs w:val="20"/>
              </w:rPr>
              <w:t xml:space="preserve">Artificial Intelligence: A Modern Approach</w:t>
            </w:r>
          </w:p>
        </w:tc>
        <w:tc>
          <w:tcPr>
            <w:tcW w:type="dxa" w:w="1700"/>
            <w:tcBorders>
              <w:top w:val="single" w:color="BBCDE5" w:sz="1"/>
              <w:left w:val="single" w:color="BBCDE5" w:sz="1"/>
              <w:bottom w:val="single" w:color="BBCDE5" w:sz="1"/>
              <w:right w:val="single" w:color="BBCDE5" w:sz="1"/>
            </w:tcBorders>
            <w:shd w:fill="F4F6FA" w:val="clear"/>
            <w:tcMar>
              <w:top w:type="dxa" w:w="80"/>
              <w:left w:type="dxa" w:w="140"/>
              <w:bottom w:type="dxa" w:w="80"/>
              <w:right w:type="dxa" w:w="140"/>
            </w:tcMar>
            <w:vAlign w:val="center"/>
          </w:tcPr>
          <w:p>
            <w:pPr>
              <w:jc w:val="left"/>
            </w:pPr>
            <w:r>
              <w:rPr>
                <w:rFonts w:ascii="Arial" w:cs="Arial" w:eastAsia="Arial" w:hAnsi="Arial"/>
                <w:color w:val="2E2E2E"/>
                <w:sz w:val="20"/>
                <w:szCs w:val="20"/>
              </w:rPr>
              <w:t xml:space="preserve">Russell &amp; Norvig</w:t>
            </w:r>
          </w:p>
        </w:tc>
        <w:tc>
          <w:tcPr>
            <w:tcW w:type="dxa" w:w="1600"/>
            <w:tcBorders>
              <w:top w:val="single" w:color="BBCDE5" w:sz="1"/>
              <w:left w:val="single" w:color="BBCDE5" w:sz="1"/>
              <w:bottom w:val="single" w:color="BBCDE5" w:sz="1"/>
              <w:right w:val="single" w:color="BBCDE5" w:sz="1"/>
            </w:tcBorders>
            <w:shd w:fill="F4F6FA" w:val="clear"/>
            <w:tcMar>
              <w:top w:type="dxa" w:w="80"/>
              <w:left w:type="dxa" w:w="140"/>
              <w:bottom w:type="dxa" w:w="80"/>
              <w:right w:type="dxa" w:w="140"/>
            </w:tcMar>
            <w:vAlign w:val="center"/>
          </w:tcPr>
          <w:p>
            <w:pPr>
              <w:jc w:val="left"/>
            </w:pPr>
            <w:r>
              <w:rPr>
                <w:rFonts w:ascii="Arial" w:cs="Arial" w:eastAsia="Arial" w:hAnsi="Arial"/>
                <w:color w:val="2E2E2E"/>
                <w:sz w:val="20"/>
                <w:szCs w:val="20"/>
              </w:rPr>
              <w:t xml:space="preserve">978-0134610993</w:t>
            </w:r>
          </w:p>
        </w:tc>
        <w:tc>
          <w:tcPr>
            <w:tcW w:type="dxa" w:w="1900"/>
            <w:tcBorders>
              <w:top w:val="single" w:color="BBCDE5" w:sz="1"/>
              <w:left w:val="single" w:color="BBCDE5" w:sz="1"/>
              <w:bottom w:val="single" w:color="BBCDE5" w:sz="1"/>
              <w:right w:val="single" w:color="BBCDE5" w:sz="1"/>
            </w:tcBorders>
            <w:shd w:fill="F4F6FA" w:val="clear"/>
            <w:tcMar>
              <w:top w:type="dxa" w:w="80"/>
              <w:left w:type="dxa" w:w="140"/>
              <w:bottom w:type="dxa" w:w="80"/>
              <w:right w:type="dxa" w:w="140"/>
            </w:tcMar>
            <w:vAlign w:val="center"/>
          </w:tcPr>
          <w:p>
            <w:pPr>
              <w:jc w:val="left"/>
            </w:pPr>
            <w:r>
              <w:rPr>
                <w:rFonts w:ascii="Arial" w:cs="Arial" w:eastAsia="Arial" w:hAnsi="Arial"/>
                <w:color w:val="2E2E2E"/>
                <w:sz w:val="20"/>
                <w:szCs w:val="20"/>
              </w:rPr>
              <w:t xml:space="preserve">AI &amp; ML</w:t>
            </w:r>
          </w:p>
        </w:tc>
        <w:tc>
          <w:tcPr>
            <w:tcW w:type="dxa" w:w="1560"/>
            <w:tcBorders>
              <w:top w:val="single" w:color="BBCDE5" w:sz="1"/>
              <w:left w:val="single" w:color="BBCDE5" w:sz="1"/>
              <w:bottom w:val="single" w:color="BBCDE5" w:sz="1"/>
              <w:right w:val="single" w:color="BBCDE5" w:sz="1"/>
            </w:tcBorders>
            <w:shd w:fill="F4F6FA" w:val="clear"/>
            <w:tcMar>
              <w:top w:type="dxa" w:w="80"/>
              <w:left w:type="dxa" w:w="140"/>
              <w:bottom w:type="dxa" w:w="80"/>
              <w:right w:type="dxa" w:w="140"/>
            </w:tcMar>
            <w:vAlign w:val="center"/>
          </w:tcPr>
          <w:p>
            <w:pPr>
              <w:jc w:val="left"/>
            </w:pPr>
            <w:r>
              <w:rPr>
                <w:rFonts w:ascii="Arial" w:cs="Arial" w:eastAsia="Arial" w:hAnsi="Arial"/>
                <w:color w:val="2E2E2E"/>
                <w:sz w:val="20"/>
                <w:szCs w:val="20"/>
              </w:rPr>
              <w:t xml:space="preserve">Available</w:t>
            </w:r>
          </w:p>
        </w:tc>
      </w:tr>
    </w:tbl>
    <w:p>
      <w:pPr>
        <w:spacing w:before="120" w:after="0"/>
      </w:pPr>
    </w:p>
    <w:p>
      <w:pPr>
        <w:spacing w:before="80" w:after="200"/>
        <w:jc w:val="center"/>
      </w:pPr>
      <w:r>
        <w:rPr>
          <w:rFonts w:ascii="Arial" w:cs="Arial" w:eastAsia="Arial" w:hAnsi="Arial"/>
          <w:i/>
          <w:iCs/>
          <w:color w:val="595959"/>
          <w:sz w:val="18"/>
          <w:szCs w:val="18"/>
        </w:rPr>
        <w:t xml:space="preserve">Table 1: Sample Book Records Used in Demonstration</w:t>
      </w:r>
    </w:p>
    <w:p>
      <w:pPr>
        <w:pStyle w:val="Heading2"/>
        <w:pBdr>
          <w:bottom w:val="single" w:color="2E75B6" w:sz="6" w:space="4"/>
        </w:pBdr>
        <w:spacing w:before="320" w:after="140"/>
      </w:pPr>
      <w:r>
        <w:rPr>
          <w:rFonts w:ascii="Arial" w:cs="Arial" w:eastAsia="Arial" w:hAnsi="Arial"/>
          <w:b/>
          <w:bCs/>
          <w:color w:val="1B3A6B"/>
          <w:sz w:val="26"/>
          <w:szCs w:val="26"/>
        </w:rPr>
        <w:t xml:space="preserve">2.4  Sample Borrow Request Data</w:t>
      </w:r>
    </w:p>
    <w:p>
      <w:pPr>
        <w:pStyle w:val="BodyText"/>
      </w:pPr>
      <w:r>
        <w:rPr>
          <w:rFonts w:ascii="Arial" w:cs="Arial" w:eastAsia="Arial" w:hAnsi="Arial"/>
          <w:sz w:val="22"/>
          <w:szCs w:val="22"/>
        </w:rPr>
        <w:t xml:space="preserve">In addition to the book records, a set of sample borrow request entries was prepared to support the demonstration of the request tracking and reporting features. These records captured prior transactions that allowed the “Most Borrowed Books” report and the request status dashboard to display meaningful analytical data during the demonstration.</w:t>
      </w:r>
    </w:p>
    <w:p>
      <w:pPr>
        <w:pStyle w:val="Heading1"/>
        <w:shd w:fill="1B3A6B" w:val="clear"/>
        <w:spacing w:before="440" w:after="220"/>
      </w:pPr>
      <w:r>
        <w:rPr>
          <w:rFonts w:ascii="Arial" w:cs="Arial" w:eastAsia="Arial" w:hAnsi="Arial"/>
          <w:b/>
          <w:bCs/>
          <w:color w:val="FFFFFF"/>
          <w:sz w:val="32"/>
          <w:szCs w:val="32"/>
        </w:rPr>
        <w:t xml:space="preserve">  3.  Demonstration Scenario</w:t>
      </w:r>
    </w:p>
    <w:p>
      <w:pPr>
        <w:pStyle w:val="BodyText"/>
      </w:pPr>
      <w:r>
        <w:rPr>
          <w:rFonts w:ascii="Arial" w:cs="Arial" w:eastAsia="Arial" w:hAnsi="Arial"/>
          <w:sz w:val="22"/>
          <w:szCs w:val="22"/>
        </w:rPr>
        <w:t xml:space="preserve">The demonstration was structured around a single, coherent practical scenario designed to traverse the full operational lifecycle of the borrow request workflow from initial student interaction through to librarian decision and automated system response. This scenario was selected because it exercises all major system components in a logical and sequential manner, providing a complete and representative account of the system’s capabilities within a single narrative arc.</w:t>
      </w:r>
    </w:p>
    <w:p>
      <w:pPr>
        <w:pStyle w:val="BodyText"/>
      </w:pPr>
      <w:r>
        <w:rPr>
          <w:rFonts w:ascii="Arial" w:cs="Arial" w:eastAsia="Arial" w:hAnsi="Arial"/>
          <w:sz w:val="22"/>
          <w:szCs w:val="22"/>
        </w:rPr>
        <w:t xml:space="preserve">The scenario proceeds as follows: a registered student user logs into the ServiceNow portal and identifies a book they wish to borrow from the library catalogue. The student opens the Borrow Request form, selects the desired book from the list of currently available titles, and submits the request. The system records the submission, assigns the request a status of Pending, and dispatches an automated notification to the responsible librarian, alerting them that a new request requires their attention.</w:t>
      </w:r>
    </w:p>
    <w:p>
      <w:pPr>
        <w:pStyle w:val="BodyText"/>
      </w:pPr>
      <w:r>
        <w:rPr>
          <w:rFonts w:ascii="Arial" w:cs="Arial" w:eastAsia="Arial" w:hAnsi="Arial"/>
          <w:sz w:val="22"/>
          <w:szCs w:val="22"/>
        </w:rPr>
        <w:t xml:space="preserve">The librarian then logs into the system, navigates to the pending request queue, reviews the details of the submitted request, and executes an approval action. Upon approval, the system automatically updates the relevant book record to reflect an Issued status and changes the borrow request status to Approved. A confirmation email notification is simultaneously dispatched to the student, informing them that their request has been approved and the book is ready for collection. The student subsequently logs back into the portal to verify the updated status of their request, confirming end-to-end system visibility.</w:t>
      </w:r>
    </w:p>
    <w:p>
      <w:pPr>
        <w:pStyle w:val="BodyText"/>
      </w:pPr>
      <w:r>
        <w:rPr>
          <w:rFonts w:ascii="Arial" w:cs="Arial" w:eastAsia="Arial" w:hAnsi="Arial"/>
          <w:sz w:val="22"/>
          <w:szCs w:val="22"/>
        </w:rPr>
        <w:t xml:space="preserve">This scenario is representative of the routine daily operation of the library system and was designed to be readily understandable by both technical and non-technical members of the demonstration audience.</w:t>
      </w:r>
    </w:p>
    <w:p>
      <w:pPr>
        <w:pStyle w:val="Heading1"/>
        <w:shd w:fill="1B3A6B" w:val="clear"/>
        <w:spacing w:before="440" w:after="220"/>
      </w:pPr>
      <w:r>
        <w:rPr>
          <w:rFonts w:ascii="Arial" w:cs="Arial" w:eastAsia="Arial" w:hAnsi="Arial"/>
          <w:b/>
          <w:bCs/>
          <w:color w:val="FFFFFF"/>
          <w:sz w:val="32"/>
          <w:szCs w:val="32"/>
        </w:rPr>
        <w:t xml:space="preserve">  4.  Step-by-Step Demonstration Process</w:t>
      </w:r>
    </w:p>
    <w:p>
      <w:pPr>
        <w:pStyle w:val="BodyText"/>
      </w:pPr>
      <w:r>
        <w:rPr>
          <w:rFonts w:ascii="Arial" w:cs="Arial" w:eastAsia="Arial" w:hAnsi="Arial"/>
          <w:sz w:val="22"/>
          <w:szCs w:val="22"/>
        </w:rPr>
        <w:t xml:space="preserve">The following subsections present a detailed account of each step executed during the demonstration, describing the user actions performed, the system responses observed, and the functional components exercised at each stage.</w:t>
      </w:r>
    </w:p>
    <w:p>
      <w:pPr>
        <w:pBdr>
          <w:left w:val="single" w:color="2E75B6" w:sz="18" w:space="6"/>
        </w:pBdr>
        <w:shd w:fill="EAF2FB" w:val="clear"/>
        <w:spacing w:before="240" w:after="100"/>
        <w:ind w:left="0"/>
      </w:pPr>
      <w:r>
        <w:rPr>
          <w:rFonts w:ascii="Arial" w:cs="Arial" w:eastAsia="Arial" w:hAnsi="Arial"/>
          <w:b/>
          <w:bCs/>
          <w:color w:val="FFFFFF"/>
          <w:sz w:val="22"/>
          <w:szCs w:val="22"/>
        </w:rPr>
        <w:t xml:space="preserve">  STEP 1  </w:t>
      </w:r>
      <w:r>
        <w:rPr>
          <w:rFonts w:ascii="Arial" w:cs="Arial" w:eastAsia="Arial" w:hAnsi="Arial"/>
          <w:b/>
          <w:bCs/>
          <w:color w:val="1B3A6B"/>
          <w:sz w:val="22"/>
          <w:szCs w:val="22"/>
        </w:rPr>
        <w:t xml:space="preserve">   Student Login and Request Submission</w:t>
      </w:r>
    </w:p>
    <w:p>
      <w:pPr>
        <w:pStyle w:val="BodyText"/>
      </w:pPr>
      <w:r>
        <w:rPr>
          <w:rFonts w:ascii="Arial" w:cs="Arial" w:eastAsia="Arial" w:hAnsi="Arial"/>
          <w:sz w:val="22"/>
          <w:szCs w:val="22"/>
        </w:rPr>
        <w:t xml:space="preserve">The demonstration commenced with the test Student account logging into the ServiceNow portal using valid credentials. Following authentication, the system directed the student to the library portal homepage, which displayed the navigation options available to the Student role, including access to the book catalogue and the borrow request submission form.</w:t>
      </w:r>
    </w:p>
    <w:p>
      <w:pPr>
        <w:pStyle w:val="BodyText"/>
      </w:pPr>
      <w:r>
        <w:rPr>
          <w:rFonts w:ascii="Arial" w:cs="Arial" w:eastAsia="Arial" w:hAnsi="Arial"/>
          <w:sz w:val="22"/>
          <w:szCs w:val="22"/>
        </w:rPr>
        <w:t xml:space="preserve">The student opened the Borrow Request form and was presented with a set of fields including the book selection reference field, the requested date, and any additional notes. The book selection field was configured with a reference qualifier that restricted the available options exclusively to books with a current status of Available, thereby preventing the selection of titles already on loan. The student selected “Introduction to Algorithms” from the filtered list and submitted the form.</w:t>
      </w:r>
    </w:p>
    <w:p>
      <w:pPr>
        <w:pStyle w:val="BodyText"/>
      </w:pPr>
      <w:r>
        <w:rPr>
          <w:rFonts w:ascii="Arial" w:cs="Arial" w:eastAsia="Arial" w:hAnsi="Arial"/>
          <w:sz w:val="22"/>
          <w:szCs w:val="22"/>
        </w:rPr>
        <w:t xml:space="preserve">Upon submission, the system created a new Borrow Request record with a status of Pending and confirmed the action with an on-screen notification. The book record was simultaneously updated to reflect that it was under active consideration for loan.</w:t>
      </w:r>
    </w:p>
    <w:p>
      <w:pPr>
        <w:pBdr>
          <w:left w:val="single" w:color="2E75B6" w:sz="18" w:space="6"/>
        </w:pBdr>
        <w:shd w:fill="EAF2FB" w:val="clear"/>
        <w:spacing w:before="240" w:after="100"/>
        <w:ind w:left="0"/>
      </w:pPr>
      <w:r>
        <w:rPr>
          <w:rFonts w:ascii="Arial" w:cs="Arial" w:eastAsia="Arial" w:hAnsi="Arial"/>
          <w:b/>
          <w:bCs/>
          <w:color w:val="FFFFFF"/>
          <w:sz w:val="22"/>
          <w:szCs w:val="22"/>
        </w:rPr>
        <w:t xml:space="preserve">  STEP 2  </w:t>
      </w:r>
      <w:r>
        <w:rPr>
          <w:rFonts w:ascii="Arial" w:cs="Arial" w:eastAsia="Arial" w:hAnsi="Arial"/>
          <w:b/>
          <w:bCs/>
          <w:color w:val="1B3A6B"/>
          <w:sz w:val="22"/>
          <w:szCs w:val="22"/>
        </w:rPr>
        <w:t xml:space="preserve">   Librarian Review and Approval</w:t>
      </w:r>
    </w:p>
    <w:p>
      <w:pPr>
        <w:pStyle w:val="BodyText"/>
      </w:pPr>
      <w:r>
        <w:rPr>
          <w:rFonts w:ascii="Arial" w:cs="Arial" w:eastAsia="Arial" w:hAnsi="Arial"/>
          <w:sz w:val="22"/>
          <w:szCs w:val="22"/>
        </w:rPr>
        <w:t xml:space="preserve">The demonstration then transitioned to the Librarian user account. The librarian navigated to the Borrow Request management list, which displayed all pending requests submitted by students across the library system. The newly submitted request from the student account was visible at the top of the queue, identified by its submission timestamp, the student’s name, and the title of the requested book.</w:t>
      </w:r>
    </w:p>
    <w:p>
      <w:pPr>
        <w:pStyle w:val="BodyText"/>
      </w:pPr>
      <w:r>
        <w:rPr>
          <w:rFonts w:ascii="Arial" w:cs="Arial" w:eastAsia="Arial" w:hAnsi="Arial"/>
          <w:sz w:val="22"/>
          <w:szCs w:val="22"/>
        </w:rPr>
        <w:t xml:space="preserve">The librarian opened the request record and reviewed its details, including the student’s identity, the selected book, and the submission date. The librarian then executed the Approve action, which was presented as a workflow control within the form interface. This action triggered the automated workflow sequence described in the subsequent step.</w:t>
      </w:r>
    </w:p>
    <w:p>
      <w:pPr>
        <w:pStyle w:val="BodyText"/>
      </w:pPr>
      <w:r>
        <w:rPr>
          <w:rFonts w:ascii="Arial" w:cs="Arial" w:eastAsia="Arial" w:hAnsi="Arial"/>
          <w:sz w:val="22"/>
          <w:szCs w:val="22"/>
        </w:rPr>
        <w:t xml:space="preserve">The demonstration also illustrated the rejection pathway by repeating the scenario with a second request and selecting the Reject action, which prompted the librarian to enter a rejection reason before the workflow proceeded. This confirmed that the system handled both outcomes correctly and communicated them appropriately to the student.</w:t>
      </w:r>
    </w:p>
    <w:p>
      <w:pPr>
        <w:pBdr>
          <w:left w:val="single" w:color="2E75B6" w:sz="18" w:space="6"/>
        </w:pBdr>
        <w:shd w:fill="EAF2FB" w:val="clear"/>
        <w:spacing w:before="240" w:after="100"/>
        <w:ind w:left="0"/>
      </w:pPr>
      <w:r>
        <w:rPr>
          <w:rFonts w:ascii="Arial" w:cs="Arial" w:eastAsia="Arial" w:hAnsi="Arial"/>
          <w:b/>
          <w:bCs/>
          <w:color w:val="FFFFFF"/>
          <w:sz w:val="22"/>
          <w:szCs w:val="22"/>
        </w:rPr>
        <w:t xml:space="preserve">  STEP 3  </w:t>
      </w:r>
      <w:r>
        <w:rPr>
          <w:rFonts w:ascii="Arial" w:cs="Arial" w:eastAsia="Arial" w:hAnsi="Arial"/>
          <w:b/>
          <w:bCs/>
          <w:color w:val="1B3A6B"/>
          <w:sz w:val="22"/>
          <w:szCs w:val="22"/>
        </w:rPr>
        <w:t xml:space="preserve">   Automated Workflow Execution</w:t>
      </w:r>
    </w:p>
    <w:p>
      <w:pPr>
        <w:pStyle w:val="BodyText"/>
      </w:pPr>
      <w:r>
        <w:rPr>
          <w:rFonts w:ascii="Arial" w:cs="Arial" w:eastAsia="Arial" w:hAnsi="Arial"/>
          <w:sz w:val="22"/>
          <w:szCs w:val="22"/>
        </w:rPr>
        <w:t xml:space="preserve">Upon the librarian’s approval action, the Flow Designer automation was observed to execute in real time. The Borrow Request record’s status field transitioned automatically from Pending to Approved without requiring any further manual input. Simultaneously, the associated Book record was updated, with its availability status changing from Available to Issued, reflecting that the title was now formally allocated to the requesting student.</w:t>
      </w:r>
    </w:p>
    <w:p>
      <w:pPr>
        <w:pStyle w:val="BodyText"/>
      </w:pPr>
      <w:r>
        <w:rPr>
          <w:rFonts w:ascii="Arial" w:cs="Arial" w:eastAsia="Arial" w:hAnsi="Arial"/>
          <w:sz w:val="22"/>
          <w:szCs w:val="22"/>
        </w:rPr>
        <w:t xml:space="preserve">The automation also populated the approval timestamp and the due date fields on the borrow request record, calculated in accordance with the standard loan period configured within the system. These automated updates confirmed that the workflow logic was functioning correctly and that no manual intervention was required to maintain data accuracy across related records.</w:t>
      </w:r>
    </w:p>
    <w:p>
      <w:pPr>
        <w:pBdr>
          <w:left w:val="single" w:color="2E75B6" w:sz="18" w:space="6"/>
        </w:pBdr>
        <w:shd w:fill="EAF2FB" w:val="clear"/>
        <w:spacing w:before="240" w:after="100"/>
        <w:ind w:left="0"/>
      </w:pPr>
      <w:r>
        <w:rPr>
          <w:rFonts w:ascii="Arial" w:cs="Arial" w:eastAsia="Arial" w:hAnsi="Arial"/>
          <w:b/>
          <w:bCs/>
          <w:color w:val="FFFFFF"/>
          <w:sz w:val="22"/>
          <w:szCs w:val="22"/>
        </w:rPr>
        <w:t xml:space="preserve">  STEP 4  </w:t>
      </w:r>
      <w:r>
        <w:rPr>
          <w:rFonts w:ascii="Arial" w:cs="Arial" w:eastAsia="Arial" w:hAnsi="Arial"/>
          <w:b/>
          <w:bCs/>
          <w:color w:val="1B3A6B"/>
          <w:sz w:val="22"/>
          <w:szCs w:val="22"/>
        </w:rPr>
        <w:t xml:space="preserve">   Notification Process</w:t>
      </w:r>
    </w:p>
    <w:p>
      <w:pPr>
        <w:pStyle w:val="BodyText"/>
      </w:pPr>
      <w:r>
        <w:rPr>
          <w:rFonts w:ascii="Arial" w:cs="Arial" w:eastAsia="Arial" w:hAnsi="Arial"/>
          <w:sz w:val="22"/>
          <w:szCs w:val="22"/>
        </w:rPr>
        <w:t xml:space="preserve">Following the successful execution of the approval workflow, the system dispatched an automated email notification to the student’s registered email address. The notification confirmed that the borrow request had been approved, identified the title of the approved book, stated the due date by which the book was to be returned, and provided instructions for collecting the book from the library.</w:t>
      </w:r>
    </w:p>
    <w:p>
      <w:pPr>
        <w:pStyle w:val="BodyText"/>
      </w:pPr>
      <w:r>
        <w:rPr>
          <w:rFonts w:ascii="Arial" w:cs="Arial" w:eastAsia="Arial" w:hAnsi="Arial"/>
          <w:sz w:val="22"/>
          <w:szCs w:val="22"/>
        </w:rPr>
        <w:t xml:space="preserve">The email notification was displayed to the demonstration audience using the ServiceNow email log and an external email client, confirming that the notification had been generated correctly and delivered to the intended recipient. The content and formatting of the notification were consistent with the email template documented in the workflow configuration records.</w:t>
      </w:r>
    </w:p>
    <w:p>
      <w:pPr>
        <w:pStyle w:val="BodyText"/>
      </w:pPr>
      <w:r>
        <w:rPr>
          <w:rFonts w:ascii="Arial" w:cs="Arial" w:eastAsia="Arial" w:hAnsi="Arial"/>
          <w:sz w:val="22"/>
          <w:szCs w:val="22"/>
        </w:rPr>
        <w:t xml:space="preserve">A separate notification was also demonstrated for the rejection scenario, confirming that the student received a rejection message containing the librarian’s stated reason, thereby ensuring that users were kept fully informed of the outcome of their requests in all cases.</w:t>
      </w:r>
    </w:p>
    <w:p>
      <w:pPr>
        <w:pBdr>
          <w:left w:val="single" w:color="2E75B6" w:sz="18" w:space="6"/>
        </w:pBdr>
        <w:shd w:fill="EAF2FB" w:val="clear"/>
        <w:spacing w:before="240" w:after="100"/>
        <w:ind w:left="0"/>
      </w:pPr>
      <w:r>
        <w:rPr>
          <w:rFonts w:ascii="Arial" w:cs="Arial" w:eastAsia="Arial" w:hAnsi="Arial"/>
          <w:b/>
          <w:bCs/>
          <w:color w:val="FFFFFF"/>
          <w:sz w:val="22"/>
          <w:szCs w:val="22"/>
        </w:rPr>
        <w:t xml:space="preserve">  STEP 5  </w:t>
      </w:r>
      <w:r>
        <w:rPr>
          <w:rFonts w:ascii="Arial" w:cs="Arial" w:eastAsia="Arial" w:hAnsi="Arial"/>
          <w:b/>
          <w:bCs/>
          <w:color w:val="1B3A6B"/>
          <w:sz w:val="22"/>
          <w:szCs w:val="22"/>
        </w:rPr>
        <w:t xml:space="preserve">   Request Tracking</w:t>
      </w:r>
    </w:p>
    <w:p>
      <w:pPr>
        <w:pStyle w:val="BodyText"/>
      </w:pPr>
      <w:r>
        <w:rPr>
          <w:rFonts w:ascii="Arial" w:cs="Arial" w:eastAsia="Arial" w:hAnsi="Arial"/>
          <w:sz w:val="22"/>
          <w:szCs w:val="22"/>
        </w:rPr>
        <w:t xml:space="preserve">The final step of the demonstration returned to the Student user account to illustrate the request tracking capability available to students through the portal interface. The student navigated to the My Borrow Requests list view, which displayed all requests submitted under their account along with their current status.</w:t>
      </w:r>
    </w:p>
    <w:p>
      <w:pPr>
        <w:pStyle w:val="BodyText"/>
      </w:pPr>
      <w:r>
        <w:rPr>
          <w:rFonts w:ascii="Arial" w:cs="Arial" w:eastAsia="Arial" w:hAnsi="Arial"/>
          <w:sz w:val="22"/>
          <w:szCs w:val="22"/>
        </w:rPr>
        <w:t xml:space="preserve">The recently approved request was displayed with a status of Approved and the populated due date, providing the student with complete visibility of the request’s outcome and the terms of the loan. The demonstration confirmed that students could access this information independently at any time without needing to contact library staff, thereby reducing the administrative burden on librarians and improving the overall user experience.</w:t>
      </w:r>
    </w:p>
    <w:p>
      <w:pPr>
        <w:pStyle w:val="Heading1"/>
        <w:shd w:fill="1B3A6B" w:val="clear"/>
        <w:spacing w:before="440" w:after="220"/>
      </w:pPr>
      <w:r>
        <w:rPr>
          <w:rFonts w:ascii="Arial" w:cs="Arial" w:eastAsia="Arial" w:hAnsi="Arial"/>
          <w:b/>
          <w:bCs/>
          <w:color w:val="FFFFFF"/>
          <w:sz w:val="32"/>
          <w:szCs w:val="32"/>
        </w:rPr>
        <w:t xml:space="preserve">  5.  System Features Demonstrated</w:t>
      </w:r>
    </w:p>
    <w:p>
      <w:pPr>
        <w:pStyle w:val="BodyText"/>
      </w:pPr>
      <w:r>
        <w:rPr>
          <w:rFonts w:ascii="Arial" w:cs="Arial" w:eastAsia="Arial" w:hAnsi="Arial"/>
          <w:sz w:val="22"/>
          <w:szCs w:val="22"/>
        </w:rPr>
        <w:t xml:space="preserve">The demonstration successfully exhibited the following key system features, each of which corresponds to a specific functional requirement established during the project’s requirement analysis phase.</w:t>
      </w:r>
    </w:p>
    <w:p>
      <w:pPr>
        <w:pStyle w:val="Heading2"/>
        <w:pBdr>
          <w:bottom w:val="single" w:color="2E75B6" w:sz="6" w:space="4"/>
        </w:pBdr>
        <w:spacing w:before="320" w:after="140"/>
      </w:pPr>
      <w:r>
        <w:rPr>
          <w:rFonts w:ascii="Arial" w:cs="Arial" w:eastAsia="Arial" w:hAnsi="Arial"/>
          <w:b/>
          <w:bCs/>
          <w:color w:val="1B3A6B"/>
          <w:sz w:val="26"/>
          <w:szCs w:val="26"/>
        </w:rPr>
        <w:t xml:space="preserve">5.1  Role-Based Access Control</w:t>
      </w:r>
    </w:p>
    <w:p>
      <w:pPr>
        <w:pStyle w:val="BodyText"/>
      </w:pPr>
      <w:r>
        <w:rPr>
          <w:rFonts w:ascii="Arial" w:cs="Arial" w:eastAsia="Arial" w:hAnsi="Arial"/>
          <w:sz w:val="22"/>
          <w:szCs w:val="22"/>
        </w:rPr>
        <w:t xml:space="preserve">The demonstration validated that the system enforces distinct and appropriate levels of access for each user role. Students were shown to have access only to their own requests and the book catalogue, while librarians had access to the full request queue and administrative functions. Attempts by the student account to access librarian-only interfaces confirmed that the Access Control Rules functioned correctly and prevented unauthorised access.</w:t>
      </w:r>
    </w:p>
    <w:p>
      <w:pPr>
        <w:pStyle w:val="Heading2"/>
        <w:pBdr>
          <w:bottom w:val="single" w:color="2E75B6" w:sz="6" w:space="4"/>
        </w:pBdr>
        <w:spacing w:before="320" w:after="140"/>
      </w:pPr>
      <w:r>
        <w:rPr>
          <w:rFonts w:ascii="Arial" w:cs="Arial" w:eastAsia="Arial" w:hAnsi="Arial"/>
          <w:b/>
          <w:bCs/>
          <w:color w:val="1B3A6B"/>
          <w:sz w:val="26"/>
          <w:szCs w:val="26"/>
        </w:rPr>
        <w:t xml:space="preserve">5.2  Borrow Request Workflow Automation</w:t>
      </w:r>
    </w:p>
    <w:p>
      <w:pPr>
        <w:pStyle w:val="BodyText"/>
      </w:pPr>
      <w:r>
        <w:rPr>
          <w:rFonts w:ascii="Arial" w:cs="Arial" w:eastAsia="Arial" w:hAnsi="Arial"/>
          <w:sz w:val="22"/>
          <w:szCs w:val="22"/>
        </w:rPr>
        <w:t xml:space="preserve">The end-to-end automation of the borrow request lifecycle was demonstrated, from initial submission through to approval or rejection and the corresponding status transitions. The Flow Designer workflow was shown to execute without manual intervention, correctly branching between the approval and rejection pathways and producing the appropriate outcomes in each case.</w:t>
      </w:r>
    </w:p>
    <w:p>
      <w:pPr>
        <w:pStyle w:val="Heading2"/>
        <w:pBdr>
          <w:bottom w:val="single" w:color="2E75B6" w:sz="6" w:space="4"/>
        </w:pBdr>
        <w:spacing w:before="320" w:after="140"/>
      </w:pPr>
      <w:r>
        <w:rPr>
          <w:rFonts w:ascii="Arial" w:cs="Arial" w:eastAsia="Arial" w:hAnsi="Arial"/>
          <w:b/>
          <w:bCs/>
          <w:color w:val="1B3A6B"/>
          <w:sz w:val="26"/>
          <w:szCs w:val="26"/>
        </w:rPr>
        <w:t xml:space="preserve">5.3  Book Status Updates</w:t>
      </w:r>
    </w:p>
    <w:p>
      <w:pPr>
        <w:pStyle w:val="BodyText"/>
      </w:pPr>
      <w:r>
        <w:rPr>
          <w:rFonts w:ascii="Arial" w:cs="Arial" w:eastAsia="Arial" w:hAnsi="Arial"/>
          <w:sz w:val="22"/>
          <w:szCs w:val="22"/>
        </w:rPr>
        <w:t xml:space="preserve">The automatic update of the Book record’s availability status in response to workflow events was clearly demonstrated. The transition from Available to Issued upon approval, and the reversion to Available upon rejection, confirmed that the system maintained accurate and current inventory data without requiring librarians to perform manual updates.</w:t>
      </w:r>
    </w:p>
    <w:p>
      <w:pPr>
        <w:pStyle w:val="Heading2"/>
        <w:pBdr>
          <w:bottom w:val="single" w:color="2E75B6" w:sz="6" w:space="4"/>
        </w:pBdr>
        <w:spacing w:before="320" w:after="140"/>
      </w:pPr>
      <w:r>
        <w:rPr>
          <w:rFonts w:ascii="Arial" w:cs="Arial" w:eastAsia="Arial" w:hAnsi="Arial"/>
          <w:b/>
          <w:bCs/>
          <w:color w:val="1B3A6B"/>
          <w:sz w:val="26"/>
          <w:szCs w:val="26"/>
        </w:rPr>
        <w:t xml:space="preserve">5.4  Email Notifications</w:t>
      </w:r>
    </w:p>
    <w:p>
      <w:pPr>
        <w:pStyle w:val="BodyText"/>
      </w:pPr>
      <w:r>
        <w:rPr>
          <w:rFonts w:ascii="Arial" w:cs="Arial" w:eastAsia="Arial" w:hAnsi="Arial"/>
          <w:sz w:val="22"/>
          <w:szCs w:val="22"/>
        </w:rPr>
        <w:t xml:space="preserve">Automated email notifications were demonstrated for both the approval and rejection outcomes, confirming that the system communicates effectively with students throughout the borrowing process. The content accuracy and timely delivery of the notifications were verified, and the notification templates were shown to include all relevant transactional details required by the student.</w:t>
      </w:r>
    </w:p>
    <w:p>
      <w:pPr>
        <w:pStyle w:val="Heading2"/>
        <w:pBdr>
          <w:bottom w:val="single" w:color="2E75B6" w:sz="6" w:space="4"/>
        </w:pBdr>
        <w:spacing w:before="320" w:after="140"/>
      </w:pPr>
      <w:r>
        <w:rPr>
          <w:rFonts w:ascii="Arial" w:cs="Arial" w:eastAsia="Arial" w:hAnsi="Arial"/>
          <w:b/>
          <w:bCs/>
          <w:color w:val="1B3A6B"/>
          <w:sz w:val="26"/>
          <w:szCs w:val="26"/>
        </w:rPr>
        <w:t xml:space="preserve">5.5  Reporting and Analytics</w:t>
      </w:r>
    </w:p>
    <w:p>
      <w:pPr>
        <w:pStyle w:val="BodyText"/>
      </w:pPr>
      <w:r>
        <w:rPr>
          <w:rFonts w:ascii="Arial" w:cs="Arial" w:eastAsia="Arial" w:hAnsi="Arial"/>
          <w:sz w:val="22"/>
          <w:szCs w:val="22"/>
        </w:rPr>
        <w:t xml:space="preserve">The “Most Borrowed Books” report was demonstrated using the pre-loaded sample borrow request data, displaying a ranked list of titles ordered by borrowing frequency. The report was shown within the ServiceNow reporting interface, illustrating the visualisation format and the filtering options available to librarians and administrators. The demonstration confirmed that the system provides actionable insights that can support collection management decisions.</w:t>
      </w:r>
    </w:p>
    <w:p>
      <w:pPr>
        <w:pStyle w:val="Heading1"/>
        <w:shd w:fill="1B3A6B" w:val="clear"/>
        <w:spacing w:before="440" w:after="220"/>
      </w:pPr>
      <w:r>
        <w:rPr>
          <w:rFonts w:ascii="Arial" w:cs="Arial" w:eastAsia="Arial" w:hAnsi="Arial"/>
          <w:b/>
          <w:bCs/>
          <w:color w:val="FFFFFF"/>
          <w:sz w:val="32"/>
          <w:szCs w:val="32"/>
        </w:rPr>
        <w:t xml:space="preserve">  6.  Demonstration Outcome</w:t>
      </w:r>
    </w:p>
    <w:p>
      <w:pPr>
        <w:pStyle w:val="BodyText"/>
      </w:pPr>
      <w:r>
        <w:rPr>
          <w:rFonts w:ascii="Arial" w:cs="Arial" w:eastAsia="Arial" w:hAnsi="Arial"/>
          <w:sz w:val="22"/>
          <w:szCs w:val="22"/>
        </w:rPr>
        <w:t xml:space="preserve">The demonstration was conducted successfully and without material defect. All five steps of the demonstration sequence were executed as planned, and each system feature performed in accordance with the functional requirements and design specifications documented throughout the project.</w:t>
      </w:r>
    </w:p>
    <w:p>
      <w:pPr>
        <w:pStyle w:val="BodyText"/>
      </w:pPr>
      <w:r>
        <w:rPr>
          <w:rFonts w:ascii="Arial" w:cs="Arial" w:eastAsia="Arial" w:hAnsi="Arial"/>
          <w:sz w:val="22"/>
          <w:szCs w:val="22"/>
        </w:rPr>
        <w:t xml:space="preserve">The demonstration confirmed that the Smart Library Request Workflow fulfils its core project objectives: the system enables students to submit borrow requests through a structured and validated form; it routes those requests to librarians for review and decision through an automated workflow; it maintains accurate and real-time book availability data; it communicates request outcomes to students through automated email notifications; and it provides library administrators with analytical reporting tools to support operational decision-making.</w:t>
      </w:r>
    </w:p>
    <w:p>
      <w:pPr>
        <w:pStyle w:val="BodyText"/>
      </w:pPr>
      <w:r>
        <w:rPr>
          <w:rFonts w:ascii="Arial" w:cs="Arial" w:eastAsia="Arial" w:hAnsi="Arial"/>
          <w:sz w:val="22"/>
          <w:szCs w:val="22"/>
        </w:rPr>
        <w:t xml:space="preserve">Role-based access control was verified to be functioning correctly, with both the Student and Librarian roles operating within their defined permission boundaries. No security vulnerabilities or unauthorised access pathways were identified during the demonstration. The user interface behaviour, including form validation, mandatory field enforcement, and conditional field visibility, operated as configured and in line with the UI policy documentation.</w:t>
      </w:r>
    </w:p>
    <w:p>
      <w:pPr>
        <w:pStyle w:val="BodyText"/>
      </w:pPr>
      <w:r>
        <w:rPr>
          <w:rFonts w:ascii="Arial" w:cs="Arial" w:eastAsia="Arial" w:hAnsi="Arial"/>
          <w:sz w:val="22"/>
          <w:szCs w:val="22"/>
        </w:rPr>
        <w:t xml:space="preserve">The demonstration also served to highlight the system’s usability. Both the student-facing portal and the librarian-facing administrative interface were observed to be intuitive and navigable without specialist training, consistent with the usability objectives of the project. The automated notifications were delivered promptly and contained accurate, well-formatted content that would enable students to act upon the information provided without further clarification.</w:t>
      </w:r>
    </w:p>
    <w:p>
      <w:pPr>
        <w:pStyle w:val="BodyText"/>
      </w:pPr>
      <w:r>
        <w:rPr>
          <w:rFonts w:ascii="Arial" w:cs="Arial" w:eastAsia="Arial" w:hAnsi="Arial"/>
          <w:sz w:val="22"/>
          <w:szCs w:val="22"/>
        </w:rPr>
        <w:t xml:space="preserve">In aggregate, the demonstration provides conclusive evidence that the Smart Library Request Workflow system has been successfully designed, configured, and deployed in a manner that meets all stated project objectives and is suitable for operational use within a library environment.</w:t>
      </w:r>
    </w:p>
    <w:p>
      <w:pPr>
        <w:pStyle w:val="Heading1"/>
        <w:shd w:fill="1B3A6B" w:val="clear"/>
        <w:spacing w:before="440" w:after="220"/>
      </w:pPr>
      <w:r>
        <w:rPr>
          <w:rFonts w:ascii="Arial" w:cs="Arial" w:eastAsia="Arial" w:hAnsi="Arial"/>
          <w:b/>
          <w:bCs/>
          <w:color w:val="FFFFFF"/>
          <w:sz w:val="32"/>
          <w:szCs w:val="32"/>
        </w:rPr>
        <w:t xml:space="preserve">  7.  Future Demonstration Improvements</w:t>
      </w:r>
    </w:p>
    <w:p>
      <w:pPr>
        <w:pStyle w:val="BodyText"/>
      </w:pPr>
      <w:r>
        <w:rPr>
          <w:rFonts w:ascii="Arial" w:cs="Arial" w:eastAsia="Arial" w:hAnsi="Arial"/>
          <w:sz w:val="22"/>
          <w:szCs w:val="22"/>
        </w:rPr>
        <w:t xml:space="preserve">While the current demonstration comprehensively covers the core system functionality, a number of enhancements are identified that would further strengthen future demonstrations and reflect the potential evolution of the system itself. These improvements are presented as recommendations for consideration in subsequent project iterations or system upgrades.</w:t>
      </w:r>
    </w:p>
    <w:p>
      <w:pPr>
        <w:pStyle w:val="Heading2"/>
        <w:pBdr>
          <w:bottom w:val="single" w:color="2E75B6" w:sz="6" w:space="4"/>
        </w:pBdr>
        <w:spacing w:before="320" w:after="140"/>
      </w:pPr>
      <w:r>
        <w:rPr>
          <w:rFonts w:ascii="Arial" w:cs="Arial" w:eastAsia="Arial" w:hAnsi="Arial"/>
          <w:b/>
          <w:bCs/>
          <w:color w:val="1B3A6B"/>
          <w:sz w:val="26"/>
          <w:szCs w:val="26"/>
        </w:rPr>
        <w:t xml:space="preserve">7.1  Advanced Reporting and Analytics</w:t>
      </w:r>
    </w:p>
    <w:p>
      <w:pPr>
        <w:pStyle w:val="BodyText"/>
      </w:pPr>
      <w:r>
        <w:rPr>
          <w:rFonts w:ascii="Arial" w:cs="Arial" w:eastAsia="Arial" w:hAnsi="Arial"/>
          <w:sz w:val="22"/>
          <w:szCs w:val="22"/>
        </w:rPr>
        <w:t xml:space="preserve">Future demonstrations could incorporate a broader suite of analytical reports beyond the “Most Borrowed Books” report currently included. Additional reports could include request processing time analysis, librarian performance metrics, peak borrowing period identification, and student engagement trends. Demonstrating these reports would provide a richer illustration of the system’s value as a data-driven management tool and would be of particular relevance to library administrators and institutional leadership.</w:t>
      </w:r>
    </w:p>
    <w:p>
      <w:pPr>
        <w:pStyle w:val="Heading2"/>
        <w:pBdr>
          <w:bottom w:val="single" w:color="2E75B6" w:sz="6" w:space="4"/>
        </w:pBdr>
        <w:spacing w:before="320" w:after="140"/>
      </w:pPr>
      <w:r>
        <w:rPr>
          <w:rFonts w:ascii="Arial" w:cs="Arial" w:eastAsia="Arial" w:hAnsi="Arial"/>
          <w:b/>
          <w:bCs/>
          <w:color w:val="1B3A6B"/>
          <w:sz w:val="26"/>
          <w:szCs w:val="26"/>
        </w:rPr>
        <w:t xml:space="preserve">7.2  Overdue Notifications and Return Management</w:t>
      </w:r>
    </w:p>
    <w:p>
      <w:pPr>
        <w:pStyle w:val="BodyText"/>
      </w:pPr>
      <w:r>
        <w:rPr>
          <w:rFonts w:ascii="Arial" w:cs="Arial" w:eastAsia="Arial" w:hAnsi="Arial"/>
          <w:sz w:val="22"/>
          <w:szCs w:val="22"/>
        </w:rPr>
        <w:t xml:space="preserve">The current system demonstration does not extend to the management of overdue book returns or the automated dispatch of overdue reminder notifications. A future demonstration could incorporate a scenario in which a book’s due date has passed without a recorded return, triggering an automated reminder email to the student and updating the request status accordingly. This would demonstrate a complete borrowing lifecycle and address a significant operational concern for library management.</w:t>
      </w:r>
    </w:p>
    <w:p>
      <w:pPr>
        <w:pStyle w:val="Heading2"/>
        <w:pBdr>
          <w:bottom w:val="single" w:color="2E75B6" w:sz="6" w:space="4"/>
        </w:pBdr>
        <w:spacing w:before="320" w:after="140"/>
      </w:pPr>
      <w:r>
        <w:rPr>
          <w:rFonts w:ascii="Arial" w:cs="Arial" w:eastAsia="Arial" w:hAnsi="Arial"/>
          <w:b/>
          <w:bCs/>
          <w:color w:val="1B3A6B"/>
          <w:sz w:val="26"/>
          <w:szCs w:val="26"/>
        </w:rPr>
        <w:t xml:space="preserve">7.3  Integration with Digital Library Systems</w:t>
      </w:r>
    </w:p>
    <w:p>
      <w:pPr>
        <w:pStyle w:val="BodyText"/>
      </w:pPr>
      <w:r>
        <w:rPr>
          <w:rFonts w:ascii="Arial" w:cs="Arial" w:eastAsia="Arial" w:hAnsi="Arial"/>
          <w:sz w:val="22"/>
          <w:szCs w:val="22"/>
        </w:rPr>
        <w:t xml:space="preserve">A compelling future enhancement would be the integration of the Smart Library Request Workflow with external digital library systems, such as e-book repositories, interlibrary loan platforms, or institutional catalogue databases. Demonstrating such integration would illustrate the system’s capacity to extend beyond physical book management and to serve as a unified gateway to a broader range of library resources, significantly expanding its scope and institutional value.</w:t>
      </w:r>
    </w:p>
    <w:p>
      <w:pPr>
        <w:pStyle w:val="Heading2"/>
        <w:pBdr>
          <w:bottom w:val="single" w:color="2E75B6" w:sz="6" w:space="4"/>
        </w:pBdr>
        <w:spacing w:before="320" w:after="140"/>
      </w:pPr>
      <w:r>
        <w:rPr>
          <w:rFonts w:ascii="Arial" w:cs="Arial" w:eastAsia="Arial" w:hAnsi="Arial"/>
          <w:b/>
          <w:bCs/>
          <w:color w:val="1B3A6B"/>
          <w:sz w:val="26"/>
          <w:szCs w:val="26"/>
        </w:rPr>
        <w:t xml:space="preserve">7.4  Mobile and Portal Interface Demonstration</w:t>
      </w:r>
    </w:p>
    <w:p>
      <w:pPr>
        <w:pStyle w:val="BodyText"/>
      </w:pPr>
      <w:r>
        <w:rPr>
          <w:rFonts w:ascii="Arial" w:cs="Arial" w:eastAsia="Arial" w:hAnsi="Arial"/>
          <w:sz w:val="22"/>
          <w:szCs w:val="22"/>
        </w:rPr>
        <w:t xml:space="preserve">Future demonstrations could place greater emphasis on the ServiceNow Service Portal and mobile application interfaces through which students and librarians may interact with the system. Demonstrating the system across multiple device types would confirm that the platform provides a consistent and responsive user experience regardless of the access method employed, which is an increasingly important consideration in contemporary digital service environments.</w:t>
      </w:r>
    </w:p>
    <w:p>
      <w:pPr>
        <w:pStyle w:val="Heading2"/>
        <w:pBdr>
          <w:bottom w:val="single" w:color="2E75B6" w:sz="6" w:space="4"/>
        </w:pBdr>
        <w:spacing w:before="320" w:after="140"/>
      </w:pPr>
      <w:r>
        <w:rPr>
          <w:rFonts w:ascii="Arial" w:cs="Arial" w:eastAsia="Arial" w:hAnsi="Arial"/>
          <w:b/>
          <w:bCs/>
          <w:color w:val="1B3A6B"/>
          <w:sz w:val="26"/>
          <w:szCs w:val="26"/>
        </w:rPr>
        <w:t xml:space="preserve">7.5  Bulk Request and Reservation Queue Scenarios</w:t>
      </w:r>
    </w:p>
    <w:p>
      <w:pPr>
        <w:pStyle w:val="BodyText"/>
      </w:pPr>
      <w:r>
        <w:rPr>
          <w:rFonts w:ascii="Arial" w:cs="Arial" w:eastAsia="Arial" w:hAnsi="Arial"/>
          <w:sz w:val="22"/>
          <w:szCs w:val="22"/>
        </w:rPr>
        <w:t xml:space="preserve">To illustrate the system’s scalability and capacity to handle elevated volumes of activity, future demonstrations could incorporate scenarios involving multiple simultaneous requests, reservation queuing for unavailable titles, and batch processing by librarians. These scenarios would provide assurance to stakeholders that the system is capable of sustaining reliable performance under realistic operational load conditions.</w:t>
      </w:r>
    </w:p>
    <w:p>
      <w:pPr>
        <w:spacing w:before="480" w:after="0"/>
      </w:pPr>
    </w:p>
    <w:p>
      <w:pPr>
        <w:pBdr>
          <w:bottom w:val="single" w:color="2E75B6" w:sz="12" w:space="0"/>
        </w:pBdr>
        <w:spacing w:before="0" w:after="0"/>
      </w:pPr>
    </w:p>
    <w:p>
      <w:pPr>
        <w:spacing w:before="160" w:after="80"/>
        <w:jc w:val="center"/>
      </w:pPr>
      <w:r>
        <w:rPr>
          <w:rFonts w:ascii="Arial" w:cs="Arial" w:eastAsia="Arial" w:hAnsi="Arial"/>
          <w:i/>
          <w:iCs/>
          <w:color w:val="595959"/>
          <w:sz w:val="20"/>
          <w:szCs w:val="20"/>
        </w:rPr>
        <w:t xml:space="preserve">End of Project Demonstration Section</w:t>
      </w:r>
    </w:p>
    <w:p>
      <w:pPr>
        <w:spacing w:before="0" w:after="0"/>
        <w:jc w:val="center"/>
      </w:pPr>
      <w:r>
        <w:rPr>
          <w:rFonts w:ascii="Arial" w:cs="Arial" w:eastAsia="Arial" w:hAnsi="Arial"/>
          <w:color w:val="2E5FA3"/>
          <w:sz w:val="18"/>
          <w:szCs w:val="18"/>
        </w:rPr>
        <w:t xml:space="preserve">Smart Library Request Workflow in ServiceNow  –  Technical Project Report</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jc w:val="center"/>
    </w:pPr>
    <w:r>
      <w:rPr>
        <w:rFonts w:ascii="Arial" w:cs="Arial" w:eastAsia="Arial" w:hAnsi="Arial"/>
        <w:i/>
        <w:iCs/>
        <w:color w:val="595959"/>
        <w:sz w:val="16"/>
        <w:szCs w:val="16"/>
      </w:rPr>
      <w:t xml:space="preserve">Confidential  –  For Academic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pPr>
    <w:r>
      <w:rPr>
        <w:rFonts w:ascii="Arial" w:cs="Arial" w:eastAsia="Arial" w:hAnsi="Arial"/>
        <w:i/>
        <w:iCs/>
        <w:color w:val="595959"/>
        <w:sz w:val="18"/>
        <w:szCs w:val="18"/>
      </w:rPr>
      <w:t xml:space="preserve">Smart Library Request Workflow in ServiceNow</w:t>
    </w:r>
    <w:r>
      <w:rPr>
        <w:rFonts w:ascii="Arial" w:cs="Arial" w:eastAsia="Arial" w:hAnsi="Arial"/>
        <w:b/>
        <w:bCs/>
        <w:color w:val="2E75B6"/>
        <w:sz w:val="18"/>
        <w:szCs w:val="18"/>
      </w:rPr>
      <w:t xml:space="preserve">   |   Project Demonstration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2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220"/>
      <w:outlineLvl w:val="0"/>
    </w:pPr>
    <w:rPr>
      <w:rFonts w:ascii="Arial" w:cs="Arial" w:eastAsia="Arial" w:hAnsi="Arial"/>
      <w:b/>
      <w:bCs/>
      <w:color w:val="FFFFFF"/>
      <w:sz w:val="32"/>
      <w:szCs w:val="32"/>
    </w:rPr>
  </w:style>
  <w:style w:type="paragraph" w:styleId="Heading2">
    <w:name w:val="Heading 2"/>
    <w:basedOn w:val="Normal"/>
    <w:next w:val="Normal"/>
    <w:qFormat/>
    <w:pPr>
      <w:spacing w:before="320" w:after="140"/>
      <w:outlineLvl w:val="1"/>
    </w:pPr>
    <w:rPr>
      <w:rFonts w:ascii="Arial" w:cs="Arial" w:eastAsia="Arial" w:hAnsi="Arial"/>
      <w:b/>
      <w:bCs/>
      <w:color w:val="1B3A6B"/>
      <w:sz w:val="26"/>
      <w:szCs w:val="26"/>
    </w:rPr>
  </w:style>
  <w:style w:type="paragraph" w:styleId="Heading3">
    <w:name w:val="Heading 3"/>
    <w:basedOn w:val="Normal"/>
    <w:next w:val="Normal"/>
    <w:qFormat/>
    <w:pPr>
      <w:spacing w:before="240" w:after="100"/>
      <w:outlineLvl w:val="2"/>
    </w:pPr>
    <w:rPr>
      <w:rFonts w:ascii="Arial" w:cs="Arial" w:eastAsia="Arial" w:hAnsi="Arial"/>
      <w:b/>
      <w:bCs/>
      <w:color w:val="2E5FA3"/>
      <w:sz w:val="23"/>
      <w:szCs w:val="23"/>
    </w:rPr>
  </w:style>
  <w:style w:type="paragraph" w:styleId="BodyText">
    <w:name w:val="Body Text"/>
    <w:basedOn w:val="Normal"/>
    <w:next w:val="BodyText"/>
    <w:pPr>
      <w:spacing w:before="80" w:after="180"/>
      <w:jc w:val="both"/>
    </w:pPr>
    <w:rPr>
      <w:rFonts w:ascii="Arial" w:cs="Arial" w:eastAsia="Arial" w:hAnsi="Arial"/>
      <w:color w:val="2E2E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2026-03-09T07:21:35.562Z</dcterms:created>
  <dcterms:modified xsi:type="dcterms:W3CDTF">2026-03-09T07:21:35.562Z</dcterms:modified>
</cp:coreProperties>
</file>

<file path=docProps/custom.xml><?xml version="1.0" encoding="utf-8"?>
<Properties xmlns="http://schemas.openxmlformats.org/officeDocument/2006/custom-properties" xmlns:vt="http://schemas.openxmlformats.org/officeDocument/2006/docPropsVTypes"/>
</file>