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0"/>
      </w:pPr>
      <w:r>
        <w:rPr>
          <w:sz w:val="22"/>
          <w:szCs w:val="22"/>
        </w:rPr>
        <w:t xml:space="preserve"/>
      </w:r>
    </w:p>
    <w:p>
      <w:pPr>
        <w:spacing w:before="0" w:after="0"/>
        <w:jc w:val="center"/>
      </w:pPr>
      <w:r>
        <w:rPr>
          <w:rFonts w:ascii="Arial" w:cs="Arial" w:eastAsia="Arial" w:hAnsi="Arial"/>
          <w:b/>
          <w:bCs/>
          <w:color w:val="1F3864"/>
          <w:sz w:val="52"/>
          <w:szCs w:val="52"/>
        </w:rPr>
        <w:t xml:space="preserve">Smart Library Request Workflow</w:t>
      </w:r>
    </w:p>
    <w:p>
      <w:pPr>
        <w:spacing w:before="40" w:after="0"/>
      </w:pPr>
      <w:r>
        <w:rPr>
          <w:sz w:val="22"/>
          <w:szCs w:val="22"/>
        </w:rPr>
        <w:t xml:space="preserve"/>
      </w:r>
    </w:p>
    <w:p>
      <w:pPr>
        <w:spacing w:before="0" w:after="0"/>
        <w:jc w:val="center"/>
      </w:pPr>
      <w:r>
        <w:rPr>
          <w:rFonts w:ascii="Arial" w:cs="Arial" w:eastAsia="Arial" w:hAnsi="Arial"/>
          <w:b/>
          <w:bCs/>
          <w:color w:val="1F3864"/>
          <w:sz w:val="52"/>
          <w:szCs w:val="52"/>
        </w:rPr>
        <w:t xml:space="preserve">in ServiceNow</w:t>
      </w:r>
    </w:p>
    <w:p>
      <w:pPr>
        <w:spacing w:before="80" w:after="0"/>
      </w:pPr>
      <w:r>
        <w:rPr>
          <w:sz w:val="22"/>
          <w:szCs w:val="22"/>
        </w:rPr>
        <w:t xml:space="preserve"/>
      </w:r>
    </w:p>
    <w:p>
      <w:pPr>
        <w:spacing w:before="0" w:after="0"/>
        <w:jc w:val="center"/>
      </w:pPr>
      <w:r>
        <w:rPr>
          <w:rFonts w:ascii="Arial" w:cs="Arial" w:eastAsia="Arial" w:hAnsi="Arial"/>
          <w:i/>
          <w:iCs/>
          <w:color w:val="2E4A7A"/>
          <w:sz w:val="26"/>
          <w:szCs w:val="26"/>
        </w:rPr>
        <w:t xml:space="preserve">Technical Documentation — Project Design Phase</w:t>
      </w:r>
    </w:p>
    <w:p>
      <w:pPr>
        <w:spacing w:before="60" w:after="0"/>
      </w:pPr>
      <w:r>
        <w:rPr>
          <w:sz w:val="22"/>
          <w:szCs w:val="22"/>
        </w:rPr>
        <w:t xml:space="preserve"/>
      </w:r>
    </w:p>
    <w:p>
      <w:pPr>
        <w:pBdr>
          <w:bottom w:val="single" w:color="1F3864" w:sz="8" w:space="1"/>
        </w:pBdr>
        <w:spacing w:before="0" w:after="0"/>
        <w:jc w:val="center"/>
      </w:pPr>
      <w:r>
        <w:rPr>
          <w:sz w:val="4"/>
          <w:szCs w:val="4"/>
        </w:rPr>
        <w:t xml:space="preserve"/>
      </w:r>
    </w:p>
    <w:p>
      <w:pPr>
        <w:spacing w:before="80" w:after="0"/>
      </w:pPr>
      <w:r>
        <w:rPr>
          <w:sz w:val="22"/>
          <w:szCs w:val="22"/>
        </w:rPr>
        <w:t xml:space="preserve"/>
      </w:r>
    </w:p>
    <w:p>
      <w:pPr>
        <w:spacing w:before="0" w:after="0"/>
        <w:jc w:val="center"/>
      </w:pPr>
      <w:r>
        <w:rPr>
          <w:rFonts w:ascii="Arial" w:cs="Arial" w:eastAsia="Arial" w:hAnsi="Arial"/>
          <w:color w:val="888888"/>
          <w:sz w:val="20"/>
          <w:szCs w:val="20"/>
        </w:rPr>
        <w:t xml:space="preserve">Version 1.0  |  March 2025</w:t>
      </w:r>
    </w:p>
    <w:p>
      <w:pPr>
        <w:spacing w:before="20" w:after="0"/>
      </w:pPr>
      <w:r>
        <w:rPr>
          <w:sz w:val="22"/>
          <w:szCs w:val="22"/>
        </w:rPr>
        <w:t xml:space="preserve"/>
      </w:r>
    </w:p>
    <w:p>
      <w:pPr>
        <w:spacing w:before="0" w:after="0"/>
        <w:jc w:val="center"/>
      </w:pPr>
      <w:r>
        <w:rPr>
          <w:rFonts w:ascii="Arial" w:cs="Arial" w:eastAsia="Arial" w:hAnsi="Arial"/>
          <w:i/>
          <w:iCs/>
          <w:color w:val="888888"/>
          <w:sz w:val="20"/>
          <w:szCs w:val="20"/>
        </w:rPr>
        <w:t xml:space="preserve">Academic &amp; Technical Project Documentation</w:t>
      </w:r>
    </w:p>
    <w:p>
      <w:pPr>
        <w:spacing w:before="280" w:after="0"/>
      </w:pPr>
      <w:r>
        <w:rPr>
          <w:sz w:val="22"/>
          <w:szCs w:val="22"/>
        </w:rPr>
        <w:t xml:space="preserve"/>
      </w:r>
    </w:p>
    <w:p>
      <w:pPr>
        <w:spacing w:before="400" w:after="120"/>
      </w:pPr>
      <w:r>
        <w:rPr>
          <w:rFonts w:ascii="Arial" w:cs="Arial" w:eastAsia="Arial" w:hAnsi="Arial"/>
          <w:b/>
          <w:bCs/>
          <w:color w:val="2E75B6"/>
          <w:sz w:val="30"/>
          <w:szCs w:val="30"/>
        </w:rPr>
        <w:t xml:space="preserve">1. </w:t>
      </w:r>
      <w:r>
        <w:rPr>
          <w:rFonts w:ascii="Arial" w:cs="Arial" w:eastAsia="Arial" w:hAnsi="Arial"/>
          <w:b/>
          <w:bCs/>
          <w:color w:val="1F3864"/>
          <w:sz w:val="30"/>
          <w:szCs w:val="30"/>
        </w:rPr>
        <w:t xml:space="preserve">Introduction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Project Design Phase occupies a critical position in the development lifecycle, bridging the gap between requirements analysis and active system configuration. Where earlier phases were concerned with understanding what the system must achieve and for whom, the design phase is concerned with defining how it will be structured — establishing the architecture, data models, workflow logic, interface layouts, security framework, and reporting approach that will guide every subsequent implementation decision.</w:t>
      </w:r>
    </w:p>
    <w:p>
      <w:pPr>
        <w:spacing w:before="80" w:after="80" w:line="280"/>
        <w:jc w:val="both"/>
      </w:pPr>
      <w:r>
        <w:rPr>
          <w:rFonts w:ascii="Arial" w:cs="Arial" w:eastAsia="Arial" w:hAnsi="Arial"/>
          <w:color w:val="2C3E50"/>
          <w:sz w:val="22"/>
          <w:szCs w:val="22"/>
        </w:rPr>
        <w:t xml:space="preserve">For the Smart Library Request Workflow, the design phase translates the functional and non-functional requirements documented in the Requirement Analysis Phase into a concrete technical blueprint. Each design decision recorded in this document has a direct lineage to an identified requirement or stakeholder expectation, ensuring that the resulting system architecture is purposeful rather than incidental. By resolving structural and logical questions at the design stage — before any configuration is undertaken — the project avoids the costly rework that arises when architectural issues are discovered mid-implementation.</w:t>
      </w:r>
    </w:p>
    <w:p>
      <w:pPr>
        <w:spacing w:before="80" w:after="80" w:line="280"/>
        <w:jc w:val="both"/>
      </w:pPr>
      <w:r>
        <w:rPr>
          <w:rFonts w:ascii="Arial" w:cs="Arial" w:eastAsia="Arial" w:hAnsi="Arial"/>
          <w:color w:val="2C3E50"/>
          <w:sz w:val="22"/>
          <w:szCs w:val="22"/>
        </w:rPr>
        <w:t xml:space="preserve">This document presents the complete design output for the Smart Library Request Workflow. It covers the system's layered architecture, the entity design of both custom tables, the step-by-step workflow logic, the user interface structure, the security model, and the reporting framework. Together, these design artefacts constitute the authoritative reference against which all development activities are planned and all completed components are validated.</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space="0"/>
              <w:bottom w:val="single" w:color="BDD7EE" w:sz="1"/>
              <w:right w:val="single" w:color="BDD7EE" w:sz="1"/>
            </w:tcBorders>
            <w:shd w:fill="EBF3FB" w:val="clear"/>
            <w:tcMar>
              <w:top w:type="dxa" w:w="140"/>
              <w:left w:type="dxa" w:w="220"/>
              <w:bottom w:type="dxa" w:w="140"/>
              <w:right w:type="dxa" w:w="220"/>
            </w:tcMar>
          </w:tcPr>
          <w:p>
            <w:pPr>
              <w:spacing w:before="0" w:after="40"/>
            </w:pPr>
            <w:r>
              <w:rPr>
                <w:rFonts w:ascii="Arial" w:cs="Arial" w:eastAsia="Arial" w:hAnsi="Arial"/>
                <w:b/>
                <w:bCs/>
                <w:color w:val="2E75B6"/>
                <w:sz w:val="21"/>
                <w:szCs w:val="21"/>
              </w:rPr>
              <w:t xml:space="preserve">Design Principle</w:t>
            </w:r>
          </w:p>
          <w:p>
            <w:pPr>
              <w:jc w:val="both"/>
            </w:pPr>
            <w:r>
              <w:rPr>
                <w:rFonts w:ascii="Arial" w:cs="Arial" w:eastAsia="Arial" w:hAnsi="Arial"/>
                <w:color w:val="1A3A5F"/>
                <w:sz w:val="21"/>
                <w:szCs w:val="21"/>
              </w:rPr>
              <w:t xml:space="preserve">Every structural decision documented in this phase is traceable to a requirement established during the Requirement Analysis Phase. The design introduces no capabilities that have not been explicitly required, and omits no capability that has been formally specified.</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2. </w:t>
      </w:r>
      <w:r>
        <w:rPr>
          <w:rFonts w:ascii="Arial" w:cs="Arial" w:eastAsia="Arial" w:hAnsi="Arial"/>
          <w:b/>
          <w:bCs/>
          <w:color w:val="1F3864"/>
          <w:sz w:val="30"/>
          <w:szCs w:val="30"/>
        </w:rPr>
        <w:t xml:space="preserve">System Architecture Design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Smart Library Request Workflow is designed as a five-layer application within the ServiceNow platform. Each layer has a distinct responsibility, and the layers interact in a strictly controlled manner to ensure that data flows securely from user interaction through to persistent storage and analytical output. This layered architecture is a deliberate design choice: it ensures that changes to one layer — such as the modification of a workflow step or the addition of a new report — can be made without requiring structural changes to any other layer.</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2E4A7A"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Layer</w:t>
            </w:r>
          </w:p>
        </w:tc>
        <w:tc>
          <w:tcPr>
            <w:tcW w:type="dxa" w:w="6960"/>
            <w:tcBorders>
              <w:top w:val="single" w:color="BDD7EE" w:sz="1"/>
              <w:left w:val="single" w:color="BDD7EE" w:sz="1"/>
              <w:bottom w:val="single" w:color="BDD7EE" w:sz="1"/>
              <w:right w:val="single" w:color="BDD7EE" w:sz="1"/>
            </w:tcBorders>
            <w:shd w:fill="2E4A7A" w:val="clear"/>
            <w:tcMar>
              <w:top w:type="dxa" w:w="100"/>
              <w:left w:type="dxa" w:w="200"/>
              <w:bottom w:type="dxa" w:w="100"/>
              <w:right w:type="dxa" w:w="180"/>
            </w:tcMar>
          </w:tcPr>
          <w:p>
            <w:r>
              <w:rPr>
                <w:rFonts w:ascii="Arial" w:cs="Arial" w:eastAsia="Arial" w:hAnsi="Arial"/>
                <w:b/>
                <w:bCs/>
                <w:color w:val="FFFFFF"/>
                <w:sz w:val="20"/>
                <w:szCs w:val="20"/>
              </w:rPr>
              <w:t xml:space="preserve">Components and Responsibilities</w:t>
            </w:r>
          </w:p>
        </w:tc>
      </w:tr>
      <w:tr>
        <w:tc>
          <w:tcPr>
            <w:tcW w:type="dxa" w:w="2400"/>
            <w:tcBorders>
              <w:top w:val="single" w:color="BDD7EE" w:sz="1"/>
              <w:left w:val="single" w:color="BDD7EE" w:sz="1"/>
              <w:bottom w:val="single" w:color="BDD7EE" w:sz="1"/>
              <w:right w:val="single" w:color="BDD7EE" w:sz="1"/>
            </w:tcBorders>
            <w:shd w:fill="D6EAF8" w:val="clear"/>
            <w:tcMar>
              <w:top w:type="dxa" w:w="130"/>
              <w:left w:type="dxa" w:w="180"/>
              <w:bottom w:type="dxa" w:w="130"/>
              <w:right w:type="dxa" w:w="180"/>
            </w:tcMar>
          </w:tcPr>
          <w:p>
            <w:pPr>
              <w:jc w:val="center"/>
            </w:pPr>
            <w:r>
              <w:rPr>
                <w:rFonts w:ascii="Arial" w:cs="Arial" w:eastAsia="Arial" w:hAnsi="Arial"/>
                <w:b/>
                <w:bCs/>
                <w:color w:val="2E4A7A"/>
                <w:sz w:val="20"/>
                <w:szCs w:val="20"/>
              </w:rPr>
              <w:t xml:space="preserve">Presentation Layer</w:t>
            </w:r>
          </w:p>
        </w:tc>
        <w:tc>
          <w:tcPr>
            <w:tcW w:type="dxa" w:w="6960"/>
            <w:tcBorders>
              <w:top w:val="single" w:color="BDD7EE" w:sz="1"/>
              <w:left w:val="single" w:color="BDD7EE" w:sz="1"/>
              <w:bottom w:val="single" w:color="BDD7EE" w:sz="1"/>
              <w:right w:val="single" w:color="BDD7EE" w:sz="1"/>
            </w:tcBorders>
            <w:shd w:fill="F5F7FA" w:val="clear"/>
            <w:tcMar>
              <w:top w:type="dxa" w:w="130"/>
              <w:left w:type="dxa" w:w="200"/>
              <w:bottom w:type="dxa" w:w="130"/>
              <w:right w:type="dxa" w:w="180"/>
            </w:tcMar>
          </w:tcPr>
          <w:p>
            <w:pPr>
              <w:jc w:val="both"/>
            </w:pPr>
            <w:r>
              <w:rPr>
                <w:rFonts w:ascii="Arial" w:cs="Arial" w:eastAsia="Arial" w:hAnsi="Arial"/>
                <w:color w:val="2C3E50"/>
                <w:sz w:val="20"/>
                <w:szCs w:val="20"/>
              </w:rPr>
              <w:t xml:space="preserve">ServiceNow self-service portal forms, custom list views, and UI Policies. Provides role-differentiated interfaces for Students (request submission) and Librarians (inventory management and approvals).</w:t>
            </w:r>
          </w:p>
        </w:tc>
      </w:tr>
      <w:tr>
        <w:tc>
          <w:tcPr>
            <w:tcW w:type="dxa" w:w="2400"/>
            <w:tcBorders>
              <w:top w:val="single" w:color="BDD7EE" w:sz="1"/>
              <w:left w:val="single" w:color="BDD7EE" w:sz="1"/>
              <w:bottom w:val="single" w:color="BDD7EE" w:sz="1"/>
              <w:right w:val="single" w:color="BDD7EE" w:sz="1"/>
            </w:tcBorders>
            <w:shd w:fill="D5F5E3" w:val="clear"/>
            <w:tcMar>
              <w:top w:type="dxa" w:w="130"/>
              <w:left w:type="dxa" w:w="180"/>
              <w:bottom w:type="dxa" w:w="130"/>
              <w:right w:type="dxa" w:w="180"/>
            </w:tcMar>
          </w:tcPr>
          <w:p>
            <w:pPr>
              <w:jc w:val="center"/>
            </w:pPr>
            <w:r>
              <w:rPr>
                <w:rFonts w:ascii="Arial" w:cs="Arial" w:eastAsia="Arial" w:hAnsi="Arial"/>
                <w:b/>
                <w:bCs/>
                <w:color w:val="1E6B3C"/>
                <w:sz w:val="20"/>
                <w:szCs w:val="20"/>
              </w:rPr>
              <w:t xml:space="preserve">Application Logic Layer</w:t>
            </w:r>
          </w:p>
        </w:tc>
        <w:tc>
          <w:tcPr>
            <w:tcW w:type="dxa" w:w="6960"/>
            <w:tcBorders>
              <w:top w:val="single" w:color="BDD7EE" w:sz="1"/>
              <w:left w:val="single" w:color="BDD7EE" w:sz="1"/>
              <w:bottom w:val="single" w:color="BDD7EE" w:sz="1"/>
              <w:right w:val="single" w:color="BDD7EE" w:sz="1"/>
            </w:tcBorders>
            <w:shd w:fill="F5F7FA" w:val="clear"/>
            <w:tcMar>
              <w:top w:type="dxa" w:w="130"/>
              <w:left w:type="dxa" w:w="200"/>
              <w:bottom w:type="dxa" w:w="130"/>
              <w:right w:type="dxa" w:w="180"/>
            </w:tcMar>
          </w:tcPr>
          <w:p>
            <w:pPr>
              <w:jc w:val="both"/>
            </w:pPr>
            <w:r>
              <w:rPr>
                <w:rFonts w:ascii="Arial" w:cs="Arial" w:eastAsia="Arial" w:hAnsi="Arial"/>
                <w:color w:val="2C3E50"/>
                <w:sz w:val="20"/>
                <w:szCs w:val="20"/>
              </w:rPr>
              <w:t xml:space="preserve">Flow Designer workflows, business rules, and reference qualifiers. Governs the approval lifecycle, automates status transitions, and enforces data validation at the point of submission.</w:t>
            </w:r>
          </w:p>
        </w:tc>
      </w:tr>
      <w:tr>
        <w:tc>
          <w:tcPr>
            <w:tcW w:type="dxa" w:w="2400"/>
            <w:tcBorders>
              <w:top w:val="single" w:color="BDD7EE" w:sz="1"/>
              <w:left w:val="single" w:color="BDD7EE" w:sz="1"/>
              <w:bottom w:val="single" w:color="BDD7EE" w:sz="1"/>
              <w:right w:val="single" w:color="BDD7EE" w:sz="1"/>
            </w:tcBorders>
            <w:shd w:fill="FEF9E7" w:val="clear"/>
            <w:tcMar>
              <w:top w:type="dxa" w:w="130"/>
              <w:left w:type="dxa" w:w="180"/>
              <w:bottom w:type="dxa" w:w="130"/>
              <w:right w:type="dxa" w:w="180"/>
            </w:tcMar>
          </w:tcPr>
          <w:p>
            <w:pPr>
              <w:jc w:val="center"/>
            </w:pPr>
            <w:r>
              <w:rPr>
                <w:rFonts w:ascii="Arial" w:cs="Arial" w:eastAsia="Arial" w:hAnsi="Arial"/>
                <w:b/>
                <w:bCs/>
                <w:color w:val="7D5A00"/>
                <w:sz w:val="20"/>
                <w:szCs w:val="20"/>
              </w:rPr>
              <w:t xml:space="preserve">Access Control Layer</w:t>
            </w:r>
          </w:p>
        </w:tc>
        <w:tc>
          <w:tcPr>
            <w:tcW w:type="dxa" w:w="6960"/>
            <w:tcBorders>
              <w:top w:val="single" w:color="BDD7EE" w:sz="1"/>
              <w:left w:val="single" w:color="BDD7EE" w:sz="1"/>
              <w:bottom w:val="single" w:color="BDD7EE" w:sz="1"/>
              <w:right w:val="single" w:color="BDD7EE" w:sz="1"/>
            </w:tcBorders>
            <w:shd w:fill="F5F7FA" w:val="clear"/>
            <w:tcMar>
              <w:top w:type="dxa" w:w="130"/>
              <w:left w:type="dxa" w:w="200"/>
              <w:bottom w:type="dxa" w:w="130"/>
              <w:right w:type="dxa" w:w="180"/>
            </w:tcMar>
          </w:tcPr>
          <w:p>
            <w:pPr>
              <w:jc w:val="both"/>
            </w:pPr>
            <w:r>
              <w:rPr>
                <w:rFonts w:ascii="Arial" w:cs="Arial" w:eastAsia="Arial" w:hAnsi="Arial"/>
                <w:color w:val="2C3E50"/>
                <w:sz w:val="20"/>
                <w:szCs w:val="20"/>
              </w:rPr>
              <w:t xml:space="preserve">Access Control Lists (ACLs) scoped to the lib_student and lib_librarian roles. Enforces least-privilege permissions on all CRUD operations across both custom tables.</w:t>
            </w:r>
          </w:p>
        </w:tc>
      </w:tr>
      <w:tr>
        <w:tc>
          <w:tcPr>
            <w:tcW w:type="dxa" w:w="2400"/>
            <w:tcBorders>
              <w:top w:val="single" w:color="BDD7EE" w:sz="1"/>
              <w:left w:val="single" w:color="BDD7EE" w:sz="1"/>
              <w:bottom w:val="single" w:color="BDD7EE" w:sz="1"/>
              <w:right w:val="single" w:color="BDD7EE" w:sz="1"/>
            </w:tcBorders>
            <w:shd w:fill="F5EEF8" w:val="clear"/>
            <w:tcMar>
              <w:top w:type="dxa" w:w="130"/>
              <w:left w:type="dxa" w:w="180"/>
              <w:bottom w:type="dxa" w:w="130"/>
              <w:right w:type="dxa" w:w="180"/>
            </w:tcMar>
          </w:tcPr>
          <w:p>
            <w:pPr>
              <w:jc w:val="center"/>
            </w:pPr>
            <w:r>
              <w:rPr>
                <w:rFonts w:ascii="Arial" w:cs="Arial" w:eastAsia="Arial" w:hAnsi="Arial"/>
                <w:b/>
                <w:bCs/>
                <w:color w:val="4A235A"/>
                <w:sz w:val="20"/>
                <w:szCs w:val="20"/>
              </w:rPr>
              <w:t xml:space="preserve">Data Layer</w:t>
            </w:r>
          </w:p>
        </w:tc>
        <w:tc>
          <w:tcPr>
            <w:tcW w:type="dxa" w:w="6960"/>
            <w:tcBorders>
              <w:top w:val="single" w:color="BDD7EE" w:sz="1"/>
              <w:left w:val="single" w:color="BDD7EE" w:sz="1"/>
              <w:bottom w:val="single" w:color="BDD7EE" w:sz="1"/>
              <w:right w:val="single" w:color="BDD7EE" w:sz="1"/>
            </w:tcBorders>
            <w:shd w:fill="F5F7FA" w:val="clear"/>
            <w:tcMar>
              <w:top w:type="dxa" w:w="130"/>
              <w:left w:type="dxa" w:w="200"/>
              <w:bottom w:type="dxa" w:w="130"/>
              <w:right w:type="dxa" w:w="180"/>
            </w:tcMar>
          </w:tcPr>
          <w:p>
            <w:pPr>
              <w:jc w:val="both"/>
            </w:pPr>
            <w:r>
              <w:rPr>
                <w:rFonts w:ascii="Arial" w:cs="Arial" w:eastAsia="Arial" w:hAnsi="Arial"/>
                <w:color w:val="2C3E50"/>
                <w:sz w:val="20"/>
                <w:szCs w:val="20"/>
              </w:rPr>
              <w:t xml:space="preserve">Custom tables u_book and u_borrow_request within the scoped ServiceNow application. Stores all catalogue and transaction records; provides the data source for workflow logic and reporting.</w:t>
            </w:r>
          </w:p>
        </w:tc>
      </w:tr>
      <w:tr>
        <w:tc>
          <w:tcPr>
            <w:tcW w:type="dxa" w:w="2400"/>
            <w:tcBorders>
              <w:top w:val="single" w:color="BDD7EE" w:sz="1"/>
              <w:left w:val="single" w:color="BDD7EE" w:sz="1"/>
              <w:bottom w:val="single" w:color="BDD7EE" w:sz="1"/>
              <w:right w:val="single" w:color="BDD7EE" w:sz="1"/>
            </w:tcBorders>
            <w:shd w:fill="E6F4F4" w:val="clear"/>
            <w:tcMar>
              <w:top w:type="dxa" w:w="130"/>
              <w:left w:type="dxa" w:w="180"/>
              <w:bottom w:type="dxa" w:w="130"/>
              <w:right w:type="dxa" w:w="180"/>
            </w:tcMar>
          </w:tcPr>
          <w:p>
            <w:pPr>
              <w:jc w:val="center"/>
            </w:pPr>
            <w:r>
              <w:rPr>
                <w:rFonts w:ascii="Arial" w:cs="Arial" w:eastAsia="Arial" w:hAnsi="Arial"/>
                <w:b/>
                <w:bCs/>
                <w:color w:val="117A7A"/>
                <w:sz w:val="20"/>
                <w:szCs w:val="20"/>
              </w:rPr>
              <w:t xml:space="preserve">Reporting Layer</w:t>
            </w:r>
          </w:p>
        </w:tc>
        <w:tc>
          <w:tcPr>
            <w:tcW w:type="dxa" w:w="6960"/>
            <w:tcBorders>
              <w:top w:val="single" w:color="BDD7EE" w:sz="1"/>
              <w:left w:val="single" w:color="BDD7EE" w:sz="1"/>
              <w:bottom w:val="single" w:color="BDD7EE" w:sz="1"/>
              <w:right w:val="single" w:color="BDD7EE" w:sz="1"/>
            </w:tcBorders>
            <w:shd w:fill="F5F7FA" w:val="clear"/>
            <w:tcMar>
              <w:top w:type="dxa" w:w="130"/>
              <w:left w:type="dxa" w:w="200"/>
              <w:bottom w:type="dxa" w:w="130"/>
              <w:right w:type="dxa" w:w="180"/>
            </w:tcMar>
          </w:tcPr>
          <w:p>
            <w:pPr>
              <w:jc w:val="both"/>
            </w:pPr>
            <w:r>
              <w:rPr>
                <w:rFonts w:ascii="Arial" w:cs="Arial" w:eastAsia="Arial" w:hAnsi="Arial"/>
                <w:color w:val="2C3E50"/>
                <w:sz w:val="20"/>
                <w:szCs w:val="20"/>
              </w:rPr>
              <w:t xml:space="preserve">ServiceNow Report Builder producing live analytical views from transactional data. Accessible exclusively to users with the lib_librarian role.</w:t>
            </w:r>
          </w:p>
        </w:tc>
      </w:tr>
    </w:tbl>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2.1  Presentation Layer</w:t>
      </w:r>
    </w:p>
    <w:p>
      <w:pPr>
        <w:spacing w:before="80" w:after="80" w:line="280"/>
        <w:jc w:val="both"/>
      </w:pPr>
      <w:r>
        <w:rPr>
          <w:rFonts w:ascii="Arial" w:cs="Arial" w:eastAsia="Arial" w:hAnsi="Arial"/>
          <w:color w:val="2C3E50"/>
          <w:sz w:val="22"/>
          <w:szCs w:val="22"/>
        </w:rPr>
        <w:t xml:space="preserve">The presentation layer is the sole point of interaction between human users and the system. It comprises the ServiceNow portal forms through which students submit borrow requests and browse available books, the list views and record forms through which librarians manage the catalogue and process approvals, and the UI Policies that dynamically adjust form behaviour based on record state and user role. The presentation layer is deliberately designed to present each user group with only the fields, actions, and records that are relevant to their role, reducing cognitive load and minimising the risk of accidental data modification.</w:t>
      </w:r>
    </w:p>
    <w:p>
      <w:pPr>
        <w:spacing w:before="220" w:after="80"/>
      </w:pPr>
      <w:r>
        <w:rPr>
          <w:rFonts w:ascii="Arial" w:cs="Arial" w:eastAsia="Arial" w:hAnsi="Arial"/>
          <w:b/>
          <w:bCs/>
          <w:color w:val="2E4A7A"/>
          <w:sz w:val="24"/>
          <w:szCs w:val="24"/>
        </w:rPr>
        <w:t xml:space="preserve">2.2  Application Logic Layer</w:t>
      </w:r>
    </w:p>
    <w:p>
      <w:pPr>
        <w:spacing w:before="80" w:after="80" w:line="280"/>
        <w:jc w:val="both"/>
      </w:pPr>
      <w:r>
        <w:rPr>
          <w:rFonts w:ascii="Arial" w:cs="Arial" w:eastAsia="Arial" w:hAnsi="Arial"/>
          <w:color w:val="2C3E50"/>
          <w:sz w:val="22"/>
          <w:szCs w:val="22"/>
        </w:rPr>
        <w:t xml:space="preserve">The application logic layer contains all automated business rules that govern how the system responds to user actions and data changes. The primary component of this layer is the Flow Designer workflow, which manages the complete borrowing lifecycle from request submission to return confirmation. This layer also contains the reference qualifier applied to the book selection field, which enforces the rule that only available books may be requested. By centralising all business logic in this layer, the design ensures that rules are applied consistently regardless of the interface or method through which data is submitted.</w:t>
      </w:r>
    </w:p>
    <w:p>
      <w:pPr>
        <w:spacing w:before="220" w:after="80"/>
      </w:pPr>
      <w:r>
        <w:rPr>
          <w:rFonts w:ascii="Arial" w:cs="Arial" w:eastAsia="Arial" w:hAnsi="Arial"/>
          <w:b/>
          <w:bCs/>
          <w:color w:val="2E4A7A"/>
          <w:sz w:val="24"/>
          <w:szCs w:val="24"/>
        </w:rPr>
        <w:t xml:space="preserve">2.3  Access Control Layer</w:t>
      </w:r>
    </w:p>
    <w:p>
      <w:pPr>
        <w:spacing w:before="80" w:after="80" w:line="280"/>
        <w:jc w:val="both"/>
      </w:pPr>
      <w:r>
        <w:rPr>
          <w:rFonts w:ascii="Arial" w:cs="Arial" w:eastAsia="Arial" w:hAnsi="Arial"/>
          <w:color w:val="2C3E50"/>
          <w:sz w:val="22"/>
          <w:szCs w:val="22"/>
        </w:rPr>
        <w:t xml:space="preserve">The access control layer enforces the principle of least privilege across all data operations. It sits between the presentation and data layers, intercepting every create, read, write, and delete operation and evaluating it against the Access Control Lists configured for the requesting user's role. This layer is the system's primary security boundary. Its position between the interface and the data layer ensures that security enforcement cannot be bypassed through the presentation layer — even if a UI Policy fails to hide a field, the ACL prevents the underlying data from being modified by an unauthorised user.</w:t>
      </w:r>
    </w:p>
    <w:p>
      <w:pPr>
        <w:spacing w:before="220" w:after="80"/>
      </w:pPr>
      <w:r>
        <w:rPr>
          <w:rFonts w:ascii="Arial" w:cs="Arial" w:eastAsia="Arial" w:hAnsi="Arial"/>
          <w:b/>
          <w:bCs/>
          <w:color w:val="2E4A7A"/>
          <w:sz w:val="24"/>
          <w:szCs w:val="24"/>
        </w:rPr>
        <w:t xml:space="preserve">2.4  Data Layer</w:t>
      </w:r>
    </w:p>
    <w:p>
      <w:pPr>
        <w:spacing w:before="80" w:after="80" w:line="280"/>
        <w:jc w:val="both"/>
      </w:pPr>
      <w:r>
        <w:rPr>
          <w:rFonts w:ascii="Arial" w:cs="Arial" w:eastAsia="Arial" w:hAnsi="Arial"/>
          <w:color w:val="2C3E50"/>
          <w:sz w:val="22"/>
          <w:szCs w:val="22"/>
        </w:rPr>
        <w:t xml:space="preserve">The data layer comprises the two custom tables — u_book and u_borrow_request — that store all persistent information within the system. These tables hold the library catalogue, the transaction history of every borrowing request, and the metadata necessary to support workflow automation and reporting. The data layer is designed with referential integrity in mind: the u_borrow_request table holds a reference field linking each request to a specific book record, ensuring that no transaction can exist without a valid catalogue entry.</w:t>
      </w:r>
    </w:p>
    <w:p>
      <w:pPr>
        <w:spacing w:before="220" w:after="80"/>
      </w:pPr>
      <w:r>
        <w:rPr>
          <w:rFonts w:ascii="Arial" w:cs="Arial" w:eastAsia="Arial" w:hAnsi="Arial"/>
          <w:b/>
          <w:bCs/>
          <w:color w:val="2E4A7A"/>
          <w:sz w:val="24"/>
          <w:szCs w:val="24"/>
        </w:rPr>
        <w:t xml:space="preserve">2.5  Reporting Layer</w:t>
      </w:r>
    </w:p>
    <w:p>
      <w:pPr>
        <w:spacing w:before="80" w:after="80" w:line="280"/>
        <w:jc w:val="both"/>
      </w:pPr>
      <w:r>
        <w:rPr>
          <w:rFonts w:ascii="Arial" w:cs="Arial" w:eastAsia="Arial" w:hAnsi="Arial"/>
          <w:color w:val="2C3E50"/>
          <w:sz w:val="22"/>
          <w:szCs w:val="22"/>
        </w:rPr>
        <w:t xml:space="preserve">The reporting layer sits above the data layer and provides read-only analytical access to the information stored within it. It comprises the pre-configured ServiceNow reports that aggregate and visualise transactional data for library management and institutional decision-makers. The reporting layer is read-only by design — report execution does not modify any underlying data — and access is restricted to users with the lib_librarian role to ensure that operational insights remain within the appropriate governance boundary.</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3. </w:t>
      </w:r>
      <w:r>
        <w:rPr>
          <w:rFonts w:ascii="Arial" w:cs="Arial" w:eastAsia="Arial" w:hAnsi="Arial"/>
          <w:b/>
          <w:bCs/>
          <w:color w:val="1F3864"/>
          <w:sz w:val="30"/>
          <w:szCs w:val="30"/>
        </w:rPr>
        <w:t xml:space="preserve">Data Model Design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data model defines the structural foundation of the Smart Library Request Workflow. It specifies the tables that store system data, the fields within each table, and the relationships between tables that enable the system to associate borrowing transactions with specific catalogue entries. The data model was designed to satisfy all data requirements identified during the Requirement Analysis Phase while maintaining the simplicity necessary for efficient maintenance and future extensibility.</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9360"/>
            <w:gridSpan w:val="4"/>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Book Table</w:t>
            </w:r>
            <w:r>
              <w:rPr>
                <w:rFonts w:ascii="Arial" w:cs="Arial" w:eastAsia="Arial" w:hAnsi="Arial"/>
                <w:color w:val="BDD7EE"/>
                <w:sz w:val="20"/>
                <w:szCs w:val="20"/>
              </w:rPr>
              <w:t xml:space="preserve">  —  u_book</w:t>
            </w:r>
          </w:p>
        </w:tc>
      </w:tr>
      <w:tr>
        <w:tc>
          <w:tcPr>
            <w:tcW w:type="dxa" w:w="22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Field Label</w:t>
            </w:r>
          </w:p>
        </w:tc>
        <w:tc>
          <w:tcPr>
            <w:tcW w:type="dxa" w:w="18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22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316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Title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u_title</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String (255)</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The full title of the book as it appears on the cover. Mandatory; unique constraint applied to prevent duplicate catalogue entries.</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Author</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u_author</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String (255)</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The name of the primary author or editor of the title. Mandatory field; free-text entry.</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ISBN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u_isbn</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String (20)</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International Standard Book Number for the edition. Field-level validation enforces ISBN-10 or ISBN-13 format.</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Category</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u_category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Choice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Subject classification. Controlled choice list: Science, Engineering, Arts, Law, General. Used for category-level reporting.</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Status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u_status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Choice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Current availability state: Available, Issued, or Lost. Default value: Available. Drives the reference qualifier and is updated automatically by the workflow.</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Added By</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u_added_by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Reference (sys_user)</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Auto-populated with the logged-in user's record on creation. Identifies the librarian who added the title.</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Date Added</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u_date_added</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Date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Auto-populated with the current date on creation. Supports date-range filtering in inventory reports.</w:t>
            </w:r>
          </w:p>
        </w:tc>
      </w:tr>
    </w:tbl>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9360"/>
            <w:gridSpan w:val="4"/>
            <w:tcBorders>
              <w:top w:val="single" w:color="BDD7EE" w:sz="1"/>
              <w:left w:val="single" w:color="BDD7EE" w:sz="1"/>
              <w:bottom w:val="single" w:color="BDD7EE" w:sz="1"/>
              <w:right w:val="single" w:color="BDD7EE" w:sz="1"/>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Borrow Request Table</w:t>
            </w:r>
            <w:r>
              <w:rPr>
                <w:rFonts w:ascii="Arial" w:cs="Arial" w:eastAsia="Arial" w:hAnsi="Arial"/>
                <w:color w:val="BDD7EE"/>
                <w:sz w:val="20"/>
                <w:szCs w:val="20"/>
              </w:rPr>
              <w:t xml:space="preserve">  —  u_borrow_request</w:t>
            </w:r>
          </w:p>
        </w:tc>
      </w:tr>
      <w:tr>
        <w:tc>
          <w:tcPr>
            <w:tcW w:type="dxa" w:w="22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Field Label</w:t>
            </w:r>
          </w:p>
        </w:tc>
        <w:tc>
          <w:tcPr>
            <w:tcW w:type="dxa" w:w="18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Field Name</w:t>
            </w:r>
          </w:p>
        </w:tc>
        <w:tc>
          <w:tcPr>
            <w:tcW w:type="dxa" w:w="22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316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Requested By</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u_requested_by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Reference (sys_user)</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Auto-populated with the session user's record on creation. Identifies the student who submitted the request. Read-only after creation.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Book</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u_book</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Reference (u_book)</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References the Book table. Subject to a reference qualifier restricting selection to records with u_status = Available. Mandatory field.</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Request Date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u_request_date</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Date/Time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Auto-populated with the current date and time on creation. Read-only; immutable after submission.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Status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u_status</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Choice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Lifecycle status: Requested, Approved, Rejected, or Returned. Default: Requested. Updated automatically by the workflow at each stage.</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Approved By</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u_approved_by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Reference (sys_user)</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Populated by the workflow with the librarian who took the approval or rejection action. Not visible on the student-facing form.</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Decision Date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u_decision_date</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Date/Time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Auto-populated by the workflow at the moment of the librarian's approval or rejection action.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Expected Return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u_expected_return</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Date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Set by the librarian upon approval. Made mandatory by UI Policy when status transitions to Approved. Used for overdue tracking.</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Actual Return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u_actual_return</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Date</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Recorded by the librarian on physical book return. Triggers the workflow action that resets the Book record status to Available.</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Rejection Reason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Courier New" w:cs="Courier New" w:eastAsia="Courier New" w:hAnsi="Courier New"/>
                <w:color w:val="117A7A"/>
                <w:sz w:val="19"/>
                <w:szCs w:val="19"/>
              </w:rPr>
              <w:t xml:space="preserve">u_rejection_reason</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19"/>
                <w:szCs w:val="19"/>
              </w:rPr>
              <w:t xml:space="preserve">String (500)</w:t>
            </w:r>
          </w:p>
        </w:tc>
        <w:tc>
          <w:tcPr>
            <w:tcW w:type="dxa" w:w="3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pPr>
              <w:jc w:val="both"/>
            </w:pPr>
            <w:r>
              <w:rPr>
                <w:rFonts w:ascii="Arial" w:cs="Arial" w:eastAsia="Arial" w:hAnsi="Arial"/>
                <w:color w:val="2C3E50"/>
                <w:sz w:val="19"/>
                <w:szCs w:val="19"/>
              </w:rPr>
              <w:t xml:space="preserve">Explanation provided by the librarian when rejecting a request. Included in the automated rejection notification email.</w:t>
            </w:r>
          </w:p>
        </w:tc>
      </w:tr>
    </w:tbl>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3.1  Table Relationship</w:t>
      </w:r>
    </w:p>
    <w:p>
      <w:pPr>
        <w:spacing w:before="80" w:after="80" w:line="280"/>
        <w:jc w:val="both"/>
      </w:pPr>
      <w:r>
        <w:rPr>
          <w:rFonts w:ascii="Arial" w:cs="Arial" w:eastAsia="Arial" w:hAnsi="Arial"/>
          <w:color w:val="2C3E50"/>
          <w:sz w:val="22"/>
          <w:szCs w:val="22"/>
        </w:rPr>
        <w:t xml:space="preserve">The relationship between the two tables is a one-to-many association implemented through the u_book reference field on the Borrow Request table. A single Book record may be referenced by multiple Borrow Request records over time, accumulating a complete borrowing history for each title. At any given point in time, however, the reference qualifier and business rules ensure that only one active Borrow Request (with a status of Approved) can exist for a given book simultaneously, preserving inventory integrity.</w:t>
      </w:r>
    </w:p>
    <w:p>
      <w:pPr>
        <w:spacing w:before="80" w:after="80" w:line="280"/>
        <w:jc w:val="both"/>
      </w:pPr>
      <w:r>
        <w:rPr>
          <w:rFonts w:ascii="Arial" w:cs="Arial" w:eastAsia="Arial" w:hAnsi="Arial"/>
          <w:color w:val="2C3E50"/>
          <w:sz w:val="22"/>
          <w:szCs w:val="22"/>
        </w:rPr>
        <w:t xml:space="preserve">This relationship is fundamental to several system functions. The workflow relies on it to locate and update the correct Book record when a request is approved or a return is confirmed. The Most Borrowed Books report aggregates approved requests by their associated book reference to produce a utilisation ranking. The related list configured on the Book form displays all historical Borrow Request records associated with a given title, providing librarians with a complete at-a-glance borrowing history without navigating away from the book record.</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4. </w:t>
      </w:r>
      <w:r>
        <w:rPr>
          <w:rFonts w:ascii="Arial" w:cs="Arial" w:eastAsia="Arial" w:hAnsi="Arial"/>
          <w:b/>
          <w:bCs/>
          <w:color w:val="1F3864"/>
          <w:sz w:val="30"/>
          <w:szCs w:val="30"/>
        </w:rPr>
        <w:t xml:space="preserve">Workflow Design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workflow design defines the automated logic that governs the borrowing lifecycle from initial request submission to final return confirmation. The workflow was designed using ServiceNow Flow Designer and follows a linear sequence with a single decision branch at the approval stage. The design prioritises clarity and auditability: every state transition is recorded on the Borrow Request record with a timestamp and actor reference, and every stakeholder receives a notification at each stage that directly affects them.</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01</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Student</w:t>
            </w:r>
          </w:p>
        </w:tc>
        <w:tc>
          <w:tcPr>
            <w:tcW w:type="dxa" w:w="69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1"/>
                <w:szCs w:val="21"/>
              </w:rPr>
              <w:t xml:space="preserve">Submit Borrow Request</w:t>
            </w:r>
          </w:p>
          <w:p>
            <w:pPr>
              <w:spacing w:before="40"/>
              <w:jc w:val="both"/>
            </w:pPr>
            <w:r>
              <w:rPr>
                <w:rFonts w:ascii="Arial" w:cs="Arial" w:eastAsia="Arial" w:hAnsi="Arial"/>
                <w:color w:val="2C3E50"/>
                <w:sz w:val="20"/>
                <w:szCs w:val="20"/>
              </w:rPr>
              <w:t xml:space="preserve">The student selects an available book from the reference-qualified book field and submits the Borrow Request form. The record is created with a status of Requested and the current timestamp is auto-populated in the u_request_date field. This action triggers the workflow.</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02</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System</w:t>
            </w:r>
          </w:p>
        </w:tc>
        <w:tc>
          <w:tcPr>
            <w:tcW w:type="dxa" w:w="69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1"/>
                <w:szCs w:val="21"/>
              </w:rPr>
              <w:t xml:space="preserve">Trigger Workflow and Acknowledge Student</w:t>
            </w:r>
          </w:p>
          <w:p>
            <w:pPr>
              <w:spacing w:before="40"/>
              <w:jc w:val="both"/>
            </w:pPr>
            <w:r>
              <w:rPr>
                <w:rFonts w:ascii="Arial" w:cs="Arial" w:eastAsia="Arial" w:hAnsi="Arial"/>
                <w:color w:val="2C3E50"/>
                <w:sz w:val="20"/>
                <w:szCs w:val="20"/>
              </w:rPr>
              <w:t xml:space="preserve">The Flow Designer trigger fires on record creation. The system immediately dispatches an acknowledgement email to the student confirming receipt of the request, including the book title and submission date. This notification sets expectations and confirms that the submission was successful.</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03</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System</w:t>
            </w:r>
          </w:p>
        </w:tc>
        <w:tc>
          <w:tcPr>
            <w:tcW w:type="dxa" w:w="69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1"/>
                <w:szCs w:val="21"/>
              </w:rPr>
              <w:t xml:space="preserve">Route Approval Task to Librarian Queue</w:t>
            </w:r>
          </w:p>
          <w:p>
            <w:pPr>
              <w:spacing w:before="40"/>
              <w:jc w:val="both"/>
            </w:pPr>
            <w:r>
              <w:rPr>
                <w:rFonts w:ascii="Arial" w:cs="Arial" w:eastAsia="Arial" w:hAnsi="Arial"/>
                <w:color w:val="2C3E50"/>
                <w:sz w:val="20"/>
                <w:szCs w:val="20"/>
              </w:rPr>
              <w:t xml:space="preserve">The workflow creates a structured approval task and assigns it to all users holding the lib_librarian role. The task is surfaced in the librarian's task list with the full request details. The workflow pauses and waits for a librarian response before proceeding.</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04</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Librarian</w:t>
            </w:r>
          </w:p>
        </w:tc>
        <w:tc>
          <w:tcPr>
            <w:tcW w:type="dxa" w:w="69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1"/>
                <w:szCs w:val="21"/>
              </w:rPr>
              <w:t xml:space="preserve">Review Request and Take Decision</w:t>
            </w:r>
          </w:p>
          <w:p>
            <w:pPr>
              <w:spacing w:before="40"/>
              <w:jc w:val="both"/>
            </w:pPr>
            <w:r>
              <w:rPr>
                <w:rFonts w:ascii="Arial" w:cs="Arial" w:eastAsia="Arial" w:hAnsi="Arial"/>
                <w:color w:val="2C3E50"/>
                <w:sz w:val="20"/>
                <w:szCs w:val="20"/>
              </w:rPr>
              <w:t xml:space="preserve">The librarian reviews the request details and selects either Approve or Reject. This action is recorded on the Borrow Request record: the u_approved_by field is populated with the librarian's user reference and u_decision_date is set to the current timestamp.</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05</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System</w:t>
            </w:r>
          </w:p>
        </w:tc>
        <w:tc>
          <w:tcPr>
            <w:tcW w:type="dxa" w:w="6960"/>
            <w:tcBorders>
              <w:top w:val="single" w:color="BDD7EE" w:sz="1"/>
              <w:left w:val="single" w:color="BDD7EE" w:sz="1"/>
              <w:bottom w:val="single" w:color="BDD7EE" w:sz="1"/>
              <w:right w:val="single" w:color="BDD7EE" w:sz="1"/>
            </w:tcBorders>
            <w:shd w:fill="E8F5EE" w:val="clear"/>
            <w:tcMar>
              <w:top w:type="dxa" w:w="120"/>
              <w:left w:type="dxa" w:w="200"/>
              <w:bottom w:type="dxa" w:w="120"/>
              <w:right w:type="dxa" w:w="160"/>
            </w:tcMar>
          </w:tcPr>
          <w:p>
            <w:r>
              <w:rPr>
                <w:rFonts w:ascii="Arial" w:cs="Arial" w:eastAsia="Arial" w:hAnsi="Arial"/>
                <w:b/>
                <w:bCs/>
                <w:color w:val="2E4A7A"/>
                <w:sz w:val="21"/>
                <w:szCs w:val="21"/>
              </w:rPr>
              <w:t xml:space="preserve">Branch — Approval Path: Update Book to Issued</w:t>
            </w:r>
          </w:p>
          <w:p>
            <w:pPr>
              <w:spacing w:before="40"/>
              <w:jc w:val="both"/>
            </w:pPr>
            <w:r>
              <w:rPr>
                <w:rFonts w:ascii="Arial" w:cs="Arial" w:eastAsia="Arial" w:hAnsi="Arial"/>
                <w:color w:val="2C3E50"/>
                <w:sz w:val="20"/>
                <w:szCs w:val="20"/>
              </w:rPr>
              <w:t xml:space="preserve">If the librarian approves, the workflow updates the u_status field on the referenced Book record from Available to Issued. This prevents the book from appearing in other students' reference-qualified selection lists. The u_expected_return date is recorded on the Borrow Request record.</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06</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System</w:t>
            </w:r>
          </w:p>
        </w:tc>
        <w:tc>
          <w:tcPr>
            <w:tcW w:type="dxa" w:w="6960"/>
            <w:tcBorders>
              <w:top w:val="single" w:color="BDD7EE" w:sz="1"/>
              <w:left w:val="single" w:color="BDD7EE" w:sz="1"/>
              <w:bottom w:val="single" w:color="BDD7EE" w:sz="1"/>
              <w:right w:val="single" w:color="BDD7EE" w:sz="1"/>
            </w:tcBorders>
            <w:shd w:fill="E8F5EE" w:val="clear"/>
            <w:tcMar>
              <w:top w:type="dxa" w:w="120"/>
              <w:left w:type="dxa" w:w="200"/>
              <w:bottom w:type="dxa" w:w="120"/>
              <w:right w:type="dxa" w:w="160"/>
            </w:tcMar>
          </w:tcPr>
          <w:p>
            <w:r>
              <w:rPr>
                <w:rFonts w:ascii="Arial" w:cs="Arial" w:eastAsia="Arial" w:hAnsi="Arial"/>
                <w:b/>
                <w:bCs/>
                <w:color w:val="2E4A7A"/>
                <w:sz w:val="21"/>
                <w:szCs w:val="21"/>
              </w:rPr>
              <w:t xml:space="preserve">Branch — Approval Path: Notify Student of Approval</w:t>
            </w:r>
          </w:p>
          <w:p>
            <w:pPr>
              <w:spacing w:before="40"/>
              <w:jc w:val="both"/>
            </w:pPr>
            <w:r>
              <w:rPr>
                <w:rFonts w:ascii="Arial" w:cs="Arial" w:eastAsia="Arial" w:hAnsi="Arial"/>
                <w:color w:val="2C3E50"/>
                <w:sz w:val="20"/>
                <w:szCs w:val="20"/>
              </w:rPr>
              <w:t xml:space="preserve">An approval confirmation email is dispatched to the student. The notification includes the book title, approval date, and expected return date, providing all information the student needs to collect the book.</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07</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System</w:t>
            </w:r>
          </w:p>
        </w:tc>
        <w:tc>
          <w:tcPr>
            <w:tcW w:type="dxa" w:w="6960"/>
            <w:tcBorders>
              <w:top w:val="single" w:color="BDD7EE" w:sz="1"/>
              <w:left w:val="single" w:color="BDD7EE" w:sz="1"/>
              <w:bottom w:val="single" w:color="BDD7EE" w:sz="1"/>
              <w:right w:val="single" w:color="BDD7EE" w:sz="1"/>
            </w:tcBorders>
            <w:shd w:fill="FDE8E8" w:val="clear"/>
            <w:tcMar>
              <w:top w:type="dxa" w:w="120"/>
              <w:left w:type="dxa" w:w="200"/>
              <w:bottom w:type="dxa" w:w="120"/>
              <w:right w:type="dxa" w:w="160"/>
            </w:tcMar>
          </w:tcPr>
          <w:p>
            <w:r>
              <w:rPr>
                <w:rFonts w:ascii="Arial" w:cs="Arial" w:eastAsia="Arial" w:hAnsi="Arial"/>
                <w:b/>
                <w:bCs/>
                <w:color w:val="2E4A7A"/>
                <w:sz w:val="21"/>
                <w:szCs w:val="21"/>
              </w:rPr>
              <w:t xml:space="preserve">Branch — Rejection Path: Notify Student of Rejection</w:t>
            </w:r>
          </w:p>
          <w:p>
            <w:pPr>
              <w:spacing w:before="40"/>
              <w:jc w:val="both"/>
            </w:pPr>
            <w:r>
              <w:rPr>
                <w:rFonts w:ascii="Arial" w:cs="Arial" w:eastAsia="Arial" w:hAnsi="Arial"/>
                <w:color w:val="2C3E50"/>
                <w:sz w:val="20"/>
                <w:szCs w:val="20"/>
              </w:rPr>
              <w:t xml:space="preserve">If the librarian rejects the request, the Borrow Request status is updated to Rejected and a rejection notification is sent to the student. The notification includes the rejection reason provided by the librarian.</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08</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Librarian</w:t>
            </w:r>
          </w:p>
        </w:tc>
        <w:tc>
          <w:tcPr>
            <w:tcW w:type="dxa" w:w="69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1"/>
                <w:szCs w:val="21"/>
              </w:rPr>
              <w:t xml:space="preserve">Confirm Book Return</w:t>
            </w:r>
          </w:p>
          <w:p>
            <w:pPr>
              <w:spacing w:before="40"/>
              <w:jc w:val="both"/>
            </w:pPr>
            <w:r>
              <w:rPr>
                <w:rFonts w:ascii="Arial" w:cs="Arial" w:eastAsia="Arial" w:hAnsi="Arial"/>
                <w:color w:val="2C3E50"/>
                <w:sz w:val="20"/>
                <w:szCs w:val="20"/>
              </w:rPr>
              <w:t xml:space="preserve">When the student returns the book, the librarian records the actual return date in the u_actual_return field on the Borrow Request record. This action triggers the final workflow step.</w:t>
            </w:r>
          </w:p>
        </w:tc>
      </w:tr>
    </w:tbl>
    <w:p>
      <w:pPr>
        <w:spacing w:before="55"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DD7EE" w:sz="1"/>
              <w:left w:val="single" w:color="BDD7EE" w:sz="1"/>
              <w:bottom w:val="single" w:color="BDD7EE" w:sz="1"/>
              <w:right w:val="single" w:color="BDD7EE" w:sz="1"/>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09</w:t>
            </w:r>
          </w:p>
        </w:tc>
        <w:tc>
          <w:tcPr>
            <w:tcW w:type="dxa" w:w="1800"/>
            <w:tcBorders>
              <w:top w:val="single" w:color="BDD7EE" w:sz="1"/>
              <w:left w:val="single" w:color="BDD7EE" w:sz="1"/>
              <w:bottom w:val="single" w:color="BDD7EE" w:sz="1"/>
              <w:right w:val="single" w:color="BDD7EE" w:sz="1"/>
            </w:tcBorders>
            <w:shd w:fill="2E4A7A"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System</w:t>
            </w:r>
          </w:p>
        </w:tc>
        <w:tc>
          <w:tcPr>
            <w:tcW w:type="dxa" w:w="69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1"/>
                <w:szCs w:val="21"/>
              </w:rPr>
              <w:t xml:space="preserve">Update Book to Available and Close Request</w:t>
            </w:r>
          </w:p>
          <w:p>
            <w:pPr>
              <w:spacing w:before="40"/>
              <w:jc w:val="both"/>
            </w:pPr>
            <w:r>
              <w:rPr>
                <w:rFonts w:ascii="Arial" w:cs="Arial" w:eastAsia="Arial" w:hAnsi="Arial"/>
                <w:color w:val="2C3E50"/>
                <w:sz w:val="20"/>
                <w:szCs w:val="20"/>
              </w:rPr>
              <w:t xml:space="preserve">The workflow detects the population of u_actual_return and automatically updates the Book record status from Issued to Available, making the title accessible for new requests. The Borrow Request status is updated to Returned, completing the transaction lifecycle.</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The workflow design achieves three critical outcomes simultaneously. It eliminates all manual notification and status update tasks, reducing the administrative burden on library staff. It ensures that the inventory record is always accurate, as book availability status is managed by the system rather than by manual data entry. And it provides a complete, timestamped audit trail of every decision and state change, supporting both operational oversight and institutional reporting.</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5. </w:t>
      </w:r>
      <w:r>
        <w:rPr>
          <w:rFonts w:ascii="Arial" w:cs="Arial" w:eastAsia="Arial" w:hAnsi="Arial"/>
          <w:b/>
          <w:bCs/>
          <w:color w:val="1F3864"/>
          <w:sz w:val="30"/>
          <w:szCs w:val="30"/>
        </w:rPr>
        <w:t xml:space="preserve">User Interface Design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user interface design defines the forms, fields, and behavioural rules that govern the experience of each user group within the system. The design prioritises role-appropriate simplicity: each user encounters only the fields and actions relevant to their function, with contextually irrelevant options hidden or disabled. This approach reduces the risk of user error, shortens the time required to complete routine tasks, and ensures that the system is accessible to users without technical training.</w:t>
      </w:r>
    </w:p>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5.1  Book Form (Librarian View)</w:t>
      </w:r>
    </w:p>
    <w:p>
      <w:pPr>
        <w:spacing w:before="80" w:after="80" w:line="280"/>
        <w:jc w:val="both"/>
      </w:pPr>
      <w:r>
        <w:rPr>
          <w:rFonts w:ascii="Arial" w:cs="Arial" w:eastAsia="Arial" w:hAnsi="Arial"/>
          <w:color w:val="2C3E50"/>
          <w:sz w:val="22"/>
          <w:szCs w:val="22"/>
        </w:rPr>
        <w:t xml:space="preserve">The Book form is the primary interface through which librarians manage the library catalogue. It presents all fields defined in the Book table data model, including title, author, ISBN, category, and status. The status field is displayed with a visual indicator reflecting the current state — green for Available, amber for Issued, and red for Lost — providing immediate, at-a-glance inventory awareness. A related list at the base of the form displays all Borrow Request records associated with the current book, giving the librarian a complete borrowing history without requiring a separate navigation step.</w:t>
      </w:r>
    </w:p>
    <w:p>
      <w:pPr>
        <w:spacing w:before="220" w:after="80"/>
      </w:pPr>
      <w:r>
        <w:rPr>
          <w:rFonts w:ascii="Arial" w:cs="Arial" w:eastAsia="Arial" w:hAnsi="Arial"/>
          <w:b/>
          <w:bCs/>
          <w:color w:val="2E4A7A"/>
          <w:sz w:val="24"/>
          <w:szCs w:val="24"/>
        </w:rPr>
        <w:t xml:space="preserve">5.2  Borrow Request Form (Student View)</w:t>
      </w:r>
    </w:p>
    <w:p>
      <w:pPr>
        <w:spacing w:before="80" w:after="80" w:line="280"/>
        <w:jc w:val="both"/>
      </w:pPr>
      <w:r>
        <w:rPr>
          <w:rFonts w:ascii="Arial" w:cs="Arial" w:eastAsia="Arial" w:hAnsi="Arial"/>
          <w:color w:val="2C3E50"/>
          <w:sz w:val="22"/>
          <w:szCs w:val="22"/>
        </w:rPr>
        <w:t xml:space="preserve">The Borrow Request form presented to students is deliberately simplified relative to the full data model. Students see only the fields necessary to submit a request — the book selection field (reference-qualified to display only Available titles) and a brief confirmation of their identity as the requester. Administrative fields such as the approval date, approving librarian, and rejection reason are hidden from the student view by UI Policy. After submission, the student can return to the form to view the current status of their request and, once a decision has been made, the outcome and any relevant details provided by the librarian.</w:t>
      </w:r>
    </w:p>
    <w:p>
      <w:pPr>
        <w:spacing w:before="220" w:after="80"/>
      </w:pPr>
      <w:r>
        <w:rPr>
          <w:rFonts w:ascii="Arial" w:cs="Arial" w:eastAsia="Arial" w:hAnsi="Arial"/>
          <w:b/>
          <w:bCs/>
          <w:color w:val="2E4A7A"/>
          <w:sz w:val="24"/>
          <w:szCs w:val="24"/>
        </w:rPr>
        <w:t xml:space="preserve">5.3  Borrow Request Form (Librarian View)</w:t>
      </w:r>
    </w:p>
    <w:p>
      <w:pPr>
        <w:spacing w:before="80" w:after="80" w:line="280"/>
        <w:jc w:val="both"/>
      </w:pPr>
      <w:r>
        <w:rPr>
          <w:rFonts w:ascii="Arial" w:cs="Arial" w:eastAsia="Arial" w:hAnsi="Arial"/>
          <w:color w:val="2C3E50"/>
          <w:sz w:val="22"/>
          <w:szCs w:val="22"/>
        </w:rPr>
        <w:t xml:space="preserve">Librarians see the full Borrow Request form, including all administrative fields. The form presents the requester's name, the requested book, the submission date, and the current status. When reviewing a pending request, the librarian is presented with prominent Approve and Reject action buttons. On approval, the Expected Return Date field becomes mandatory (enforced by UI Policy) to ensure that a return deadline is set before the transaction is finalised. On rejection, the Rejection Reason field becomes visible and mandatory, ensuring that the student receives a meaningful explanation.</w:t>
      </w:r>
    </w:p>
    <w:p>
      <w:pPr>
        <w:spacing w:before="220" w:after="80"/>
      </w:pPr>
      <w:r>
        <w:rPr>
          <w:rFonts w:ascii="Arial" w:cs="Arial" w:eastAsia="Arial" w:hAnsi="Arial"/>
          <w:b/>
          <w:bCs/>
          <w:color w:val="2E4A7A"/>
          <w:sz w:val="24"/>
          <w:szCs w:val="24"/>
        </w:rPr>
        <w:t xml:space="preserve">5.4  UI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UI Policy</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Condition and Behaviour</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Return Date — Mandatory on Approval</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When u_status equals Approved: the u_expected_return field is made mandatory and highlighted. Prevents approval without a specified return date.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Rejection Reason — Visible on Rejection</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When u_status equals Rejected: the u_rejection_reason field becomes visible and mandatory. Hidden in all other states to reduce form complexity.</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Core Fields — Read-Only After Submission</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When u_status is any value other than Requested: u_book and u_requested_by are set to read-only. Prevents modification of core reference data after workflow initiation.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Administrative Fields — Hidden from Students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For users with lib_student role: u_approved_by, u_decision_date, and u_rejection_reason are hidden. Students see only their own contextually relevant information.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Book Status — Read-Only for Students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On the Book form, for users with lib_student role: u_status is read-only. Students may view availability but cannot alter inventory records.</w:t>
            </w:r>
          </w:p>
        </w:tc>
      </w:tr>
    </w:tbl>
    <w:p>
      <w:pPr>
        <w:spacing w:before="80" w:after="0"/>
      </w:pPr>
      <w:r>
        <w:rPr>
          <w:sz w:val="22"/>
          <w:szCs w:val="22"/>
        </w:rPr>
        <w:t xml:space="preserve"/>
      </w:r>
    </w:p>
    <w:p>
      <w:pPr>
        <w:spacing w:before="80" w:after="80" w:line="280"/>
        <w:jc w:val="both"/>
      </w:pPr>
      <w:r>
        <w:rPr>
          <w:rFonts w:ascii="Arial" w:cs="Arial" w:eastAsia="Arial" w:hAnsi="Arial"/>
          <w:color w:val="2C3E50"/>
          <w:sz w:val="22"/>
          <w:szCs w:val="22"/>
        </w:rPr>
        <w:t xml:space="preserve">The UI design also incorporates related lists as a navigational enhancement. On the Book form, a related list of associated Borrow Request records is displayed, showing the status and requester for each historical transaction linked to that title. This eliminates the need for librarians to execute separate report queries to answer routine questions such as who currently holds a given book or how many times a title has been borrowed.</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6. </w:t>
      </w:r>
      <w:r>
        <w:rPr>
          <w:rFonts w:ascii="Arial" w:cs="Arial" w:eastAsia="Arial" w:hAnsi="Arial"/>
          <w:b/>
          <w:bCs/>
          <w:color w:val="1F3864"/>
          <w:sz w:val="30"/>
          <w:szCs w:val="30"/>
        </w:rPr>
        <w:t xml:space="preserve">Security Design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security design establishes the access control framework that governs all interactions between users and the system's data layer. Security is implemented through ServiceNow Access Control Lists, which evaluate permission conditions at the platform level before any read or write operation is permitted to complete. The design is founded on the principle of least privilege: every role is granted precisely the permissions required to perform its defined functions, and no more.</w:t>
      </w:r>
    </w:p>
    <w:p>
      <w:pPr>
        <w:spacing w:before="80" w:after="80" w:line="280"/>
        <w:jc w:val="both"/>
      </w:pPr>
      <w:r>
        <w:rPr>
          <w:rFonts w:ascii="Arial" w:cs="Arial" w:eastAsia="Arial" w:hAnsi="Arial"/>
          <w:color w:val="2C3E50"/>
          <w:sz w:val="22"/>
          <w:szCs w:val="22"/>
        </w:rPr>
        <w:t xml:space="preserve">Two roles are defined within the security model — lib_student and lib_librarian — each representing a distinct operational profile with correspondingly distinct permission requirements. The access control matrix below specifies the permitted operations for each role across each protected object in the system.</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40"/>
        <w:gridCol w:w="1340"/>
        <w:gridCol w:w="1340"/>
        <w:gridCol w:w="1340"/>
      </w:tblGrid>
      <w:tr>
        <w:tc>
          <w:tcPr>
            <w:tcW w:type="dxa" w:w="24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Object</w:t>
            </w:r>
          </w:p>
        </w:tc>
        <w:tc>
          <w:tcPr>
            <w:tcW w:type="dxa" w:w="160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13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Create</w:t>
            </w:r>
          </w:p>
        </w:tc>
        <w:tc>
          <w:tcPr>
            <w:tcW w:type="dxa" w:w="13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Read</w:t>
            </w:r>
          </w:p>
        </w:tc>
        <w:tc>
          <w:tcPr>
            <w:tcW w:type="dxa" w:w="13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Write</w:t>
            </w:r>
          </w:p>
        </w:tc>
        <w:tc>
          <w:tcPr>
            <w:tcW w:type="dxa" w:w="1340"/>
            <w:tcBorders>
              <w:top w:val="single" w:color="BDD7EE" w:sz="1"/>
              <w:left w:val="single" w:color="BDD7EE" w:sz="1"/>
              <w:bottom w:val="single" w:color="BDD7EE" w:sz="1"/>
              <w:right w:val="single" w:color="BDD7EE" w:sz="1"/>
            </w:tcBorders>
            <w:shd w:fill="2E4A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Delete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Book Table (u_book)</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lib_student</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Book Table (u_book)</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lib_librarian</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Borrow Request (own records only)</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lib_student</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Borrow Request (all records)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lib_librarian</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Reports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lib_student</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Reports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lib_librarian</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Flow Designer / Workflow</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lib_student</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tcPr>
          <w:p>
            <w:r>
              <w:rPr>
                <w:rFonts w:ascii="Arial" w:cs="Arial" w:eastAsia="Arial" w:hAnsi="Arial"/>
                <w:b/>
                <w:bCs/>
                <w:color w:val="2E4A7A"/>
                <w:sz w:val="20"/>
                <w:szCs w:val="20"/>
              </w:rPr>
              <w:t xml:space="preserve">Flow Designer / Workflow</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lib_librarian</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E8F5EE" w:val="clear"/>
            <w:tcMar>
              <w:top w:type="dxa" w:w="100"/>
              <w:left w:type="dxa" w:w="140"/>
              <w:bottom w:type="dxa" w:w="100"/>
              <w:right w:type="dxa" w:w="140"/>
            </w:tcMar>
          </w:tcPr>
          <w:p>
            <w:pPr>
              <w:jc w:val="center"/>
            </w:pPr>
            <w:r>
              <w:rPr>
                <w:rFonts w:ascii="Arial" w:cs="Arial" w:eastAsia="Arial" w:hAnsi="Arial"/>
                <w:b/>
                <w:bCs/>
                <w:color w:val="1E6B3C"/>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c>
          <w:tcPr>
            <w:tcW w:type="dxa" w:w="1340"/>
            <w:tcBorders>
              <w:top w:val="single" w:color="BDD7EE" w:sz="1"/>
              <w:left w:val="single" w:color="BDD7EE" w:sz="1"/>
              <w:bottom w:val="single" w:color="BDD7EE" w:sz="1"/>
              <w:right w:val="single" w:color="BDD7EE" w:sz="1"/>
            </w:tcBorders>
            <w:shd w:fill="F5F7FA" w:val="clear"/>
            <w:tcMar>
              <w:top w:type="dxa" w:w="100"/>
              <w:left w:type="dxa" w:w="140"/>
              <w:bottom w:type="dxa" w:w="100"/>
              <w:right w:type="dxa" w:w="140"/>
            </w:tcMar>
          </w:tcPr>
          <w:p>
            <w:pPr>
              <w:jc w:val="center"/>
            </w:pPr>
            <w:r>
              <w:rPr>
                <w:rFonts w:ascii="Arial" w:cs="Arial" w:eastAsia="Arial" w:hAnsi="Arial"/>
                <w:b w:val="false"/>
                <w:bCs w:val="false"/>
                <w:color w:val="BBBBBB"/>
                <w:sz w:val="22"/>
                <w:szCs w:val="22"/>
              </w:rPr>
              <w:t xml:space="preserve">—</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The security design is reinforced at two levels. At the interface level, UI Policies hide or disable fields and actions that a user is not permitted to interact with, reducing the likelihood of users attempting unpermitted operations. At the data layer, ACLs enforce the same boundaries independently of the interface, ensuring that permissions cannot be circumvented through alternative access methods such as direct API calls. This dual-layer approach provides defence in depth and ensures consistent security enforcement across all access channels.</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space="0"/>
              <w:bottom w:val="single" w:color="BDD7EE" w:sz="1"/>
              <w:right w:val="single" w:color="BDD7EE" w:sz="1"/>
            </w:tcBorders>
            <w:shd w:fill="EBF3FB" w:val="clear"/>
            <w:tcMar>
              <w:top w:type="dxa" w:w="140"/>
              <w:left w:type="dxa" w:w="220"/>
              <w:bottom w:type="dxa" w:w="140"/>
              <w:right w:type="dxa" w:w="220"/>
            </w:tcMar>
          </w:tcPr>
          <w:p>
            <w:pPr>
              <w:spacing w:before="0" w:after="40"/>
            </w:pPr>
            <w:r>
              <w:rPr>
                <w:rFonts w:ascii="Arial" w:cs="Arial" w:eastAsia="Arial" w:hAnsi="Arial"/>
                <w:b/>
                <w:bCs/>
                <w:color w:val="2E75B6"/>
                <w:sz w:val="21"/>
                <w:szCs w:val="21"/>
              </w:rPr>
              <w:t xml:space="preserve">Security Design Principle</w:t>
            </w:r>
          </w:p>
          <w:p>
            <w:pPr>
              <w:jc w:val="both"/>
            </w:pPr>
            <w:r>
              <w:rPr>
                <w:rFonts w:ascii="Arial" w:cs="Arial" w:eastAsia="Arial" w:hAnsi="Arial"/>
                <w:color w:val="1A3A5F"/>
                <w:sz w:val="21"/>
                <w:szCs w:val="21"/>
              </w:rPr>
              <w:t xml:space="preserve">ACL enforcement is always the authoritative security boundary. UI Policy configurations are applied as a usability enhancement and a first line of defence, but the system's security posture does not depend on them. Every permission boundary is independently enforced at the data layer.</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7. </w:t>
      </w:r>
      <w:r>
        <w:rPr>
          <w:rFonts w:ascii="Arial" w:cs="Arial" w:eastAsia="Arial" w:hAnsi="Arial"/>
          <w:b/>
          <w:bCs/>
          <w:color w:val="1F3864"/>
          <w:sz w:val="30"/>
          <w:szCs w:val="30"/>
        </w:rPr>
        <w:t xml:space="preserve">Reporting and Analytics Design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reporting design defines the analytical views that will be produced from the system's transactional data to support library management and institutional decision-making. All reports are designed to be generated on demand from live data, ensuring that the information presented always reflects the current state of the system rather than a snapshot from a previous period. Access is restricted to users with the lib_librarian role, with selected reports configured for scheduled distribution to faculty and management.</w:t>
      </w:r>
    </w:p>
    <w:p>
      <w:pPr>
        <w:spacing w:before="10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5000"/>
      </w:tblGrid>
      <w:tr>
        <w:tc>
          <w:tcPr>
            <w:tcW w:type="dxa" w:w="24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Report Name</w:t>
            </w:r>
          </w:p>
        </w:tc>
        <w:tc>
          <w:tcPr>
            <w:tcW w:type="dxa" w:w="19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Type</w:t>
            </w:r>
          </w:p>
        </w:tc>
        <w:tc>
          <w:tcPr>
            <w:tcW w:type="dxa" w:w="50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Design and Data Source</w:t>
            </w:r>
          </w:p>
        </w:tc>
      </w:tr>
      <w:tr>
        <w:tc>
          <w:tcPr>
            <w:tcW w:type="dxa" w:w="24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Most Borrowed Books</w:t>
            </w:r>
          </w:p>
        </w:tc>
        <w:tc>
          <w:tcPr>
            <w:tcW w:type="dxa" w:w="1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Bar Chart + Ranked Table</w:t>
            </w:r>
          </w:p>
        </w:tc>
        <w:tc>
          <w:tcPr>
            <w:tcW w:type="dxa" w:w="5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Groups all Borrow Request records with a status of Approved by their referenced Book (u_book field), then counts the records per group. Results are sorted in descending order by count. Provides a clear ranked view of the most in-demand titles in the collection.</w:t>
            </w:r>
          </w:p>
        </w:tc>
      </w:tr>
      <w:tr>
        <w:tc>
          <w:tcPr>
            <w:tcW w:type="dxa" w:w="24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Book Availability Summary</w:t>
            </w:r>
          </w:p>
        </w:tc>
        <w:tc>
          <w:tcPr>
            <w:tcW w:type="dxa" w:w="1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Pie Chart + Summary Table</w:t>
            </w:r>
          </w:p>
        </w:tc>
        <w:tc>
          <w:tcPr>
            <w:tcW w:type="dxa" w:w="5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Groups all Book records by u_status (Available, Issued, Lost) and counts the records in each group. Displays the proportional distribution of the collection across the three availability states. Refreshed in real time to reflect the current inventory.</w:t>
            </w:r>
          </w:p>
        </w:tc>
      </w:tr>
      <w:tr>
        <w:tc>
          <w:tcPr>
            <w:tcW w:type="dxa" w:w="24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Borrow Request Status Report</w:t>
            </w:r>
          </w:p>
        </w:tc>
        <w:tc>
          <w:tcPr>
            <w:tcW w:type="dxa" w:w="1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Tabular List</w:t>
            </w:r>
          </w:p>
        </w:tc>
        <w:tc>
          <w:tcPr>
            <w:tcW w:type="dxa" w:w="5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Displays all Borrow Request records with columns for requester, book title, request date, status, and expected return date. Filterable by status value to allow librarians to focus on a specific lifecycle stage. Sortable by request date to identify the oldest pending transactions.</w:t>
            </w:r>
          </w:p>
        </w:tc>
      </w:tr>
      <w:tr>
        <w:tc>
          <w:tcPr>
            <w:tcW w:type="dxa" w:w="24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Overdue Requests Report</w:t>
            </w:r>
          </w:p>
        </w:tc>
        <w:tc>
          <w:tcPr>
            <w:tcW w:type="dxa" w:w="1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Tabular List with Highlighting</w:t>
            </w:r>
          </w:p>
        </w:tc>
        <w:tc>
          <w:tcPr>
            <w:tcW w:type="dxa" w:w="5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Filters Borrow Request records where u_status equals Approved and u_actual_return is empty and u_expected_return is earlier than the current date. Sorted by the number of days overdue in descending order. Supports targeted follow-up communication with borrowers.</w:t>
            </w:r>
          </w:p>
        </w:tc>
      </w:tr>
      <w:tr>
        <w:tc>
          <w:tcPr>
            <w:tcW w:type="dxa" w:w="24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Request Volume by Period</w:t>
            </w:r>
          </w:p>
        </w:tc>
        <w:tc>
          <w:tcPr>
            <w:tcW w:type="dxa" w:w="1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Line Chart</w:t>
            </w:r>
          </w:p>
        </w:tc>
        <w:tc>
          <w:tcPr>
            <w:tcW w:type="dxa" w:w="5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Counts Borrow Request records created within a user-specified date range, grouped by calendar week or month. Displays borrowing volume trends over time. Supports peak demand analysis and capacity planning within the academic calendar cycle.</w:t>
            </w:r>
          </w:p>
        </w:tc>
      </w:tr>
      <w:tr>
        <w:tc>
          <w:tcPr>
            <w:tcW w:type="dxa" w:w="24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Category Utilisation</w:t>
            </w:r>
          </w:p>
        </w:tc>
        <w:tc>
          <w:tcPr>
            <w:tcW w:type="dxa" w:w="1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Bar Chart</w:t>
            </w:r>
          </w:p>
        </w:tc>
        <w:tc>
          <w:tcPr>
            <w:tcW w:type="dxa" w:w="50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Groups approved Borrow Request records by the u_category field of the referenced Book record and counts the records per category. Identifies which subject areas attract the greatest borrowing activity. Informs collection development procurement decisions.</w:t>
            </w:r>
          </w:p>
        </w:tc>
      </w:tr>
    </w:tbl>
    <w:p>
      <w:pPr>
        <w:spacing w:before="100" w:after="0"/>
      </w:pPr>
      <w:r>
        <w:rPr>
          <w:sz w:val="22"/>
          <w:szCs w:val="22"/>
        </w:rPr>
        <w:t xml:space="preserve"/>
      </w:r>
    </w:p>
    <w:p>
      <w:pPr>
        <w:spacing w:before="80" w:after="80" w:line="280"/>
        <w:jc w:val="both"/>
      </w:pPr>
      <w:r>
        <w:rPr>
          <w:rFonts w:ascii="Arial" w:cs="Arial" w:eastAsia="Arial" w:hAnsi="Arial"/>
          <w:color w:val="2C3E50"/>
          <w:sz w:val="22"/>
          <w:szCs w:val="22"/>
        </w:rPr>
        <w:t xml:space="preserve">Each report was designed with a specific stakeholder purpose in mind. The Most Borrowed Books and Category Utilisation reports address the procurement and collection development needs of faculty and library management. The Book Availability Summary and Overdue Requests reports support the day-to-day operational needs of librarians. The Borrow Request Status and Request Volume reports serve both audiences, providing operational visibility and strategic trend data respectively. This purposeful design ensures that the reporting layer delivers actionable information to the right audience rather than generic data extracts.</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8. </w:t>
      </w:r>
      <w:r>
        <w:rPr>
          <w:rFonts w:ascii="Arial" w:cs="Arial" w:eastAsia="Arial" w:hAnsi="Arial"/>
          <w:b/>
          <w:bCs/>
          <w:color w:val="1F3864"/>
          <w:sz w:val="30"/>
          <w:szCs w:val="30"/>
        </w:rPr>
        <w:t xml:space="preserve">Design Outcome</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Project Design Phase has produced a complete and coherent technical blueprint for the Smart Library Request Workflow. Every structural decision — from the five-layer system architecture to the field-level schema of each custom table — has been documented with sufficient precision to guide implementation without ambiguity. The design artefacts collectively answer the three fundamental questions that any development team must resolve before configuration begins: what the system will contain, how it will behave, and who will be permitted to do what within it.</w:t>
      </w:r>
    </w:p>
    <w:p>
      <w:pPr>
        <w:spacing w:before="80" w:after="80" w:line="280"/>
        <w:jc w:val="both"/>
      </w:pPr>
      <w:r>
        <w:rPr>
          <w:rFonts w:ascii="Arial" w:cs="Arial" w:eastAsia="Arial" w:hAnsi="Arial"/>
          <w:color w:val="2C3E50"/>
          <w:sz w:val="22"/>
          <w:szCs w:val="22"/>
        </w:rPr>
        <w:t xml:space="preserve">The layered architecture ensures that the system is maintainable and extensible. Because each layer has a clearly defined responsibility and a controlled interface with the layers above and below it, future enhancements — such as the addition of a digital catalogue integration, a mobile borrowing portal, or a fine management capability — can be introduced at the appropriate layer without requiring structural changes to the rest of the system. The data model is designed with the same extensibility in mind: the core table schema is minimal and focused, and additional fields or related tables can be introduced in future phases without disrupting the existing workflow or reporting logic.</w:t>
      </w:r>
    </w:p>
    <w:p>
      <w:pPr>
        <w:spacing w:before="80" w:after="80" w:line="280"/>
        <w:jc w:val="both"/>
      </w:pPr>
      <w:r>
        <w:rPr>
          <w:rFonts w:ascii="Arial" w:cs="Arial" w:eastAsia="Arial" w:hAnsi="Arial"/>
          <w:color w:val="2C3E50"/>
          <w:sz w:val="22"/>
          <w:szCs w:val="22"/>
        </w:rPr>
        <w:t xml:space="preserve">The security design provides a robust, defence-in-depth access control framework that enforces role-based boundaries at both the interface and data layers. This dual-layer approach ensures that the system's security posture is not dependent on any single control mechanism, and that the separation of privilege between students and librarians is maintained consistently across all access channels. The workflow design eliminates the manual processes that were identified as the primary source of operational inefficiency during the earlier project phases, replacing them with automated, auditable logic that operates consistently for every transaction.</w:t>
      </w:r>
    </w:p>
    <w:p>
      <w:pPr>
        <w:spacing w:before="80" w:after="80" w:line="280"/>
        <w:jc w:val="both"/>
      </w:pPr>
      <w:r>
        <w:rPr>
          <w:rFonts w:ascii="Arial" w:cs="Arial" w:eastAsia="Arial" w:hAnsi="Arial"/>
          <w:color w:val="2C3E50"/>
          <w:sz w:val="22"/>
          <w:szCs w:val="22"/>
        </w:rPr>
        <w:t xml:space="preserve">In summary, the design phase has transformed the requirements and objectives of the Smart Library Request Workflow into a structured, implementable specification. The project team now has a clear, agreed-upon blueprint against which all development activities can be planned, all completed components can be validated, and all design decisions can be traced back to their originating requirements. This foundation ensures that the development phase can proceed with confidence and that the delivered system will meet the functional, security, and operational standards required by the academic institution it serves.</w:t>
      </w:r>
    </w:p>
    <w:p>
      <w:pPr>
        <w:spacing w:before="200" w:after="0"/>
      </w:pPr>
      <w:r>
        <w:rPr>
          <w:sz w:val="22"/>
          <w:szCs w:val="22"/>
        </w:rPr>
        <w:t xml:space="preserve"/>
      </w:r>
    </w:p>
    <w:p>
      <w:pPr>
        <w:pBdr>
          <w:top w:val="single" w:color="1F3864" w:sz="4" w:space="1"/>
        </w:pBdr>
        <w:spacing w:before="0" w:after="80"/>
      </w:pPr>
      <w:r>
        <w:rPr>
          <w:sz w:val="4"/>
          <w:szCs w:val="4"/>
        </w:rPr>
        <w:t xml:space="preserve"/>
      </w:r>
    </w:p>
    <w:p>
      <w:pPr>
        <w:spacing w:before="0" w:after="0"/>
        <w:jc w:val="center"/>
      </w:pPr>
      <w:r>
        <w:rPr>
          <w:rFonts w:ascii="Arial" w:cs="Arial" w:eastAsia="Arial" w:hAnsi="Arial"/>
          <w:color w:val="888888"/>
          <w:sz w:val="18"/>
          <w:szCs w:val="18"/>
        </w:rPr>
        <w:t xml:space="preserve">Smart Library Request Workflow in ServiceNow  ·  Project Design Phase  ·  v1.0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2026-03-09T07:03:41.454Z</dcterms:created>
  <dcterms:modified xsi:type="dcterms:W3CDTF">2026-03-09T07:03:41.454Z</dcterms:modified>
</cp:coreProperties>
</file>

<file path=docProps/custom.xml><?xml version="1.0" encoding="utf-8"?>
<Properties xmlns="http://schemas.openxmlformats.org/officeDocument/2006/custom-properties" xmlns:vt="http://schemas.openxmlformats.org/officeDocument/2006/docPropsVTypes"/>
</file>