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20" w:after="0"/>
      </w:pPr>
      <w:r>
        <w:rPr>
          <w:sz w:val="22"/>
          <w:szCs w:val="22"/>
        </w:rPr>
        <w:t xml:space="preserve"/>
      </w:r>
    </w:p>
    <w:p>
      <w:pPr>
        <w:spacing w:before="0" w:after="0"/>
        <w:jc w:val="center"/>
      </w:pPr>
      <w:r>
        <w:rPr>
          <w:rFonts w:ascii="Arial" w:cs="Arial" w:eastAsia="Arial" w:hAnsi="Arial"/>
          <w:b/>
          <w:bCs/>
          <w:color w:val="1F3864"/>
          <w:sz w:val="52"/>
          <w:szCs w:val="52"/>
        </w:rPr>
        <w:t xml:space="preserve">Smart Library Request Workflow</w:t>
      </w:r>
    </w:p>
    <w:p>
      <w:pPr>
        <w:spacing w:before="40" w:after="0"/>
      </w:pPr>
      <w:r>
        <w:rPr>
          <w:sz w:val="22"/>
          <w:szCs w:val="22"/>
        </w:rPr>
        <w:t xml:space="preserve"/>
      </w:r>
    </w:p>
    <w:p>
      <w:pPr>
        <w:spacing w:before="0" w:after="0"/>
        <w:jc w:val="center"/>
      </w:pPr>
      <w:r>
        <w:rPr>
          <w:rFonts w:ascii="Arial" w:cs="Arial" w:eastAsia="Arial" w:hAnsi="Arial"/>
          <w:b/>
          <w:bCs/>
          <w:color w:val="1F3864"/>
          <w:sz w:val="52"/>
          <w:szCs w:val="52"/>
        </w:rPr>
        <w:t xml:space="preserve">in ServiceNow</w:t>
      </w:r>
    </w:p>
    <w:p>
      <w:pPr>
        <w:spacing w:before="80" w:after="0"/>
      </w:pPr>
      <w:r>
        <w:rPr>
          <w:sz w:val="22"/>
          <w:szCs w:val="22"/>
        </w:rPr>
        <w:t xml:space="preserve"/>
      </w:r>
    </w:p>
    <w:p>
      <w:pPr>
        <w:spacing w:before="0" w:after="0"/>
        <w:jc w:val="center"/>
      </w:pPr>
      <w:r>
        <w:rPr>
          <w:rFonts w:ascii="Arial" w:cs="Arial" w:eastAsia="Arial" w:hAnsi="Arial"/>
          <w:i/>
          <w:iCs/>
          <w:color w:val="2E4A7A"/>
          <w:sz w:val="26"/>
          <w:szCs w:val="26"/>
        </w:rPr>
        <w:t xml:space="preserve">Technical Documentation — Project Planning Phase</w:t>
      </w:r>
    </w:p>
    <w:p>
      <w:pPr>
        <w:spacing w:before="60" w:after="0"/>
      </w:pPr>
      <w:r>
        <w:rPr>
          <w:sz w:val="22"/>
          <w:szCs w:val="22"/>
        </w:rPr>
        <w:t xml:space="preserve"/>
      </w:r>
    </w:p>
    <w:p>
      <w:pPr>
        <w:pBdr>
          <w:bottom w:val="single" w:color="1F3864" w:sz="8" w:space="1"/>
        </w:pBdr>
        <w:spacing w:before="0" w:after="0"/>
        <w:jc w:val="center"/>
      </w:pPr>
      <w:r>
        <w:rPr>
          <w:sz w:val="4"/>
          <w:szCs w:val="4"/>
        </w:rPr>
        <w:t xml:space="preserve"/>
      </w:r>
    </w:p>
    <w:p>
      <w:pPr>
        <w:spacing w:before="80" w:after="0"/>
      </w:pPr>
      <w:r>
        <w:rPr>
          <w:sz w:val="22"/>
          <w:szCs w:val="22"/>
        </w:rPr>
        <w:t xml:space="preserve"/>
      </w:r>
    </w:p>
    <w:p>
      <w:pPr>
        <w:spacing w:before="0" w:after="0"/>
        <w:jc w:val="center"/>
      </w:pPr>
      <w:r>
        <w:rPr>
          <w:rFonts w:ascii="Arial" w:cs="Arial" w:eastAsia="Arial" w:hAnsi="Arial"/>
          <w:color w:val="888888"/>
          <w:sz w:val="20"/>
          <w:szCs w:val="20"/>
        </w:rPr>
        <w:t xml:space="preserve">Version 1.0  |  March 2025</w:t>
      </w:r>
    </w:p>
    <w:p>
      <w:pPr>
        <w:spacing w:before="20" w:after="0"/>
      </w:pPr>
      <w:r>
        <w:rPr>
          <w:sz w:val="22"/>
          <w:szCs w:val="22"/>
        </w:rPr>
        <w:t xml:space="preserve"/>
      </w:r>
    </w:p>
    <w:p>
      <w:pPr>
        <w:spacing w:before="0" w:after="0"/>
        <w:jc w:val="center"/>
      </w:pPr>
      <w:r>
        <w:rPr>
          <w:rFonts w:ascii="Arial" w:cs="Arial" w:eastAsia="Arial" w:hAnsi="Arial"/>
          <w:i/>
          <w:iCs/>
          <w:color w:val="888888"/>
          <w:sz w:val="20"/>
          <w:szCs w:val="20"/>
        </w:rPr>
        <w:t xml:space="preserve">Academic &amp; Technical Project Documentation</w:t>
      </w:r>
    </w:p>
    <w:p>
      <w:pPr>
        <w:spacing w:before="280" w:after="0"/>
      </w:pPr>
      <w:r>
        <w:rPr>
          <w:sz w:val="22"/>
          <w:szCs w:val="22"/>
        </w:rPr>
        <w:t xml:space="preserve"/>
      </w:r>
    </w:p>
    <w:p>
      <w:pPr>
        <w:spacing w:before="400" w:after="120"/>
      </w:pPr>
      <w:r>
        <w:rPr>
          <w:rFonts w:ascii="Arial" w:cs="Arial" w:eastAsia="Arial" w:hAnsi="Arial"/>
          <w:b/>
          <w:bCs/>
          <w:color w:val="2E75B6"/>
          <w:sz w:val="30"/>
          <w:szCs w:val="30"/>
        </w:rPr>
        <w:t xml:space="preserve">1. </w:t>
      </w:r>
      <w:r>
        <w:rPr>
          <w:rFonts w:ascii="Arial" w:cs="Arial" w:eastAsia="Arial" w:hAnsi="Arial"/>
          <w:b/>
          <w:bCs/>
          <w:color w:val="1F3864"/>
          <w:sz w:val="30"/>
          <w:szCs w:val="30"/>
        </w:rPr>
        <w:t xml:space="preserve">Introduction</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Project planning constitutes one of the most consequential phases in the development of any enterprise system. It is during this phase that abstract requirements are translated into actionable plans, resource commitments are made, timelines are established, and potential risks are identified and mitigated before they can disrupt implementation. Without a disciplined planning foundation, even technically sound systems risk delays, scope creep, misconfigured components, and ultimately a failure to meet stakeholder expectations.</w:t>
      </w:r>
    </w:p>
    <w:p>
      <w:pPr>
        <w:spacing w:before="80" w:after="80" w:line="280"/>
        <w:jc w:val="both"/>
      </w:pPr>
      <w:r>
        <w:rPr>
          <w:rFonts w:ascii="Arial" w:cs="Arial" w:eastAsia="Arial" w:hAnsi="Arial"/>
          <w:color w:val="2C3E50"/>
          <w:sz w:val="22"/>
          <w:szCs w:val="22"/>
        </w:rPr>
        <w:t xml:space="preserve">The Project Planning Phase for the Smart Library Request Workflow in ServiceNow was undertaken following the completion of the Requirement Analysis Phase. At that stage, all functional, non-functional, data, and workflow requirements had been documented and agreed upon. The planning phase then took those requirements as its primary input and produced a structured implementation roadmap — defining the project scope, setting measurable milestones, allocating the resources required, and establishing the strategies by which the system would be built, tested, and validated.</w:t>
      </w:r>
    </w:p>
    <w:p>
      <w:pPr>
        <w:spacing w:before="80" w:after="80" w:line="280"/>
        <w:jc w:val="both"/>
      </w:pPr>
      <w:r>
        <w:rPr>
          <w:rFonts w:ascii="Arial" w:cs="Arial" w:eastAsia="Arial" w:hAnsi="Arial"/>
          <w:color w:val="2C3E50"/>
          <w:sz w:val="22"/>
          <w:szCs w:val="22"/>
        </w:rPr>
        <w:t xml:space="preserve">This document presents the full output of the Project Planning Phase. It is intended to serve as the governing reference for all implementation activities that follow, ensuring that each configuration task is undertaken in the correct sequence, with the appropriate tools, and with a clear understanding of the acceptance criteria that must be satisfied before the project can progress to the next stage. The planning approach documented here reflects best practices for ServiceNow platform projects and ensures alignment with the operational requirements of the academic institution.</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6" w:space="0"/>
              <w:bottom w:val="single" w:color="BDD7EE" w:sz="1"/>
              <w:right w:val="single" w:color="BDD7EE" w:sz="1"/>
            </w:tcBorders>
            <w:shd w:fill="EBF3FB" w:val="clear"/>
            <w:tcMar>
              <w:top w:type="dxa" w:w="140"/>
              <w:left w:type="dxa" w:w="220"/>
              <w:bottom w:type="dxa" w:w="140"/>
              <w:right w:type="dxa" w:w="220"/>
            </w:tcMar>
          </w:tcPr>
          <w:p>
            <w:pPr>
              <w:spacing w:before="0" w:after="40"/>
            </w:pPr>
            <w:r>
              <w:rPr>
                <w:rFonts w:ascii="Arial" w:cs="Arial" w:eastAsia="Arial" w:hAnsi="Arial"/>
                <w:b/>
                <w:bCs/>
                <w:color w:val="2E75B6"/>
                <w:sz w:val="21"/>
                <w:szCs w:val="21"/>
              </w:rPr>
              <w:t xml:space="preserve">Planning Principle</w:t>
            </w:r>
          </w:p>
          <w:p>
            <w:pPr>
              <w:jc w:val="both"/>
            </w:pPr>
            <w:r>
              <w:rPr>
                <w:rFonts w:ascii="Arial" w:cs="Arial" w:eastAsia="Arial" w:hAnsi="Arial"/>
                <w:color w:val="1A3A5F"/>
                <w:sz w:val="21"/>
                <w:szCs w:val="21"/>
              </w:rPr>
              <w:t xml:space="preserve">All planning decisions documented in this phase are directly traceable to requirements established in the Requirement Analysis Phase. No implementation activity has been included in the project plan that does not serve an identified stakeholder need or system requirement.</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2. </w:t>
      </w:r>
      <w:r>
        <w:rPr>
          <w:rFonts w:ascii="Arial" w:cs="Arial" w:eastAsia="Arial" w:hAnsi="Arial"/>
          <w:b/>
          <w:bCs/>
          <w:color w:val="1F3864"/>
          <w:sz w:val="30"/>
          <w:szCs w:val="30"/>
        </w:rPr>
        <w:t xml:space="preserve">Project Scope</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scope defines the boundaries of the implementation — that is, what the Smart Library Request Workflow will deliver upon completion, and what falls outside the remit of this phase of work. A clearly articulated scope prevents the uncontrolled addition of features during implementation and ensures that the project team's efforts remain focused on the requirements that have been formally documented and approved.</w:t>
      </w:r>
    </w:p>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2.1  In-Scope Deliverables</w:t>
      </w:r>
    </w:p>
    <w:p>
      <w:pPr>
        <w:spacing w:before="80" w:after="80" w:line="280"/>
        <w:jc w:val="both"/>
      </w:pPr>
      <w:r>
        <w:rPr>
          <w:rFonts w:ascii="Arial" w:cs="Arial" w:eastAsia="Arial" w:hAnsi="Arial"/>
          <w:color w:val="2C3E50"/>
          <w:sz w:val="22"/>
          <w:szCs w:val="22"/>
        </w:rPr>
        <w:t xml:space="preserve">The following deliverables are formally within the scope of the Smart Library Request Workflow project. Each represents a discrete, configurable component of the ServiceNow platform that will be built, tested, and validated as part of this project.</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Scope Area</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Deliverable Description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Role-Based Access System</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Configuration of two custom application roles — lib_student and lib_librarian — with associated Access Control Lists applied to all custom tables within the application scope.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Book Catalogue Management</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Creation and configuration of the Book custom table, enabling librarians to manage the full library inventory with real-time availability status tracking.</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Borrow Request Lifecycle</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Creation and configuration of the Borrow Request custom table, supporting the complete borrowing transaction lifecycle from student submission through to librarian decision and return confirmation.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Workflow Automation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Development of a Flow Designer-based approval workflow that automates request routing, status updates, and stakeholder notifications throughout the borrowing lifecycle.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User Interface Configuration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Implementation of UI Policies and Form Layouts to ensure that each user role encounters a contextually appropriate and professionally structured interface.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Reporting and Analytics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Configuration of pre-defined reports including the Most Borrowed Books report, Book Availability Summary, Borrow Request Status Report, and supporting analytics.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System Testing and Validation</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Execution of end-to-end testing using representative sample data, validation of role permissions, workflow execution, and notification delivery prior to final sign-off.</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2.2  Out-of-Scope Items</w:t>
      </w:r>
    </w:p>
    <w:p>
      <w:pPr>
        <w:spacing w:before="80" w:after="80" w:line="280"/>
        <w:jc w:val="both"/>
      </w:pPr>
      <w:r>
        <w:rPr>
          <w:rFonts w:ascii="Arial" w:cs="Arial" w:eastAsia="Arial" w:hAnsi="Arial"/>
          <w:color w:val="2C3E50"/>
          <w:sz w:val="22"/>
          <w:szCs w:val="22"/>
        </w:rPr>
        <w:t xml:space="preserve">The following items are explicitly excluded from the current project scope. They may be considered for inclusion in future enhancement phases following successful delivery and stabilisation of the core system.</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888888" w:sz="16" w:space="0"/>
              <w:bottom w:val="single" w:color="BDD7EE" w:sz="1"/>
              <w:right w:val="single" w:color="BDD7EE" w:sz="1"/>
            </w:tcBorders>
            <w:shd w:fill="F5F7FA" w:val="clear"/>
            <w:tcMar>
              <w:top w:type="dxa" w:w="140"/>
              <w:left w:type="dxa" w:w="220"/>
              <w:bottom w:type="dxa" w:w="140"/>
              <w:right w:type="dxa" w:w="220"/>
            </w:tcMar>
          </w:tcPr>
          <w:p>
            <w:pPr>
              <w:spacing w:before="0" w:after="40"/>
            </w:pPr>
            <w:r>
              <w:rPr>
                <w:rFonts w:ascii="Arial" w:cs="Arial" w:eastAsia="Arial" w:hAnsi="Arial"/>
                <w:b/>
                <w:bCs/>
                <w:color w:val="888888"/>
                <w:sz w:val="21"/>
                <w:szCs w:val="21"/>
              </w:rPr>
              <w:t xml:space="preserve">Out-of-Scope Items</w:t>
            </w:r>
          </w:p>
          <w:p>
            <w:pPr>
              <w:jc w:val="both"/>
            </w:pPr>
            <w:r>
              <w:rPr>
                <w:rFonts w:ascii="Arial" w:cs="Arial" w:eastAsia="Arial" w:hAnsi="Arial"/>
                <w:color w:val="444444"/>
                <w:sz w:val="21"/>
                <w:szCs w:val="21"/>
              </w:rPr>
              <w:t xml:space="preserve">Integration with external library catalogue systems or ISBN databases; mobile application development; barcode or RFID scanning functionality; digital or e-book lending capabilities; integration with student information or enrolment systems; multi-campus or multi-branch library support; and payment processing for fines or overdue charges.</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3. </w:t>
      </w:r>
      <w:r>
        <w:rPr>
          <w:rFonts w:ascii="Arial" w:cs="Arial" w:eastAsia="Arial" w:hAnsi="Arial"/>
          <w:b/>
          <w:bCs/>
          <w:color w:val="1F3864"/>
          <w:sz w:val="30"/>
          <w:szCs w:val="30"/>
        </w:rPr>
        <w:t xml:space="preserve">Project Objectives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objectives define the measurable outcomes that the Smart Library Request Workflow must achieve upon completion. Each objective has been derived from the stakeholder needs and operational challenges identified during the earlier project phases, and each provides a clear criterion against which the success of the implementation can be assessed.</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Objective ID</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Project Objective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OBJ-01</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Eliminate manual, paper-based library processes by implementing a fully digital borrowing and approval workflow within the ServiceNow platform.</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OBJ-02</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Improve the accuracy and real-time reliability of book inventory records by automating status transitions triggered by workflow actions.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OBJ-03</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Provide students with a self-service borrowing interface that delivers transparent, real-time visibility into book availability and request status.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OBJ-04</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Enable librarians to process borrow requests efficiently through a centralised, workflow-driven interface with automated task routing and notifications.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OBJ-05</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Enforce secure, role-based access to all system components through the implementation of Access Control Lists, ensuring that each user group can only interact with records and functions appropriate to their role.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OBJ-06</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Deliver actionable reporting capabilities that enable library management and faculty to make data-informed decisions regarding collection development and resource allocation.</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OBJ-07</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Produce a maintainable, well-documented system configuration that can be extended or handed over to a support team without requiring significant rework.</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4. </w:t>
      </w:r>
      <w:r>
        <w:rPr>
          <w:rFonts w:ascii="Arial" w:cs="Arial" w:eastAsia="Arial" w:hAnsi="Arial"/>
          <w:b/>
          <w:bCs/>
          <w:color w:val="1F3864"/>
          <w:sz w:val="30"/>
          <w:szCs w:val="30"/>
        </w:rPr>
        <w:t xml:space="preserve">Project Milestones</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project has been structured into nine sequential milestones, each representing a discrete and testable unit of work. The milestones are ordered to reflect technical dependencies — foundational configuration steps must be completed before dependent features can be built upon them. Each milestone is considered complete only when the associated deliverables have been implemented and verified against the relevant acceptance criteria.</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M1</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Role Creation and Assignment</w:t>
            </w:r>
          </w:p>
          <w:p>
            <w:pPr>
              <w:spacing w:before="40"/>
            </w:pPr>
            <w:r>
              <w:rPr>
                <w:rFonts w:ascii="Arial" w:cs="Arial" w:eastAsia="Arial" w:hAnsi="Arial"/>
                <w:color w:val="2C3E50"/>
                <w:sz w:val="20"/>
                <w:szCs w:val="20"/>
              </w:rPr>
              <w:t xml:space="preserve">Define and activate the lib_student and lib_librarian application roles within the ServiceNow scoped application. Assign appropriate users to each role and confirm that role inheritance and permission inheritance behave as expected.</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M2</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Custom Table Creation</w:t>
            </w:r>
          </w:p>
          <w:p>
            <w:pPr>
              <w:spacing w:before="40"/>
            </w:pPr>
            <w:r>
              <w:rPr>
                <w:rFonts w:ascii="Arial" w:cs="Arial" w:eastAsia="Arial" w:hAnsi="Arial"/>
                <w:color w:val="2C3E50"/>
                <w:sz w:val="20"/>
                <w:szCs w:val="20"/>
              </w:rPr>
              <w:t xml:space="preserve">Create the Book table (u_library_book) and the Borrow Request table (u_borrow_request) within the scoped application. Configure table properties, extend appropriate base tables, and enable auditing on both tables.</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M3</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Field Configuration</w:t>
            </w:r>
          </w:p>
          <w:p>
            <w:pPr>
              <w:spacing w:before="40"/>
            </w:pPr>
            <w:r>
              <w:rPr>
                <w:rFonts w:ascii="Arial" w:cs="Arial" w:eastAsia="Arial" w:hAnsi="Arial"/>
                <w:color w:val="2C3E50"/>
                <w:sz w:val="20"/>
                <w:szCs w:val="20"/>
              </w:rPr>
              <w:t xml:space="preserve">Add all required fields to both custom tables as specified in the Data Requirements section of the Requirement Analysis Phase. Configure field types, default values, mandatory indicators, and display labels for each field.</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M4</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Reference Qualifier Implementation</w:t>
            </w:r>
          </w:p>
          <w:p>
            <w:pPr>
              <w:spacing w:before="40"/>
            </w:pPr>
            <w:r>
              <w:rPr>
                <w:rFonts w:ascii="Arial" w:cs="Arial" w:eastAsia="Arial" w:hAnsi="Arial"/>
                <w:color w:val="2C3E50"/>
                <w:sz w:val="20"/>
                <w:szCs w:val="20"/>
              </w:rPr>
              <w:t xml:space="preserve">Apply reference qualifier conditions to the u_book field on the Borrow Request table to restrict the available book choices to those with a current status of Available. Validate the qualifier using test records with varying status values.</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M5</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Workflow Development Using Flow Designer</w:t>
            </w:r>
          </w:p>
          <w:p>
            <w:pPr>
              <w:spacing w:before="40"/>
            </w:pPr>
            <w:r>
              <w:rPr>
                <w:rFonts w:ascii="Arial" w:cs="Arial" w:eastAsia="Arial" w:hAnsi="Arial"/>
                <w:color w:val="2C3E50"/>
                <w:sz w:val="20"/>
                <w:szCs w:val="20"/>
              </w:rPr>
              <w:t xml:space="preserve">Design and activate the complete borrowing approval workflow in ServiceNow Flow Designer. Implement all eight workflow steps — trigger, student acknowledgement, librarian task, approval decision branch, book status update, approval notification, rejection notification, and return confirmation.</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M6</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UI Policy Configuration</w:t>
            </w:r>
          </w:p>
          <w:p>
            <w:pPr>
              <w:spacing w:before="40"/>
            </w:pPr>
            <w:r>
              <w:rPr>
                <w:rFonts w:ascii="Arial" w:cs="Arial" w:eastAsia="Arial" w:hAnsi="Arial"/>
                <w:color w:val="2C3E50"/>
                <w:sz w:val="20"/>
                <w:szCs w:val="20"/>
              </w:rPr>
              <w:t xml:space="preserve">Configure UI Policies on both custom tables to ensure contextually appropriate field visibility and mandatory enforcement. Policies must account for the differences in interface requirements between the Student and Librarian roles.</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M7</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Access Control Rule Implementation</w:t>
            </w:r>
          </w:p>
          <w:p>
            <w:pPr>
              <w:spacing w:before="40"/>
            </w:pPr>
            <w:r>
              <w:rPr>
                <w:rFonts w:ascii="Arial" w:cs="Arial" w:eastAsia="Arial" w:hAnsi="Arial"/>
                <w:color w:val="2C3E50"/>
                <w:sz w:val="20"/>
                <w:szCs w:val="20"/>
              </w:rPr>
              <w:t xml:space="preserve">Implement and activate Access Control Lists for create, read, write, and delete operations on both custom tables. Validate that students can only access their own records, that librarians have full operational access, and that no privilege escalation is possible.</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M8</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Report Generation and Validation</w:t>
            </w:r>
          </w:p>
          <w:p>
            <w:pPr>
              <w:spacing w:before="40"/>
            </w:pPr>
            <w:r>
              <w:rPr>
                <w:rFonts w:ascii="Arial" w:cs="Arial" w:eastAsia="Arial" w:hAnsi="Arial"/>
                <w:color w:val="2C3E50"/>
                <w:sz w:val="20"/>
                <w:szCs w:val="20"/>
              </w:rPr>
              <w:t xml:space="preserve">Configure all pre-defined reports as specified in the Reporting Requirements section. Verify that each report returns accurate results against the test data set and that reports are accessible to the correct user roles.</w:t>
            </w:r>
          </w:p>
        </w:tc>
      </w:tr>
    </w:tbl>
    <w:p>
      <w:pPr>
        <w:spacing w:before="6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20"/>
              <w:left w:type="dxa" w:w="100"/>
              <w:bottom w:type="dxa" w:w="120"/>
              <w:right w:type="dxa" w:w="100"/>
            </w:tcMar>
          </w:tcPr>
          <w:p>
            <w:pPr>
              <w:jc w:val="center"/>
            </w:pPr>
            <w:r>
              <w:rPr>
                <w:rFonts w:ascii="Arial" w:cs="Arial" w:eastAsia="Arial" w:hAnsi="Arial"/>
                <w:b/>
                <w:bCs/>
                <w:color w:val="FFFFFF"/>
                <w:sz w:val="24"/>
                <w:szCs w:val="24"/>
              </w:rPr>
              <w:t xml:space="preserve">M9</w:t>
            </w:r>
          </w:p>
        </w:tc>
        <w:tc>
          <w:tcPr>
            <w:tcW w:type="dxa" w:w="8660"/>
            <w:tcBorders>
              <w:top w:val="single" w:color="BDD7EE" w:sz="1"/>
              <w:left w:val="single" w:color="BDD7EE" w:sz="1"/>
              <w:bottom w:val="single" w:color="BDD7EE" w:sz="1"/>
              <w:right w:val="single" w:color="BDD7EE" w:sz="1"/>
            </w:tcBorders>
            <w:shd w:fill="EBF3FB" w:val="clear"/>
            <w:tcMar>
              <w:top w:type="dxa" w:w="120"/>
              <w:left w:type="dxa" w:w="200"/>
              <w:bottom w:type="dxa" w:w="120"/>
              <w:right w:type="dxa" w:w="160"/>
            </w:tcMar>
          </w:tcPr>
          <w:p>
            <w:r>
              <w:rPr>
                <w:rFonts w:ascii="Arial" w:cs="Arial" w:eastAsia="Arial" w:hAnsi="Arial"/>
                <w:b/>
                <w:bCs/>
                <w:color w:val="2E4A7A"/>
                <w:sz w:val="22"/>
                <w:szCs w:val="22"/>
              </w:rPr>
              <w:t xml:space="preserve">End-to-End Testing and Validation</w:t>
            </w:r>
          </w:p>
          <w:p>
            <w:pPr>
              <w:spacing w:before="40"/>
            </w:pPr>
            <w:r>
              <w:rPr>
                <w:rFonts w:ascii="Arial" w:cs="Arial" w:eastAsia="Arial" w:hAnsi="Arial"/>
                <w:color w:val="2C3E50"/>
                <w:sz w:val="20"/>
                <w:szCs w:val="20"/>
              </w:rPr>
              <w:t xml:space="preserve">Execute a complete end-to-end test of the system using representative sample data. Test all workflow paths — approval and rejection — from both the Student and Librarian perspectives. Validate notifications, status transitions, ACL enforcement, and report outputs before formal sign-off.</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5. </w:t>
      </w:r>
      <w:r>
        <w:rPr>
          <w:rFonts w:ascii="Arial" w:cs="Arial" w:eastAsia="Arial" w:hAnsi="Arial"/>
          <w:b/>
          <w:bCs/>
          <w:color w:val="1F3864"/>
          <w:sz w:val="30"/>
          <w:szCs w:val="30"/>
        </w:rPr>
        <w:t xml:space="preserve">Resource Planning</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Resource planning ensures that all inputs required to execute the project plan are identified, available, and appropriately allocated before implementation commences. The following resources have been identified as necessary for the successful delivery of the Smart Library Request Workflow.</w:t>
      </w:r>
    </w:p>
    <w:p>
      <w:pPr>
        <w:spacing w:before="120" w:after="0"/>
      </w:pPr>
      <w:r>
        <w:rPr>
          <w:sz w:val="22"/>
          <w:szCs w:val="22"/>
        </w:rPr>
        <w:t xml:space="preserve"/>
      </w:r>
    </w:p>
    <w:p>
      <w:pPr>
        <w:spacing w:before="220" w:after="80"/>
      </w:pPr>
      <w:r>
        <w:rPr>
          <w:rFonts w:ascii="Arial" w:cs="Arial" w:eastAsia="Arial" w:hAnsi="Arial"/>
          <w:b/>
          <w:bCs/>
          <w:color w:val="2E4A7A"/>
          <w:sz w:val="24"/>
          <w:szCs w:val="24"/>
        </w:rPr>
        <w:t xml:space="preserve">5.1  Platform Resources</w:t>
      </w:r>
    </w:p>
    <w:p>
      <w:pPr>
        <w:spacing w:before="80" w:after="80" w:line="280"/>
        <w:jc w:val="both"/>
      </w:pPr>
      <w:r>
        <w:rPr>
          <w:rFonts w:ascii="Arial" w:cs="Arial" w:eastAsia="Arial" w:hAnsi="Arial"/>
          <w:color w:val="2C3E50"/>
          <w:sz w:val="22"/>
          <w:szCs w:val="22"/>
        </w:rPr>
        <w:t xml:space="preserve">The system will be developed and tested on a ServiceNow Personal Developer Instance (PDI), which provides a full-featured, isolated ServiceNow environment suitable for application development and configuration. The PDI eliminates the risk of disrupting any production system during development and provides access to all required platform capabilities, including Flow Designer, Access Control Lists, UI Policies, the Reporting engine, and the scoped application development framework.</w:t>
      </w:r>
    </w:p>
    <w:p>
      <w:pPr>
        <w:spacing w:before="220" w:after="80"/>
      </w:pPr>
      <w:r>
        <w:rPr>
          <w:rFonts w:ascii="Arial" w:cs="Arial" w:eastAsia="Arial" w:hAnsi="Arial"/>
          <w:b/>
          <w:bCs/>
          <w:color w:val="2E4A7A"/>
          <w:sz w:val="24"/>
          <w:szCs w:val="24"/>
        </w:rPr>
        <w:t xml:space="preserve">5.2  Human Resources</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Role</w:t>
            </w:r>
          </w:p>
        </w:tc>
        <w:tc>
          <w:tcPr>
            <w:tcW w:type="dxa" w:w="3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Responsibilities</w:t>
            </w:r>
          </w:p>
        </w:tc>
        <w:tc>
          <w:tcPr>
            <w:tcW w:type="dxa" w:w="31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left"/>
            </w:pPr>
            <w:r>
              <w:rPr>
                <w:rFonts w:ascii="Arial" w:cs="Arial" w:eastAsia="Arial" w:hAnsi="Arial"/>
                <w:b/>
                <w:bCs/>
                <w:color w:val="FFFFFF"/>
                <w:sz w:val="22"/>
                <w:szCs w:val="22"/>
              </w:rPr>
              <w:t xml:space="preserve">Access Level Required</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System Developer / Administrator</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Responsible for all ServiceNow configuration activities, including table creation, field setup, workflow development, ACL implementation, and report configuration.</w:t>
            </w:r>
          </w:p>
        </w:tc>
        <w:tc>
          <w:tcPr>
            <w:tcW w:type="dxa" w:w="31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Full administrative access to the ServiceNow PDI.</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Librarian (Test User)</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Participates in user acceptance testing by executing librarian-side actions such as processing approval requests, managing book records, and reviewing reports.</w:t>
            </w:r>
          </w:p>
        </w:tc>
        <w:tc>
          <w:tcPr>
            <w:tcW w:type="dxa" w:w="31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lib_librarian role on the test instance.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Student (Test User)</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Participates in user acceptance testing by submitting borrow requests, viewing request status, and verifying notification receipt.</w:t>
            </w:r>
          </w:p>
        </w:tc>
        <w:tc>
          <w:tcPr>
            <w:tcW w:type="dxa" w:w="31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lib_student role on the test instance.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pPr>
              <w:jc w:val="left"/>
            </w:pPr>
            <w:r>
              <w:rPr>
                <w:rFonts w:ascii="Arial" w:cs="Arial" w:eastAsia="Arial" w:hAnsi="Arial"/>
                <w:b/>
                <w:bCs/>
                <w:color w:val="2E4A7A"/>
                <w:sz w:val="20"/>
                <w:szCs w:val="20"/>
              </w:rPr>
              <w:t xml:space="preserve">Project Reviewer</w:t>
            </w:r>
          </w:p>
        </w:tc>
        <w:tc>
          <w:tcPr>
            <w:tcW w:type="dxa" w:w="36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Reviews completed milestones against acceptance criteria, provides sign-off on each phase of implementation, and approves the system for final deployment.</w:t>
            </w:r>
          </w:p>
        </w:tc>
        <w:tc>
          <w:tcPr>
            <w:tcW w:type="dxa" w:w="31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Read access to all tables and configuration artefacts.</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5.3  Technical Tools and Platform Features</w:t>
      </w:r>
    </w:p>
    <w:p>
      <w:pPr>
        <w:spacing w:before="80" w:after="80" w:line="280"/>
        <w:jc w:val="both"/>
      </w:pPr>
      <w:r>
        <w:rPr>
          <w:rFonts w:ascii="Arial" w:cs="Arial" w:eastAsia="Arial" w:hAnsi="Arial"/>
          <w:color w:val="2C3E50"/>
          <w:sz w:val="22"/>
          <w:szCs w:val="22"/>
        </w:rPr>
        <w:t xml:space="preserve">The following ServiceNow platform features and tools will be used during the implementation of the project. All listed tools are available natively within the ServiceNow PDI and do not require additional licensing or third-party installation.</w:t>
      </w:r>
    </w:p>
    <w:p>
      <w:pPr>
        <w:spacing w:before="8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Tool / Feature</w:t>
            </w:r>
          </w:p>
        </w:tc>
        <w:tc>
          <w:tcPr>
            <w:tcW w:type="dxa" w:w="67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pPr>
              <w:jc w:val="both"/>
            </w:pPr>
            <w:r>
              <w:rPr>
                <w:rFonts w:ascii="Arial" w:cs="Arial" w:eastAsia="Arial" w:hAnsi="Arial"/>
                <w:b/>
                <w:bCs/>
                <w:color w:val="FFFFFF"/>
                <w:sz w:val="20"/>
                <w:szCs w:val="20"/>
              </w:rPr>
              <w:t xml:space="preserve">Purpose in This Project</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Flow Designer</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Construction and activation of the automated approval workflow governing the borrowing lifecycle.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UI Policies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Dynamic form behaviour configuration to ensure contextually appropriate field visibility and validation for each user role.</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Access Control Lists (ACLs)</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Enforcement of role-based data access permissions on both custom tables across all CRUD operations.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ServiceNow Report Builder</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Configuration of operational reports including Most Borrowed Books, Book Availability Summary, and Request Status reports.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Notification Engine</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Creation and management of automated email notification templates triggered by workflow actions.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Application Scope Manager</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Encapsulation of all project artefacts within a dedicated scoped application to ensure clean separation from other platform components.</w:t>
            </w:r>
          </w:p>
        </w:tc>
      </w:tr>
      <w:tr>
        <w:tc>
          <w:tcPr>
            <w:tcW w:type="dxa" w:w="26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System Dictionary</w:t>
            </w:r>
          </w:p>
        </w:tc>
        <w:tc>
          <w:tcPr>
            <w:tcW w:type="dxa" w:w="67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b w:val="false"/>
                <w:bCs w:val="false"/>
                <w:color w:val="2C3E50"/>
                <w:sz w:val="20"/>
                <w:szCs w:val="20"/>
              </w:rPr>
              <w:t xml:space="preserve">Management of field definitions, data types, reference relationships, and mandatory constraints across both custom tables.</w:t>
            </w:r>
          </w:p>
        </w:tc>
      </w:tr>
    </w:tbl>
    <w:p>
      <w:pPr>
        <w:spacing w:before="100" w:after="0"/>
      </w:pPr>
      <w:r>
        <w:rPr>
          <w:sz w:val="22"/>
          <w:szCs w:val="22"/>
        </w:rPr>
        <w:t xml:space="preserve"/>
      </w:r>
    </w:p>
    <w:p>
      <w:pPr>
        <w:spacing w:before="220" w:after="80"/>
      </w:pPr>
      <w:r>
        <w:rPr>
          <w:rFonts w:ascii="Arial" w:cs="Arial" w:eastAsia="Arial" w:hAnsi="Arial"/>
          <w:b/>
          <w:bCs/>
          <w:color w:val="2E4A7A"/>
          <w:sz w:val="24"/>
          <w:szCs w:val="24"/>
        </w:rPr>
        <w:t xml:space="preserve">5.4  Data Resources</w:t>
      </w:r>
    </w:p>
    <w:p>
      <w:pPr>
        <w:spacing w:before="80" w:after="80" w:line="280"/>
        <w:jc w:val="both"/>
      </w:pPr>
      <w:r>
        <w:rPr>
          <w:rFonts w:ascii="Arial" w:cs="Arial" w:eastAsia="Arial" w:hAnsi="Arial"/>
          <w:color w:val="2C3E50"/>
          <w:sz w:val="22"/>
          <w:szCs w:val="22"/>
        </w:rPr>
        <w:t xml:space="preserve">A representative set of sample data will be prepared prior to the commencement of testing activities. This dataset will include a minimum of ten Book records spanning at least three category classifications, with a mix of Available, Issued, and Lost status values. A minimum of five test user accounts — three Students and two Librarians — will be created and assigned to their respective roles. Borrow Request records will be generated during testing to simulate the full approval and rejection workflow paths.</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6. </w:t>
      </w:r>
      <w:r>
        <w:rPr>
          <w:rFonts w:ascii="Arial" w:cs="Arial" w:eastAsia="Arial" w:hAnsi="Arial"/>
          <w:b/>
          <w:bCs/>
          <w:color w:val="1F3864"/>
          <w:sz w:val="30"/>
          <w:szCs w:val="30"/>
        </w:rPr>
        <w:t xml:space="preserve">Risk Management</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Risk management is an integral component of the project planning process. The identification and assessment of potential risks prior to implementation enables the project team to put mitigation strategies in place before those risks materialise, reducing the likelihood of delays, configuration errors, or system failures. The following risks have been assessed based on the nature of the implementation tasks and the characteristics of the ServiceNow platform.</w:t>
      </w:r>
    </w:p>
    <w:p>
      <w:pPr>
        <w:spacing w:before="12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Risk</w:t>
            </w:r>
          </w:p>
        </w:tc>
        <w:tc>
          <w:tcPr>
            <w:tcW w:type="dxa" w:w="14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Severity</w:t>
            </w:r>
          </w:p>
        </w:tc>
        <w:tc>
          <w:tcPr>
            <w:tcW w:type="dxa" w:w="280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Impact</w:t>
            </w:r>
          </w:p>
        </w:tc>
        <w:tc>
          <w:tcPr>
            <w:tcW w:type="dxa" w:w="2960"/>
            <w:tcBorders>
              <w:top w:val="single" w:color="BDD7EE" w:sz="1"/>
              <w:left w:val="single" w:color="BDD7EE" w:sz="1"/>
              <w:bottom w:val="single" w:color="BDD7EE" w:sz="1"/>
              <w:right w:val="single" w:color="BDD7EE" w:sz="1"/>
            </w:tcBorders>
            <w:shd w:fill="2E4A7A" w:val="clear"/>
            <w:tcMar>
              <w:top w:type="dxa" w:w="110"/>
              <w:left w:type="dxa" w:w="160"/>
              <w:bottom w:type="dxa" w:w="110"/>
              <w:right w:type="dxa" w:w="160"/>
            </w:tcMar>
          </w:tcPr>
          <w:p>
            <w:r>
              <w:rPr>
                <w:rFonts w:ascii="Arial" w:cs="Arial" w:eastAsia="Arial" w:hAnsi="Arial"/>
                <w:b/>
                <w:bCs/>
                <w:color w:val="FFFFFF"/>
                <w:sz w:val="22"/>
                <w:szCs w:val="22"/>
              </w:rPr>
              <w:t xml:space="preserve">Mitigation Strategy</w:t>
            </w:r>
          </w:p>
        </w:tc>
      </w:tr>
      <w:tr>
        <w:tc>
          <w:tcPr>
            <w:tcW w:type="dxa" w:w="22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Incorrect Role Permissions</w:t>
            </w:r>
          </w:p>
        </w:tc>
        <w:tc>
          <w:tcPr>
            <w:tcW w:type="dxa" w:w="1400"/>
            <w:tcBorders>
              <w:top w:val="single" w:color="BDD7EE" w:sz="1"/>
              <w:left w:val="single" w:color="BDD7EE" w:sz="1"/>
              <w:bottom w:val="single" w:color="BDD7EE" w:sz="1"/>
              <w:right w:val="single" w:color="BDD7EE" w:sz="1"/>
            </w:tcBorders>
            <w:shd w:fill="FDE8E8" w:val="clear"/>
            <w:tcMar>
              <w:top w:type="dxa" w:w="110"/>
              <w:left w:type="dxa" w:w="160"/>
              <w:bottom w:type="dxa" w:w="110"/>
              <w:right w:type="dxa" w:w="160"/>
            </w:tcMar>
          </w:tcPr>
          <w:p>
            <w:pPr>
              <w:jc w:val="center"/>
            </w:pPr>
            <w:r>
              <w:rPr>
                <w:rFonts w:ascii="Arial" w:cs="Arial" w:eastAsia="Arial" w:hAnsi="Arial"/>
                <w:b/>
                <w:bCs/>
                <w:color w:val="C0392B"/>
                <w:sz w:val="20"/>
                <w:szCs w:val="20"/>
              </w:rPr>
              <w:t xml:space="preserve">High</w:t>
            </w:r>
          </w:p>
        </w:tc>
        <w:tc>
          <w:tcPr>
            <w:tcW w:type="dxa" w:w="28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Students may gain access to records belonging to other users, or librarians may be prevented from performing required operational tasks, resulting in system dysfunction and potential data exposure.</w:t>
            </w:r>
          </w:p>
        </w:tc>
        <w:tc>
          <w:tcPr>
            <w:tcW w:type="dxa" w:w="2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Define and test ACLs against each role in isolation before proceeding to integration testing. Use dedicated test user accounts for each role and verify access boundaries after every ACL configuration change.</w:t>
            </w:r>
          </w:p>
        </w:tc>
      </w:tr>
      <w:tr>
        <w:tc>
          <w:tcPr>
            <w:tcW w:type="dxa" w:w="22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Workflow Configuration Errors</w:t>
            </w:r>
          </w:p>
        </w:tc>
        <w:tc>
          <w:tcPr>
            <w:tcW w:type="dxa" w:w="1400"/>
            <w:tcBorders>
              <w:top w:val="single" w:color="BDD7EE" w:sz="1"/>
              <w:left w:val="single" w:color="BDD7EE" w:sz="1"/>
              <w:bottom w:val="single" w:color="BDD7EE" w:sz="1"/>
              <w:right w:val="single" w:color="BDD7EE" w:sz="1"/>
            </w:tcBorders>
            <w:shd w:fill="FDE8E8" w:val="clear"/>
            <w:tcMar>
              <w:top w:type="dxa" w:w="110"/>
              <w:left w:type="dxa" w:w="160"/>
              <w:bottom w:type="dxa" w:w="110"/>
              <w:right w:type="dxa" w:w="160"/>
            </w:tcMar>
          </w:tcPr>
          <w:p>
            <w:pPr>
              <w:jc w:val="center"/>
            </w:pPr>
            <w:r>
              <w:rPr>
                <w:rFonts w:ascii="Arial" w:cs="Arial" w:eastAsia="Arial" w:hAnsi="Arial"/>
                <w:b/>
                <w:bCs/>
                <w:color w:val="C0392B"/>
                <w:sz w:val="20"/>
                <w:szCs w:val="20"/>
              </w:rPr>
              <w:t xml:space="preserve">High</w:t>
            </w:r>
          </w:p>
        </w:tc>
        <w:tc>
          <w:tcPr>
            <w:tcW w:type="dxa" w:w="28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Misconfigured flow triggers, incorrect approval routing, or missing notification actions may cause requests to stall, bypass librarian review, or fail to update book status correctly.</w:t>
            </w:r>
          </w:p>
        </w:tc>
        <w:tc>
          <w:tcPr>
            <w:tcW w:type="dxa" w:w="2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Test each workflow step independently using Flow Designer's built-in test execution capability before activating the full end-to-end flow. Maintain a version history of all flow revisions.</w:t>
            </w:r>
          </w:p>
        </w:tc>
      </w:tr>
      <w:tr>
        <w:tc>
          <w:tcPr>
            <w:tcW w:type="dxa" w:w="22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Data Inconsistency in Book Records</w:t>
            </w:r>
          </w:p>
        </w:tc>
        <w:tc>
          <w:tcPr>
            <w:tcW w:type="dxa" w:w="1400"/>
            <w:tcBorders>
              <w:top w:val="single" w:color="BDD7EE" w:sz="1"/>
              <w:left w:val="single" w:color="BDD7EE" w:sz="1"/>
              <w:bottom w:val="single" w:color="BDD7EE" w:sz="1"/>
              <w:right w:val="single" w:color="BDD7EE" w:sz="1"/>
            </w:tcBorders>
            <w:shd w:fill="FEF6E6" w:val="clear"/>
            <w:tcMar>
              <w:top w:type="dxa" w:w="110"/>
              <w:left w:type="dxa" w:w="160"/>
              <w:bottom w:type="dxa" w:w="110"/>
              <w:right w:type="dxa" w:w="160"/>
            </w:tcMar>
          </w:tcPr>
          <w:p>
            <w:pPr>
              <w:jc w:val="center"/>
            </w:pPr>
            <w:r>
              <w:rPr>
                <w:rFonts w:ascii="Arial" w:cs="Arial" w:eastAsia="Arial" w:hAnsi="Arial"/>
                <w:b/>
                <w:bCs/>
                <w:color w:val="C17800"/>
                <w:sz w:val="20"/>
                <w:szCs w:val="20"/>
              </w:rPr>
              <w:t xml:space="preserve">Medium</w:t>
            </w:r>
          </w:p>
        </w:tc>
        <w:tc>
          <w:tcPr>
            <w:tcW w:type="dxa" w:w="28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Concurrent updates or incorrectly sequenced workflow actions may result in a book record showing an incorrect status — for example, showing Available while simultaneously held by an active Borrow Request.</w:t>
            </w:r>
          </w:p>
        </w:tc>
        <w:tc>
          <w:tcPr>
            <w:tcW w:type="dxa" w:w="2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Implement reference qualifiers and field-level validation to prevent invalid status assignments. Test boundary conditions such as simultaneous request submissions for the same title.</w:t>
            </w:r>
          </w:p>
        </w:tc>
      </w:tr>
      <w:tr>
        <w:tc>
          <w:tcPr>
            <w:tcW w:type="dxa" w:w="22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Reference Qualifier Failures</w:t>
            </w:r>
          </w:p>
        </w:tc>
        <w:tc>
          <w:tcPr>
            <w:tcW w:type="dxa" w:w="1400"/>
            <w:tcBorders>
              <w:top w:val="single" w:color="BDD7EE" w:sz="1"/>
              <w:left w:val="single" w:color="BDD7EE" w:sz="1"/>
              <w:bottom w:val="single" w:color="BDD7EE" w:sz="1"/>
              <w:right w:val="single" w:color="BDD7EE" w:sz="1"/>
            </w:tcBorders>
            <w:shd w:fill="FEF6E6" w:val="clear"/>
            <w:tcMar>
              <w:top w:type="dxa" w:w="110"/>
              <w:left w:type="dxa" w:w="160"/>
              <w:bottom w:type="dxa" w:w="110"/>
              <w:right w:type="dxa" w:w="160"/>
            </w:tcMar>
          </w:tcPr>
          <w:p>
            <w:pPr>
              <w:jc w:val="center"/>
            </w:pPr>
            <w:r>
              <w:rPr>
                <w:rFonts w:ascii="Arial" w:cs="Arial" w:eastAsia="Arial" w:hAnsi="Arial"/>
                <w:b/>
                <w:bCs/>
                <w:color w:val="C17800"/>
                <w:sz w:val="20"/>
                <w:szCs w:val="20"/>
              </w:rPr>
              <w:t xml:space="preserve">Medium</w:t>
            </w:r>
          </w:p>
        </w:tc>
        <w:tc>
          <w:tcPr>
            <w:tcW w:type="dxa" w:w="28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Incorrectly configured reference qualifiers on the Borrow Request form may allow students to request books that are already issued, or may inadvertently filter out available titles.</w:t>
            </w:r>
          </w:p>
        </w:tc>
        <w:tc>
          <w:tcPr>
            <w:tcW w:type="dxa" w:w="2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Validate reference qualifier conditions using records with each possible book status. Document the qualifier script and review it against the acceptance criteria before milestone sign-off.</w:t>
            </w:r>
          </w:p>
        </w:tc>
      </w:tr>
      <w:tr>
        <w:tc>
          <w:tcPr>
            <w:tcW w:type="dxa" w:w="22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System Access Issues on PDI</w:t>
            </w:r>
          </w:p>
        </w:tc>
        <w:tc>
          <w:tcPr>
            <w:tcW w:type="dxa" w:w="1400"/>
            <w:tcBorders>
              <w:top w:val="single" w:color="BDD7EE" w:sz="1"/>
              <w:left w:val="single" w:color="BDD7EE" w:sz="1"/>
              <w:bottom w:val="single" w:color="BDD7EE" w:sz="1"/>
              <w:right w:val="single" w:color="BDD7EE" w:sz="1"/>
            </w:tcBorders>
            <w:shd w:fill="E8F5EE" w:val="clear"/>
            <w:tcMar>
              <w:top w:type="dxa" w:w="110"/>
              <w:left w:type="dxa" w:w="160"/>
              <w:bottom w:type="dxa" w:w="110"/>
              <w:right w:type="dxa" w:w="160"/>
            </w:tcMar>
          </w:tcPr>
          <w:p>
            <w:pPr>
              <w:jc w:val="center"/>
            </w:pPr>
            <w:r>
              <w:rPr>
                <w:rFonts w:ascii="Arial" w:cs="Arial" w:eastAsia="Arial" w:hAnsi="Arial"/>
                <w:b/>
                <w:bCs/>
                <w:color w:val="1E6B3C"/>
                <w:sz w:val="20"/>
                <w:szCs w:val="20"/>
              </w:rPr>
              <w:t xml:space="preserve">Low</w:t>
            </w:r>
          </w:p>
        </w:tc>
        <w:tc>
          <w:tcPr>
            <w:tcW w:type="dxa" w:w="28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ServiceNow Personal Developer Instances are subject to periodic hibernation and require activation before use. An inactive instance may disrupt development continuity.</w:t>
            </w:r>
          </w:p>
        </w:tc>
        <w:tc>
          <w:tcPr>
            <w:tcW w:type="dxa" w:w="2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Maintain a regular access schedule to prevent PDI hibernation. Record all configuration artefacts in an export file at the end of each development session to facilitate recovery if required.</w:t>
            </w:r>
          </w:p>
        </w:tc>
      </w:tr>
      <w:tr>
        <w:tc>
          <w:tcPr>
            <w:tcW w:type="dxa" w:w="2200"/>
            <w:tcBorders>
              <w:top w:val="single" w:color="BDD7EE" w:sz="1"/>
              <w:left w:val="single" w:color="BDD7EE" w:sz="1"/>
              <w:bottom w:val="single" w:color="BDD7EE" w:sz="1"/>
              <w:right w:val="single" w:color="BDD7EE" w:sz="1"/>
            </w:tcBorders>
            <w:shd w:fill="EBF3FB" w:val="clear"/>
            <w:tcMar>
              <w:top w:type="dxa" w:w="110"/>
              <w:left w:type="dxa" w:w="160"/>
              <w:bottom w:type="dxa" w:w="110"/>
              <w:right w:type="dxa" w:w="160"/>
            </w:tcMar>
          </w:tcPr>
          <w:p>
            <w:r>
              <w:rPr>
                <w:rFonts w:ascii="Arial" w:cs="Arial" w:eastAsia="Arial" w:hAnsi="Arial"/>
                <w:b/>
                <w:bCs/>
                <w:color w:val="2E4A7A"/>
                <w:sz w:val="20"/>
                <w:szCs w:val="20"/>
              </w:rPr>
              <w:t xml:space="preserve">Notification Delivery Failures</w:t>
            </w:r>
          </w:p>
        </w:tc>
        <w:tc>
          <w:tcPr>
            <w:tcW w:type="dxa" w:w="1400"/>
            <w:tcBorders>
              <w:top w:val="single" w:color="BDD7EE" w:sz="1"/>
              <w:left w:val="single" w:color="BDD7EE" w:sz="1"/>
              <w:bottom w:val="single" w:color="BDD7EE" w:sz="1"/>
              <w:right w:val="single" w:color="BDD7EE" w:sz="1"/>
            </w:tcBorders>
            <w:shd w:fill="E8F5EE" w:val="clear"/>
            <w:tcMar>
              <w:top w:type="dxa" w:w="110"/>
              <w:left w:type="dxa" w:w="160"/>
              <w:bottom w:type="dxa" w:w="110"/>
              <w:right w:type="dxa" w:w="160"/>
            </w:tcMar>
          </w:tcPr>
          <w:p>
            <w:pPr>
              <w:jc w:val="center"/>
            </w:pPr>
            <w:r>
              <w:rPr>
                <w:rFonts w:ascii="Arial" w:cs="Arial" w:eastAsia="Arial" w:hAnsi="Arial"/>
                <w:b/>
                <w:bCs/>
                <w:color w:val="1E6B3C"/>
                <w:sz w:val="20"/>
                <w:szCs w:val="20"/>
              </w:rPr>
              <w:t xml:space="preserve">Low</w:t>
            </w:r>
          </w:p>
        </w:tc>
        <w:tc>
          <w:tcPr>
            <w:tcW w:type="dxa" w:w="280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Email notifications may fail to reach recipients due to PDI email configuration constraints or incorrect notification template setup.</w:t>
            </w:r>
          </w:p>
        </w:tc>
        <w:tc>
          <w:tcPr>
            <w:tcW w:type="dxa" w:w="2960"/>
            <w:tcBorders>
              <w:top w:val="single" w:color="BDD7EE" w:sz="1"/>
              <w:left w:val="single" w:color="BDD7EE" w:sz="1"/>
              <w:bottom w:val="single" w:color="BDD7EE" w:sz="1"/>
              <w:right w:val="single" w:color="BDD7EE" w:sz="1"/>
            </w:tcBorders>
            <w:shd w:fill="FFFFFF" w:val="clear"/>
            <w:tcMar>
              <w:top w:type="dxa" w:w="110"/>
              <w:left w:type="dxa" w:w="160"/>
              <w:bottom w:type="dxa" w:w="110"/>
              <w:right w:type="dxa" w:w="160"/>
            </w:tcMar>
          </w:tcPr>
          <w:p>
            <w:pPr>
              <w:jc w:val="both"/>
            </w:pPr>
            <w:r>
              <w:rPr>
                <w:rFonts w:ascii="Arial" w:cs="Arial" w:eastAsia="Arial" w:hAnsi="Arial"/>
                <w:color w:val="2C3E50"/>
                <w:sz w:val="20"/>
                <w:szCs w:val="20"/>
              </w:rPr>
              <w:t xml:space="preserve">Verify the PDI email configuration before commencing workflow development. Use ServiceNow's email log to inspect delivery status during testing and adjust templates as required.</w:t>
            </w:r>
          </w:p>
        </w:tc>
      </w:tr>
    </w:tbl>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7. </w:t>
      </w:r>
      <w:r>
        <w:rPr>
          <w:rFonts w:ascii="Arial" w:cs="Arial" w:eastAsia="Arial" w:hAnsi="Arial"/>
          <w:b/>
          <w:bCs/>
          <w:color w:val="1F3864"/>
          <w:sz w:val="30"/>
          <w:szCs w:val="30"/>
        </w:rPr>
        <w:t xml:space="preserve">Implementation Strategy</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The implementation strategy defines the overall approach by which the project team will translate the documented requirements and milestones into a fully operational ServiceNow application. The strategy prioritises the use of native platform features, incremental delivery against defined milestones, and continuous validation to ensure that each component functions correctly before the next layer of configuration is introduced.</w:t>
      </w:r>
    </w:p>
    <w:p>
      <w:pPr>
        <w:spacing w:before="80" w:after="0"/>
      </w:pPr>
      <w:r>
        <w:rPr>
          <w:sz w:val="22"/>
          <w:szCs w:val="22"/>
        </w:rPr>
        <w:t xml:space="preserve"/>
      </w:r>
    </w:p>
    <w:p>
      <w:pPr>
        <w:spacing w:before="220" w:after="80"/>
      </w:pPr>
      <w:r>
        <w:rPr>
          <w:rFonts w:ascii="Arial" w:cs="Arial" w:eastAsia="Arial" w:hAnsi="Arial"/>
          <w:b/>
          <w:bCs/>
          <w:color w:val="2E4A7A"/>
          <w:sz w:val="24"/>
          <w:szCs w:val="24"/>
        </w:rPr>
        <w:t xml:space="preserve">7.1  Platform-Native Configuration Approach</w:t>
      </w:r>
    </w:p>
    <w:p>
      <w:pPr>
        <w:spacing w:before="80" w:after="80" w:line="280"/>
        <w:jc w:val="both"/>
      </w:pPr>
      <w:r>
        <w:rPr>
          <w:rFonts w:ascii="Arial" w:cs="Arial" w:eastAsia="Arial" w:hAnsi="Arial"/>
          <w:color w:val="2C3E50"/>
          <w:sz w:val="22"/>
          <w:szCs w:val="22"/>
        </w:rPr>
        <w:t xml:space="preserve">All system components will be implemented using ServiceNow's out-of-the-box capabilities wherever possible. This approach minimises the volume of custom scripting required, reduces the maintenance burden on support teams, and ensures compatibility with future ServiceNow platform upgrades. Custom scripts will only be introduced where a platform-native solution is demonstrably insufficient to meet a documented requirement.</w:t>
      </w:r>
    </w:p>
    <w:p>
      <w:pPr>
        <w:spacing w:before="220" w:after="80"/>
      </w:pPr>
      <w:r>
        <w:rPr>
          <w:rFonts w:ascii="Arial" w:cs="Arial" w:eastAsia="Arial" w:hAnsi="Arial"/>
          <w:b/>
          <w:bCs/>
          <w:color w:val="2E4A7A"/>
          <w:sz w:val="24"/>
          <w:szCs w:val="24"/>
        </w:rPr>
        <w:t xml:space="preserve">7.2  Incremental, Milestone-Driven Delivery</w:t>
      </w:r>
    </w:p>
    <w:p>
      <w:pPr>
        <w:spacing w:before="80" w:after="80" w:line="280"/>
        <w:jc w:val="both"/>
      </w:pPr>
      <w:r>
        <w:rPr>
          <w:rFonts w:ascii="Arial" w:cs="Arial" w:eastAsia="Arial" w:hAnsi="Arial"/>
          <w:color w:val="2C3E50"/>
          <w:sz w:val="22"/>
          <w:szCs w:val="22"/>
        </w:rPr>
        <w:t xml:space="preserve">Implementation will follow the nine-milestone structure defined in Section 4. Each milestone will be completed and validated before the subsequent milestone commences. This sequential approach ensures that dependencies are respected — for example, role configuration must be completed before ACLs can be accurately defined, and tables must be fully configured before workflows can reference their fields. This structured progression reduces the risk of rework caused by foundational components being modified after dependent features have been built upon them.</w:t>
      </w:r>
    </w:p>
    <w:p>
      <w:pPr>
        <w:spacing w:before="220" w:after="80"/>
      </w:pPr>
      <w:r>
        <w:rPr>
          <w:rFonts w:ascii="Arial" w:cs="Arial" w:eastAsia="Arial" w:hAnsi="Arial"/>
          <w:b/>
          <w:bCs/>
          <w:color w:val="2E4A7A"/>
          <w:sz w:val="24"/>
          <w:szCs w:val="24"/>
        </w:rPr>
        <w:t xml:space="preserve">7.3  Sample Data Testing Protocol</w:t>
      </w:r>
    </w:p>
    <w:p>
      <w:pPr>
        <w:spacing w:before="80" w:after="80" w:line="280"/>
        <w:jc w:val="both"/>
      </w:pPr>
      <w:r>
        <w:rPr>
          <w:rFonts w:ascii="Arial" w:cs="Arial" w:eastAsia="Arial" w:hAnsi="Arial"/>
          <w:color w:val="2C3E50"/>
          <w:sz w:val="22"/>
          <w:szCs w:val="22"/>
        </w:rPr>
        <w:t xml:space="preserve">Prior to the execution of each workflow or permission-related milestone, the relevant sample data will be loaded into the ServiceNow PDI. Testing will be conducted using dedicated user accounts for each role, ensuring that access boundary validation reflects real-world usage conditions. All test scenarios will be documented, including the expected outcome, the actual outcome, and a pass or fail determination. Any failed test will trigger a review and reconfiguration cycle before the milestone is considered complete.</w:t>
      </w:r>
    </w:p>
    <w:p>
      <w:pPr>
        <w:spacing w:before="220" w:after="80"/>
      </w:pPr>
      <w:r>
        <w:rPr>
          <w:rFonts w:ascii="Arial" w:cs="Arial" w:eastAsia="Arial" w:hAnsi="Arial"/>
          <w:b/>
          <w:bCs/>
          <w:color w:val="2E4A7A"/>
          <w:sz w:val="24"/>
          <w:szCs w:val="24"/>
        </w:rPr>
        <w:t xml:space="preserve">7.4  Validation and Sign-Off Process</w:t>
      </w:r>
    </w:p>
    <w:p>
      <w:pPr>
        <w:spacing w:before="80" w:after="80" w:line="280"/>
        <w:jc w:val="both"/>
      </w:pPr>
      <w:r>
        <w:rPr>
          <w:rFonts w:ascii="Arial" w:cs="Arial" w:eastAsia="Arial" w:hAnsi="Arial"/>
          <w:color w:val="2C3E50"/>
          <w:sz w:val="22"/>
          <w:szCs w:val="22"/>
        </w:rPr>
        <w:t xml:space="preserve">Upon completion of all nine milestones, an end-to-end validation exercise will be conducted covering both the approval and rejection workflow paths, all role-based access boundaries, all notification scenarios, and all configured reports. The validation will be performed by the project reviewer against a checklist derived from the functional and non-functional requirements documented in the Requirement Analysis Phase. The system will proceed to deployment only upon receipt of formal written sign-off from the project reviewer confirming that all acceptance criteria have been satisfied.</w:t>
      </w:r>
    </w:p>
    <w:p>
      <w:pPr>
        <w:spacing w:before="220" w:after="80"/>
      </w:pPr>
      <w:r>
        <w:rPr>
          <w:rFonts w:ascii="Arial" w:cs="Arial" w:eastAsia="Arial" w:hAnsi="Arial"/>
          <w:b/>
          <w:bCs/>
          <w:color w:val="2E4A7A"/>
          <w:sz w:val="24"/>
          <w:szCs w:val="24"/>
        </w:rPr>
        <w:t xml:space="preserve">7.5  Documentation and Handover</w:t>
      </w:r>
    </w:p>
    <w:p>
      <w:pPr>
        <w:spacing w:before="80" w:after="80" w:line="280"/>
        <w:jc w:val="both"/>
      </w:pPr>
      <w:r>
        <w:rPr>
          <w:rFonts w:ascii="Arial" w:cs="Arial" w:eastAsia="Arial" w:hAnsi="Arial"/>
          <w:color w:val="2C3E50"/>
          <w:sz w:val="22"/>
          <w:szCs w:val="22"/>
        </w:rPr>
        <w:t xml:space="preserve">All configuration artefacts will be documented throughout the implementation process, not retrospectively. Each milestone will produce a corresponding configuration record detailing the components created, the decisions taken, and the test results obtained. Upon project completion, these records will be compiled into a Configuration and Operations Guide that will accompany the system handover to the ongoing support team.</w:t>
      </w:r>
    </w:p>
    <w:p>
      <w:pPr>
        <w:spacing w:before="160" w:after="0"/>
      </w:pPr>
      <w:r>
        <w:rPr>
          <w:sz w:val="22"/>
          <w:szCs w:val="22"/>
        </w:rPr>
        <w:t xml:space="preserve"/>
      </w:r>
    </w:p>
    <w:p>
      <w:pPr>
        <w:spacing w:before="400" w:after="120"/>
      </w:pPr>
      <w:r>
        <w:rPr>
          <w:rFonts w:ascii="Arial" w:cs="Arial" w:eastAsia="Arial" w:hAnsi="Arial"/>
          <w:b/>
          <w:bCs/>
          <w:color w:val="2E75B6"/>
          <w:sz w:val="30"/>
          <w:szCs w:val="30"/>
        </w:rPr>
        <w:t xml:space="preserve">8. </w:t>
      </w:r>
      <w:r>
        <w:rPr>
          <w:rFonts w:ascii="Arial" w:cs="Arial" w:eastAsia="Arial" w:hAnsi="Arial"/>
          <w:b/>
          <w:bCs/>
          <w:color w:val="1F3864"/>
          <w:sz w:val="30"/>
          <w:szCs w:val="30"/>
        </w:rPr>
        <w:t xml:space="preserve">Expected Outcome</w:t>
      </w:r>
    </w:p>
    <w:p>
      <w:pPr>
        <w:pBdr>
          <w:bottom w:val="single" w:color="2E75B6" w:sz="6" w:space="1"/>
        </w:pBdr>
        <w:spacing w:before="0" w:after="200"/>
      </w:pPr>
      <w:r>
        <w:rPr>
          <w:sz w:val="4"/>
          <w:szCs w:val="4"/>
        </w:rPr>
        <w:t xml:space="preserve"/>
      </w:r>
    </w:p>
    <w:p>
      <w:pPr>
        <w:spacing w:before="80" w:after="80" w:line="280"/>
        <w:jc w:val="both"/>
      </w:pPr>
      <w:r>
        <w:rPr>
          <w:rFonts w:ascii="Arial" w:cs="Arial" w:eastAsia="Arial" w:hAnsi="Arial"/>
          <w:color w:val="2C3E50"/>
          <w:sz w:val="22"/>
          <w:szCs w:val="22"/>
        </w:rPr>
        <w:t xml:space="preserve">A well-executed project planning phase does not merely produce documentation — it creates the conditions under which a technically sound and operationally effective system can be built with confidence. By establishing a clear scope, measurable objectives, a sequenced milestone plan, an allocated resource base, a risk-aware posture, and a disciplined implementation strategy, the Project Planning Phase ensures that every subsequent activity has a defined purpose, a clear starting point, and an unambiguous criterion for success.</w:t>
      </w:r>
    </w:p>
    <w:p>
      <w:pPr>
        <w:spacing w:before="80" w:after="80" w:line="280"/>
        <w:jc w:val="both"/>
      </w:pPr>
      <w:r>
        <w:rPr>
          <w:rFonts w:ascii="Arial" w:cs="Arial" w:eastAsia="Arial" w:hAnsi="Arial"/>
          <w:color w:val="2C3E50"/>
          <w:sz w:val="22"/>
          <w:szCs w:val="22"/>
        </w:rPr>
        <w:t xml:space="preserve">For the Smart Library Request Workflow, the planning outcomes described in this document provide the project team with a complete implementation roadmap. Students will benefit from a transparent, self-service borrowing experience built on a stable, well-tested platform. Librarians will receive a centralised, workflow-driven interface that has been validated to behave correctly under realistic operating conditions. System administrators will inherit a cleanly scoped, fully documented application that can be maintained and extended without requiring deep familiarity with its original development history.</w:t>
      </w:r>
    </w:p>
    <w:p>
      <w:pPr>
        <w:spacing w:before="80" w:after="80" w:line="280"/>
        <w:jc w:val="both"/>
      </w:pPr>
      <w:r>
        <w:rPr>
          <w:rFonts w:ascii="Arial" w:cs="Arial" w:eastAsia="Arial" w:hAnsi="Arial"/>
          <w:color w:val="2C3E50"/>
          <w:sz w:val="22"/>
          <w:szCs w:val="22"/>
        </w:rPr>
        <w:t xml:space="preserve">From an institutional perspective, the planning discipline applied here ensures that the delivered system aligns precisely with the operational requirements and stakeholder expectations established at the outset of the project. Risk mitigation strategies are in place before implementation begins, testing protocols are defined before configuration commences, and acceptance criteria are agreed upon before any component is considered complete. This approach eliminates the most common sources of project failure — unclear scope, unanticipated dependencies, and insufficient testing — and maximises the probability that the Smart Library Request Workflow will be delivered on time, within scope, and to the quality standards required by the academic institution it is designed to serve.</w:t>
      </w:r>
    </w:p>
    <w:p>
      <w:pPr>
        <w:spacing w:before="200" w:after="0"/>
      </w:pPr>
      <w:r>
        <w:rPr>
          <w:sz w:val="22"/>
          <w:szCs w:val="22"/>
        </w:rPr>
        <w:t xml:space="preserve"/>
      </w:r>
    </w:p>
    <w:p>
      <w:pPr>
        <w:pBdr>
          <w:top w:val="single" w:color="1F3864" w:sz="4" w:space="1"/>
        </w:pBdr>
        <w:spacing w:before="0" w:after="80"/>
      </w:pPr>
      <w:r>
        <w:rPr>
          <w:sz w:val="4"/>
          <w:szCs w:val="4"/>
        </w:rPr>
        <w:t xml:space="preserve"/>
      </w:r>
    </w:p>
    <w:p>
      <w:pPr>
        <w:spacing w:before="0" w:after="0"/>
        <w:jc w:val="center"/>
      </w:pPr>
      <w:r>
        <w:rPr>
          <w:rFonts w:ascii="Arial" w:cs="Arial" w:eastAsia="Arial" w:hAnsi="Arial"/>
          <w:color w:val="888888"/>
          <w:sz w:val="18"/>
          <w:szCs w:val="18"/>
        </w:rPr>
        <w:t xml:space="preserve">Smart Library Request Workflow in ServiceNow  ·  Project Planning Phase  ·  v1.0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2026-03-09T06:55:11.901Z</dcterms:created>
  <dcterms:modified xsi:type="dcterms:W3CDTF">2026-03-09T06:55:11.902Z</dcterms:modified>
</cp:coreProperties>
</file>

<file path=docProps/custom.xml><?xml version="1.0" encoding="utf-8"?>
<Properties xmlns="http://schemas.openxmlformats.org/officeDocument/2006/custom-properties" xmlns:vt="http://schemas.openxmlformats.org/officeDocument/2006/docPropsVTypes"/>
</file>