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70F7" w14:textId="77777777" w:rsidR="00D33C09" w:rsidRPr="00AF5147" w:rsidRDefault="00000000">
      <w:pPr>
        <w:pStyle w:val="Title"/>
        <w:spacing w:after="80"/>
        <w:rPr>
          <w:color w:val="000000" w:themeColor="text1"/>
          <w:sz w:val="24"/>
          <w:szCs w:val="24"/>
        </w:rPr>
      </w:pPr>
      <w:r w:rsidRPr="00AF5147">
        <w:rPr>
          <w:color w:val="000000" w:themeColor="text1"/>
          <w:sz w:val="24"/>
          <w:szCs w:val="24"/>
        </w:rPr>
        <w:t>Scaling Techniques Documentation</w:t>
      </w:r>
    </w:p>
    <w:p w14:paraId="614BAB77" w14:textId="77777777" w:rsidR="00D33C09" w:rsidRPr="00AF5147" w:rsidRDefault="00000000">
      <w:pPr>
        <w:pStyle w:val="Heading2"/>
        <w:spacing w:after="40"/>
        <w:rPr>
          <w:color w:val="000000" w:themeColor="text1"/>
          <w:sz w:val="24"/>
          <w:szCs w:val="24"/>
        </w:rPr>
      </w:pPr>
      <w:r w:rsidRPr="00AF5147">
        <w:rPr>
          <w:color w:val="000000" w:themeColor="text1"/>
          <w:sz w:val="24"/>
          <w:szCs w:val="24"/>
        </w:rPr>
        <w:t>Stage 2 Data Preparation — Data Engineer Role</w:t>
      </w:r>
    </w:p>
    <w:p w14:paraId="2EFDD843" w14:textId="77777777" w:rsidR="00D33C09" w:rsidRPr="00AF5147" w:rsidRDefault="00000000">
      <w:pPr>
        <w:spacing w:after="150"/>
        <w:rPr>
          <w:color w:val="000000" w:themeColor="text1"/>
          <w:sz w:val="24"/>
          <w:szCs w:val="24"/>
        </w:rPr>
      </w:pPr>
      <w:r w:rsidRPr="00AF5147">
        <w:rPr>
          <w:color w:val="000000" w:themeColor="text1"/>
          <w:sz w:val="24"/>
          <w:szCs w:val="24"/>
        </w:rPr>
        <w:t>Prepared by: Diwakar Bhatta (Data Engineer)</w:t>
      </w:r>
    </w:p>
    <w:p w14:paraId="5B5E489F" w14:textId="77777777" w:rsidR="00D33C09" w:rsidRPr="00AF5147" w:rsidRDefault="00000000">
      <w:pPr>
        <w:spacing w:after="150"/>
        <w:rPr>
          <w:color w:val="000000" w:themeColor="text1"/>
          <w:sz w:val="24"/>
          <w:szCs w:val="24"/>
        </w:rPr>
      </w:pPr>
      <w:r w:rsidRPr="00AF5147">
        <w:rPr>
          <w:color w:val="000000" w:themeColor="text1"/>
          <w:sz w:val="24"/>
          <w:szCs w:val="24"/>
        </w:rPr>
        <w:t>Project: Customer Churn Analysis for Advanced Telecommunications Solutions (ATS)</w:t>
      </w:r>
    </w:p>
    <w:p w14:paraId="4B14E423" w14:textId="77777777" w:rsidR="00D33C09" w:rsidRPr="00AF5147" w:rsidRDefault="00000000">
      <w:pPr>
        <w:spacing w:after="150"/>
        <w:rPr>
          <w:color w:val="000000" w:themeColor="text1"/>
          <w:sz w:val="24"/>
          <w:szCs w:val="24"/>
        </w:rPr>
      </w:pPr>
      <w:r w:rsidRPr="00AF5147">
        <w:rPr>
          <w:color w:val="000000" w:themeColor="text1"/>
          <w:sz w:val="24"/>
          <w:szCs w:val="24"/>
        </w:rPr>
        <w:t>Assignment: S2W8A2 — Stage 2 Deliverables, Data Preparation (2-1)</w:t>
      </w:r>
    </w:p>
    <w:p w14:paraId="7B80ED86" w14:textId="77777777" w:rsidR="00D33C09" w:rsidRPr="00AF5147" w:rsidRDefault="00D33C09">
      <w:pPr>
        <w:pBdr>
          <w:bottom w:val="single" w:sz="6" w:space="0" w:color="CCCCCC"/>
        </w:pBdr>
        <w:spacing w:after="200"/>
        <w:rPr>
          <w:color w:val="000000" w:themeColor="text1"/>
          <w:sz w:val="24"/>
          <w:szCs w:val="24"/>
        </w:rPr>
      </w:pPr>
    </w:p>
    <w:p w14:paraId="1C253394"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t>1. Purpose</w:t>
      </w:r>
    </w:p>
    <w:p w14:paraId="5A387F05" w14:textId="77777777" w:rsidR="00D33C09" w:rsidRPr="00AF5147" w:rsidRDefault="00000000">
      <w:pPr>
        <w:spacing w:after="150"/>
        <w:rPr>
          <w:color w:val="000000" w:themeColor="text1"/>
          <w:sz w:val="24"/>
          <w:szCs w:val="24"/>
        </w:rPr>
      </w:pPr>
      <w:r w:rsidRPr="00AF5147">
        <w:rPr>
          <w:color w:val="000000" w:themeColor="text1"/>
          <w:sz w:val="24"/>
          <w:szCs w:val="24"/>
        </w:rPr>
        <w:t>This document explains the feature scaling and normalisation techniques applied to the customer churn dataset during Stage 2, as required for the Data Preparation deliverable. It covers what was scaled, why that technique was chosen, and includes the relevant code.</w:t>
      </w:r>
    </w:p>
    <w:p w14:paraId="446DBCE1"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t>2. Technique Chosen: Standardisation (Z-score Scaling)</w:t>
      </w:r>
    </w:p>
    <w:p w14:paraId="40F3EA51" w14:textId="77777777" w:rsidR="00D33C09" w:rsidRPr="00AF5147" w:rsidRDefault="00000000">
      <w:pPr>
        <w:spacing w:after="150"/>
        <w:rPr>
          <w:color w:val="000000" w:themeColor="text1"/>
          <w:sz w:val="24"/>
          <w:szCs w:val="24"/>
        </w:rPr>
      </w:pPr>
      <w:r w:rsidRPr="00AF5147">
        <w:rPr>
          <w:color w:val="000000" w:themeColor="text1"/>
          <w:sz w:val="24"/>
          <w:szCs w:val="24"/>
        </w:rPr>
        <w:t>scikit-</w:t>
      </w:r>
      <w:proofErr w:type="spellStart"/>
      <w:r w:rsidRPr="00AF5147">
        <w:rPr>
          <w:color w:val="000000" w:themeColor="text1"/>
          <w:sz w:val="24"/>
          <w:szCs w:val="24"/>
        </w:rPr>
        <w:t>learn's</w:t>
      </w:r>
      <w:proofErr w:type="spellEnd"/>
      <w:r w:rsidRPr="00AF5147">
        <w:rPr>
          <w:color w:val="000000" w:themeColor="text1"/>
          <w:sz w:val="24"/>
          <w:szCs w:val="24"/>
        </w:rPr>
        <w:t xml:space="preserve"> </w:t>
      </w:r>
      <w:proofErr w:type="spellStart"/>
      <w:r w:rsidRPr="00AF5147">
        <w:rPr>
          <w:color w:val="000000" w:themeColor="text1"/>
          <w:sz w:val="24"/>
          <w:szCs w:val="24"/>
        </w:rPr>
        <w:t>StandardScaler</w:t>
      </w:r>
      <w:proofErr w:type="spellEnd"/>
      <w:r w:rsidRPr="00AF5147">
        <w:rPr>
          <w:color w:val="000000" w:themeColor="text1"/>
          <w:sz w:val="24"/>
          <w:szCs w:val="24"/>
        </w:rPr>
        <w:t xml:space="preserve"> was applied to the continuous numeric features. Standardisation transforms each feature to have a mean of 0 and a standard deviation of 1, using the formula:</w:t>
      </w:r>
    </w:p>
    <w:p w14:paraId="6870F273" w14:textId="77777777" w:rsidR="00D33C09" w:rsidRPr="00AF5147" w:rsidRDefault="00000000">
      <w:pPr>
        <w:spacing w:after="150"/>
        <w:rPr>
          <w:color w:val="000000" w:themeColor="text1"/>
          <w:sz w:val="24"/>
          <w:szCs w:val="24"/>
        </w:rPr>
      </w:pPr>
      <w:r w:rsidRPr="00AF5147">
        <w:rPr>
          <w:color w:val="000000" w:themeColor="text1"/>
          <w:sz w:val="24"/>
          <w:szCs w:val="24"/>
        </w:rPr>
        <w:t xml:space="preserve">z = (x - mean) / </w:t>
      </w:r>
      <w:proofErr w:type="spellStart"/>
      <w:r w:rsidRPr="00AF5147">
        <w:rPr>
          <w:color w:val="000000" w:themeColor="text1"/>
          <w:sz w:val="24"/>
          <w:szCs w:val="24"/>
        </w:rPr>
        <w:t>standard_deviation</w:t>
      </w:r>
      <w:proofErr w:type="spellEnd"/>
    </w:p>
    <w:p w14:paraId="50121B7D" w14:textId="77777777" w:rsidR="00D33C09" w:rsidRPr="00AF5147" w:rsidRDefault="00000000">
      <w:pPr>
        <w:pStyle w:val="Heading2"/>
        <w:spacing w:before="250" w:after="120"/>
        <w:rPr>
          <w:color w:val="000000" w:themeColor="text1"/>
          <w:sz w:val="24"/>
          <w:szCs w:val="24"/>
        </w:rPr>
      </w:pPr>
      <w:r w:rsidRPr="00AF5147">
        <w:rPr>
          <w:color w:val="000000" w:themeColor="text1"/>
          <w:sz w:val="24"/>
          <w:szCs w:val="24"/>
        </w:rPr>
        <w:t>2.1 Why standardisation, not min-max scaling</w:t>
      </w:r>
    </w:p>
    <w:p w14:paraId="61B571F6" w14:textId="77777777" w:rsidR="00D33C09" w:rsidRPr="00AF5147" w:rsidRDefault="00000000">
      <w:pPr>
        <w:pStyle w:val="ListParagraph"/>
        <w:numPr>
          <w:ilvl w:val="0"/>
          <w:numId w:val="1"/>
        </w:numPr>
        <w:spacing w:after="80"/>
        <w:rPr>
          <w:color w:val="000000" w:themeColor="text1"/>
          <w:sz w:val="24"/>
          <w:szCs w:val="24"/>
        </w:rPr>
      </w:pPr>
      <w:r w:rsidRPr="00AF5147">
        <w:rPr>
          <w:color w:val="000000" w:themeColor="text1"/>
          <w:sz w:val="24"/>
          <w:szCs w:val="24"/>
        </w:rPr>
        <w:t xml:space="preserve">The next deliverable in Stage 2 is K-Means clustering, which is a distance-based algorithm. Features on very different scales (e.g. </w:t>
      </w:r>
      <w:proofErr w:type="spellStart"/>
      <w:r w:rsidRPr="00AF5147">
        <w:rPr>
          <w:color w:val="000000" w:themeColor="text1"/>
          <w:sz w:val="24"/>
          <w:szCs w:val="24"/>
        </w:rPr>
        <w:t>EstimatedTotalCharges</w:t>
      </w:r>
      <w:proofErr w:type="spellEnd"/>
      <w:r w:rsidRPr="00AF5147">
        <w:rPr>
          <w:color w:val="000000" w:themeColor="text1"/>
          <w:sz w:val="24"/>
          <w:szCs w:val="24"/>
        </w:rPr>
        <w:t xml:space="preserve"> reaching into the thousands vs. </w:t>
      </w:r>
      <w:proofErr w:type="spellStart"/>
      <w:r w:rsidRPr="00AF5147">
        <w:rPr>
          <w:color w:val="000000" w:themeColor="text1"/>
          <w:sz w:val="24"/>
          <w:szCs w:val="24"/>
        </w:rPr>
        <w:t>ServiceCount</w:t>
      </w:r>
      <w:proofErr w:type="spellEnd"/>
      <w:r w:rsidRPr="00AF5147">
        <w:rPr>
          <w:color w:val="000000" w:themeColor="text1"/>
          <w:sz w:val="24"/>
          <w:szCs w:val="24"/>
        </w:rPr>
        <w:t xml:space="preserve"> ranging 0-3) would otherwise dominate the Euclidean distance calculation.</w:t>
      </w:r>
    </w:p>
    <w:p w14:paraId="08E1C542" w14:textId="77777777" w:rsidR="00D33C09" w:rsidRPr="00AF5147" w:rsidRDefault="00000000">
      <w:pPr>
        <w:pStyle w:val="ListParagraph"/>
        <w:numPr>
          <w:ilvl w:val="0"/>
          <w:numId w:val="1"/>
        </w:numPr>
        <w:spacing w:after="80"/>
        <w:rPr>
          <w:color w:val="000000" w:themeColor="text1"/>
          <w:sz w:val="24"/>
          <w:szCs w:val="24"/>
        </w:rPr>
      </w:pPr>
      <w:r w:rsidRPr="00AF5147">
        <w:rPr>
          <w:color w:val="000000" w:themeColor="text1"/>
          <w:sz w:val="24"/>
          <w:szCs w:val="24"/>
        </w:rPr>
        <w:t xml:space="preserve">Standardisation puts all numeric features on a comparable scale (mean 0, unit variance) without compressing outliers into a fixed [0,1] range the way min-max scaling would, which matters here since </w:t>
      </w:r>
      <w:proofErr w:type="spellStart"/>
      <w:r w:rsidRPr="00AF5147">
        <w:rPr>
          <w:color w:val="000000" w:themeColor="text1"/>
          <w:sz w:val="24"/>
          <w:szCs w:val="24"/>
        </w:rPr>
        <w:t>MonthlyCharges</w:t>
      </w:r>
      <w:proofErr w:type="spellEnd"/>
      <w:r w:rsidRPr="00AF5147">
        <w:rPr>
          <w:color w:val="000000" w:themeColor="text1"/>
          <w:sz w:val="24"/>
          <w:szCs w:val="24"/>
        </w:rPr>
        <w:t xml:space="preserve"> and </w:t>
      </w:r>
      <w:proofErr w:type="spellStart"/>
      <w:r w:rsidRPr="00AF5147">
        <w:rPr>
          <w:color w:val="000000" w:themeColor="text1"/>
          <w:sz w:val="24"/>
          <w:szCs w:val="24"/>
        </w:rPr>
        <w:t>EstimatedTotalCharges</w:t>
      </w:r>
      <w:proofErr w:type="spellEnd"/>
      <w:r w:rsidRPr="00AF5147">
        <w:rPr>
          <w:color w:val="000000" w:themeColor="text1"/>
          <w:sz w:val="24"/>
          <w:szCs w:val="24"/>
        </w:rPr>
        <w:t xml:space="preserve"> are right-skewed.</w:t>
      </w:r>
    </w:p>
    <w:p w14:paraId="5859351D" w14:textId="77777777" w:rsidR="00D33C09" w:rsidRPr="00AF5147" w:rsidRDefault="00000000">
      <w:pPr>
        <w:pStyle w:val="ListParagraph"/>
        <w:numPr>
          <w:ilvl w:val="0"/>
          <w:numId w:val="1"/>
        </w:numPr>
        <w:spacing w:after="80"/>
        <w:rPr>
          <w:color w:val="000000" w:themeColor="text1"/>
          <w:sz w:val="24"/>
          <w:szCs w:val="24"/>
        </w:rPr>
      </w:pPr>
      <w:r w:rsidRPr="00AF5147">
        <w:rPr>
          <w:color w:val="000000" w:themeColor="text1"/>
          <w:sz w:val="24"/>
          <w:szCs w:val="24"/>
        </w:rPr>
        <w:t>Binary and one-hot encoded columns (already 0/1) were left unscaled, since they are already on a comparable range to each other and standardising them would reduce interpretability without benefiting distance-based clustering.</w:t>
      </w:r>
    </w:p>
    <w:p w14:paraId="715785F4" w14:textId="77777777" w:rsidR="00D33C09" w:rsidRPr="00AF5147" w:rsidRDefault="00000000">
      <w:pPr>
        <w:pStyle w:val="Heading2"/>
        <w:spacing w:before="250" w:after="120"/>
        <w:rPr>
          <w:color w:val="000000" w:themeColor="text1"/>
          <w:sz w:val="24"/>
          <w:szCs w:val="24"/>
        </w:rPr>
      </w:pPr>
      <w:r w:rsidRPr="00AF5147">
        <w:rPr>
          <w:color w:val="000000" w:themeColor="text1"/>
          <w:sz w:val="24"/>
          <w:szCs w:val="24"/>
        </w:rPr>
        <w:t>2.2 Features scaled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400"/>
      </w:tblGrid>
      <w:tr w:rsidR="00D33C09" w:rsidRPr="00AF5147" w14:paraId="3C82975E" w14:textId="77777777">
        <w:tblPrEx>
          <w:tblCellMar>
            <w:top w:w="0" w:type="dxa"/>
            <w:bottom w:w="0" w:type="dxa"/>
          </w:tblCellMar>
        </w:tblPrEx>
        <w:tc>
          <w:tcPr>
            <w:tcW w:w="3200" w:type="dxa"/>
            <w:shd w:val="clear" w:color="auto" w:fill="2F5496"/>
          </w:tcPr>
          <w:p w14:paraId="45BADB79" w14:textId="77777777" w:rsidR="00D33C09" w:rsidRPr="00AF5147" w:rsidRDefault="00000000">
            <w:pPr>
              <w:rPr>
                <w:color w:val="000000" w:themeColor="text1"/>
                <w:sz w:val="24"/>
                <w:szCs w:val="24"/>
              </w:rPr>
            </w:pPr>
            <w:r w:rsidRPr="00AF5147">
              <w:rPr>
                <w:color w:val="000000" w:themeColor="text1"/>
                <w:sz w:val="24"/>
                <w:szCs w:val="24"/>
              </w:rPr>
              <w:t>Feature</w:t>
            </w:r>
          </w:p>
        </w:tc>
        <w:tc>
          <w:tcPr>
            <w:tcW w:w="2600" w:type="dxa"/>
            <w:shd w:val="clear" w:color="auto" w:fill="2F5496"/>
          </w:tcPr>
          <w:p w14:paraId="2C829849" w14:textId="77777777" w:rsidR="00D33C09" w:rsidRPr="00AF5147" w:rsidRDefault="00000000">
            <w:pPr>
              <w:rPr>
                <w:color w:val="000000" w:themeColor="text1"/>
                <w:sz w:val="24"/>
                <w:szCs w:val="24"/>
              </w:rPr>
            </w:pPr>
            <w:r w:rsidRPr="00AF5147">
              <w:rPr>
                <w:color w:val="000000" w:themeColor="text1"/>
                <w:sz w:val="24"/>
                <w:szCs w:val="24"/>
              </w:rPr>
              <w:t>Type</w:t>
            </w:r>
          </w:p>
        </w:tc>
        <w:tc>
          <w:tcPr>
            <w:tcW w:w="3400" w:type="dxa"/>
            <w:shd w:val="clear" w:color="auto" w:fill="2F5496"/>
          </w:tcPr>
          <w:p w14:paraId="2918EE81" w14:textId="77777777" w:rsidR="00D33C09" w:rsidRPr="00AF5147" w:rsidRDefault="00000000">
            <w:pPr>
              <w:rPr>
                <w:color w:val="000000" w:themeColor="text1"/>
                <w:sz w:val="24"/>
                <w:szCs w:val="24"/>
              </w:rPr>
            </w:pPr>
            <w:r w:rsidRPr="00AF5147">
              <w:rPr>
                <w:color w:val="000000" w:themeColor="text1"/>
                <w:sz w:val="24"/>
                <w:szCs w:val="24"/>
              </w:rPr>
              <w:t>Reason scaled</w:t>
            </w:r>
          </w:p>
        </w:tc>
      </w:tr>
      <w:tr w:rsidR="00D33C09" w:rsidRPr="00AF5147" w14:paraId="4BEE51D7" w14:textId="77777777">
        <w:tblPrEx>
          <w:tblCellMar>
            <w:top w:w="0" w:type="dxa"/>
            <w:bottom w:w="0" w:type="dxa"/>
          </w:tblCellMar>
        </w:tblPrEx>
        <w:tc>
          <w:tcPr>
            <w:tcW w:w="3200" w:type="dxa"/>
          </w:tcPr>
          <w:p w14:paraId="78F5B614" w14:textId="77777777" w:rsidR="00D33C09" w:rsidRPr="00AF5147" w:rsidRDefault="00000000">
            <w:pPr>
              <w:rPr>
                <w:color w:val="000000" w:themeColor="text1"/>
                <w:sz w:val="24"/>
                <w:szCs w:val="24"/>
              </w:rPr>
            </w:pPr>
            <w:r w:rsidRPr="00AF5147">
              <w:rPr>
                <w:color w:val="000000" w:themeColor="text1"/>
                <w:sz w:val="24"/>
                <w:szCs w:val="24"/>
              </w:rPr>
              <w:t>tenure</w:t>
            </w:r>
          </w:p>
        </w:tc>
        <w:tc>
          <w:tcPr>
            <w:tcW w:w="2600" w:type="dxa"/>
          </w:tcPr>
          <w:p w14:paraId="055721AB" w14:textId="77777777" w:rsidR="00D33C09" w:rsidRPr="00AF5147" w:rsidRDefault="00000000">
            <w:pPr>
              <w:rPr>
                <w:color w:val="000000" w:themeColor="text1"/>
                <w:sz w:val="24"/>
                <w:szCs w:val="24"/>
              </w:rPr>
            </w:pPr>
            <w:r w:rsidRPr="00AF5147">
              <w:rPr>
                <w:color w:val="000000" w:themeColor="text1"/>
                <w:sz w:val="24"/>
                <w:szCs w:val="24"/>
              </w:rPr>
              <w:t>Numeric</w:t>
            </w:r>
          </w:p>
        </w:tc>
        <w:tc>
          <w:tcPr>
            <w:tcW w:w="3400" w:type="dxa"/>
          </w:tcPr>
          <w:p w14:paraId="7AB34F18" w14:textId="77777777" w:rsidR="00D33C09" w:rsidRPr="00AF5147" w:rsidRDefault="00000000">
            <w:pPr>
              <w:rPr>
                <w:color w:val="000000" w:themeColor="text1"/>
                <w:sz w:val="24"/>
                <w:szCs w:val="24"/>
              </w:rPr>
            </w:pPr>
            <w:r w:rsidRPr="00AF5147">
              <w:rPr>
                <w:color w:val="000000" w:themeColor="text1"/>
                <w:sz w:val="24"/>
                <w:szCs w:val="24"/>
              </w:rPr>
              <w:t>Range 0-72 months; large scale relative to binary flags</w:t>
            </w:r>
          </w:p>
        </w:tc>
      </w:tr>
      <w:tr w:rsidR="00D33C09" w:rsidRPr="00AF5147" w14:paraId="242754EE" w14:textId="77777777">
        <w:tblPrEx>
          <w:tblCellMar>
            <w:top w:w="0" w:type="dxa"/>
            <w:bottom w:w="0" w:type="dxa"/>
          </w:tblCellMar>
        </w:tblPrEx>
        <w:tc>
          <w:tcPr>
            <w:tcW w:w="3200" w:type="dxa"/>
          </w:tcPr>
          <w:p w14:paraId="10C68458" w14:textId="77777777" w:rsidR="00D33C09" w:rsidRPr="00AF5147" w:rsidRDefault="00000000">
            <w:pPr>
              <w:rPr>
                <w:color w:val="000000" w:themeColor="text1"/>
                <w:sz w:val="24"/>
                <w:szCs w:val="24"/>
              </w:rPr>
            </w:pPr>
            <w:proofErr w:type="spellStart"/>
            <w:r w:rsidRPr="00AF5147">
              <w:rPr>
                <w:color w:val="000000" w:themeColor="text1"/>
                <w:sz w:val="24"/>
                <w:szCs w:val="24"/>
              </w:rPr>
              <w:t>MonthlyCharges</w:t>
            </w:r>
            <w:proofErr w:type="spellEnd"/>
          </w:p>
        </w:tc>
        <w:tc>
          <w:tcPr>
            <w:tcW w:w="2600" w:type="dxa"/>
          </w:tcPr>
          <w:p w14:paraId="2ACFD247" w14:textId="77777777" w:rsidR="00D33C09" w:rsidRPr="00AF5147" w:rsidRDefault="00000000">
            <w:pPr>
              <w:rPr>
                <w:color w:val="000000" w:themeColor="text1"/>
                <w:sz w:val="24"/>
                <w:szCs w:val="24"/>
              </w:rPr>
            </w:pPr>
            <w:r w:rsidRPr="00AF5147">
              <w:rPr>
                <w:color w:val="000000" w:themeColor="text1"/>
                <w:sz w:val="24"/>
                <w:szCs w:val="24"/>
              </w:rPr>
              <w:t>Numeric</w:t>
            </w:r>
          </w:p>
        </w:tc>
        <w:tc>
          <w:tcPr>
            <w:tcW w:w="3400" w:type="dxa"/>
          </w:tcPr>
          <w:p w14:paraId="01C2AB03" w14:textId="77777777" w:rsidR="00D33C09" w:rsidRPr="00AF5147" w:rsidRDefault="00000000">
            <w:pPr>
              <w:rPr>
                <w:color w:val="000000" w:themeColor="text1"/>
                <w:sz w:val="24"/>
                <w:szCs w:val="24"/>
              </w:rPr>
            </w:pPr>
            <w:r w:rsidRPr="00AF5147">
              <w:rPr>
                <w:color w:val="000000" w:themeColor="text1"/>
                <w:sz w:val="24"/>
                <w:szCs w:val="24"/>
              </w:rPr>
              <w:t>Range $18-$119; currency scale</w:t>
            </w:r>
          </w:p>
        </w:tc>
      </w:tr>
      <w:tr w:rsidR="00D33C09" w:rsidRPr="00AF5147" w14:paraId="113EE428" w14:textId="77777777">
        <w:tblPrEx>
          <w:tblCellMar>
            <w:top w:w="0" w:type="dxa"/>
            <w:bottom w:w="0" w:type="dxa"/>
          </w:tblCellMar>
        </w:tblPrEx>
        <w:tc>
          <w:tcPr>
            <w:tcW w:w="3200" w:type="dxa"/>
          </w:tcPr>
          <w:p w14:paraId="13F1E2D7" w14:textId="77777777" w:rsidR="00D33C09" w:rsidRPr="00AF5147" w:rsidRDefault="00000000">
            <w:pPr>
              <w:rPr>
                <w:color w:val="000000" w:themeColor="text1"/>
                <w:sz w:val="24"/>
                <w:szCs w:val="24"/>
              </w:rPr>
            </w:pPr>
            <w:proofErr w:type="spellStart"/>
            <w:r w:rsidRPr="00AF5147">
              <w:rPr>
                <w:color w:val="000000" w:themeColor="text1"/>
                <w:sz w:val="24"/>
                <w:szCs w:val="24"/>
              </w:rPr>
              <w:t>EstimatedTotalCharges</w:t>
            </w:r>
            <w:proofErr w:type="spellEnd"/>
          </w:p>
        </w:tc>
        <w:tc>
          <w:tcPr>
            <w:tcW w:w="2600" w:type="dxa"/>
          </w:tcPr>
          <w:p w14:paraId="41981B50" w14:textId="77777777" w:rsidR="00D33C09" w:rsidRPr="00AF5147" w:rsidRDefault="00000000">
            <w:pPr>
              <w:rPr>
                <w:color w:val="000000" w:themeColor="text1"/>
                <w:sz w:val="24"/>
                <w:szCs w:val="24"/>
              </w:rPr>
            </w:pPr>
            <w:r w:rsidRPr="00AF5147">
              <w:rPr>
                <w:color w:val="000000" w:themeColor="text1"/>
                <w:sz w:val="24"/>
                <w:szCs w:val="24"/>
              </w:rPr>
              <w:t>Numeric (engineered)</w:t>
            </w:r>
          </w:p>
        </w:tc>
        <w:tc>
          <w:tcPr>
            <w:tcW w:w="3400" w:type="dxa"/>
          </w:tcPr>
          <w:p w14:paraId="035C914D" w14:textId="77777777" w:rsidR="00D33C09" w:rsidRPr="00AF5147" w:rsidRDefault="00000000">
            <w:pPr>
              <w:rPr>
                <w:color w:val="000000" w:themeColor="text1"/>
                <w:sz w:val="24"/>
                <w:szCs w:val="24"/>
              </w:rPr>
            </w:pPr>
            <w:r w:rsidRPr="00AF5147">
              <w:rPr>
                <w:color w:val="000000" w:themeColor="text1"/>
                <w:sz w:val="24"/>
                <w:szCs w:val="24"/>
              </w:rPr>
              <w:t>Range into the thousands; would otherwise dominate distance calculations</w:t>
            </w:r>
          </w:p>
        </w:tc>
      </w:tr>
      <w:tr w:rsidR="00D33C09" w:rsidRPr="00AF5147" w14:paraId="281F5097" w14:textId="77777777">
        <w:tblPrEx>
          <w:tblCellMar>
            <w:top w:w="0" w:type="dxa"/>
            <w:bottom w:w="0" w:type="dxa"/>
          </w:tblCellMar>
        </w:tblPrEx>
        <w:tc>
          <w:tcPr>
            <w:tcW w:w="3200" w:type="dxa"/>
          </w:tcPr>
          <w:p w14:paraId="34C39A50" w14:textId="77777777" w:rsidR="00D33C09" w:rsidRPr="00AF5147" w:rsidRDefault="00000000">
            <w:pPr>
              <w:rPr>
                <w:color w:val="000000" w:themeColor="text1"/>
                <w:sz w:val="24"/>
                <w:szCs w:val="24"/>
              </w:rPr>
            </w:pPr>
            <w:proofErr w:type="spellStart"/>
            <w:r w:rsidRPr="00AF5147">
              <w:rPr>
                <w:color w:val="000000" w:themeColor="text1"/>
                <w:sz w:val="24"/>
                <w:szCs w:val="24"/>
              </w:rPr>
              <w:t>ContractLengthMonths</w:t>
            </w:r>
            <w:proofErr w:type="spellEnd"/>
          </w:p>
        </w:tc>
        <w:tc>
          <w:tcPr>
            <w:tcW w:w="2600" w:type="dxa"/>
          </w:tcPr>
          <w:p w14:paraId="4F03C95A" w14:textId="77777777" w:rsidR="00D33C09" w:rsidRPr="00AF5147" w:rsidRDefault="00000000">
            <w:pPr>
              <w:rPr>
                <w:color w:val="000000" w:themeColor="text1"/>
                <w:sz w:val="24"/>
                <w:szCs w:val="24"/>
              </w:rPr>
            </w:pPr>
            <w:r w:rsidRPr="00AF5147">
              <w:rPr>
                <w:color w:val="000000" w:themeColor="text1"/>
                <w:sz w:val="24"/>
                <w:szCs w:val="24"/>
              </w:rPr>
              <w:t>Numeric (engineered)</w:t>
            </w:r>
          </w:p>
        </w:tc>
        <w:tc>
          <w:tcPr>
            <w:tcW w:w="3400" w:type="dxa"/>
          </w:tcPr>
          <w:p w14:paraId="5F5056D0" w14:textId="77777777" w:rsidR="00D33C09" w:rsidRPr="00AF5147" w:rsidRDefault="00000000">
            <w:pPr>
              <w:rPr>
                <w:color w:val="000000" w:themeColor="text1"/>
                <w:sz w:val="24"/>
                <w:szCs w:val="24"/>
              </w:rPr>
            </w:pPr>
            <w:r w:rsidRPr="00AF5147">
              <w:rPr>
                <w:color w:val="000000" w:themeColor="text1"/>
                <w:sz w:val="24"/>
                <w:szCs w:val="24"/>
              </w:rPr>
              <w:t>Range 1-24; different scale to binary flags</w:t>
            </w:r>
          </w:p>
        </w:tc>
      </w:tr>
      <w:tr w:rsidR="00D33C09" w:rsidRPr="00AF5147" w14:paraId="4CECD7BB" w14:textId="77777777">
        <w:tblPrEx>
          <w:tblCellMar>
            <w:top w:w="0" w:type="dxa"/>
            <w:bottom w:w="0" w:type="dxa"/>
          </w:tblCellMar>
        </w:tblPrEx>
        <w:tc>
          <w:tcPr>
            <w:tcW w:w="3200" w:type="dxa"/>
          </w:tcPr>
          <w:p w14:paraId="54638154" w14:textId="77777777" w:rsidR="00D33C09" w:rsidRPr="00AF5147" w:rsidRDefault="00000000">
            <w:pPr>
              <w:rPr>
                <w:color w:val="000000" w:themeColor="text1"/>
                <w:sz w:val="24"/>
                <w:szCs w:val="24"/>
              </w:rPr>
            </w:pPr>
            <w:proofErr w:type="spellStart"/>
            <w:r w:rsidRPr="00AF5147">
              <w:rPr>
                <w:color w:val="000000" w:themeColor="text1"/>
                <w:sz w:val="24"/>
                <w:szCs w:val="24"/>
              </w:rPr>
              <w:t>ServiceCount</w:t>
            </w:r>
            <w:proofErr w:type="spellEnd"/>
          </w:p>
        </w:tc>
        <w:tc>
          <w:tcPr>
            <w:tcW w:w="2600" w:type="dxa"/>
          </w:tcPr>
          <w:p w14:paraId="08655081" w14:textId="77777777" w:rsidR="00D33C09" w:rsidRPr="00AF5147" w:rsidRDefault="00000000">
            <w:pPr>
              <w:rPr>
                <w:color w:val="000000" w:themeColor="text1"/>
                <w:sz w:val="24"/>
                <w:szCs w:val="24"/>
              </w:rPr>
            </w:pPr>
            <w:r w:rsidRPr="00AF5147">
              <w:rPr>
                <w:color w:val="000000" w:themeColor="text1"/>
                <w:sz w:val="24"/>
                <w:szCs w:val="24"/>
              </w:rPr>
              <w:t>Numeric (engineered)</w:t>
            </w:r>
          </w:p>
        </w:tc>
        <w:tc>
          <w:tcPr>
            <w:tcW w:w="3400" w:type="dxa"/>
          </w:tcPr>
          <w:p w14:paraId="31CE284D" w14:textId="77777777" w:rsidR="00D33C09" w:rsidRPr="00AF5147" w:rsidRDefault="00000000">
            <w:pPr>
              <w:rPr>
                <w:color w:val="000000" w:themeColor="text1"/>
                <w:sz w:val="24"/>
                <w:szCs w:val="24"/>
              </w:rPr>
            </w:pPr>
            <w:r w:rsidRPr="00AF5147">
              <w:rPr>
                <w:color w:val="000000" w:themeColor="text1"/>
                <w:sz w:val="24"/>
                <w:szCs w:val="24"/>
              </w:rPr>
              <w:t>Range 0-3; kept consistent with other numeric features</w:t>
            </w:r>
          </w:p>
        </w:tc>
      </w:tr>
    </w:tbl>
    <w:p w14:paraId="351CFEE5"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lastRenderedPageBreak/>
        <w:t>3. Preventing Data Leakage</w:t>
      </w:r>
    </w:p>
    <w:p w14:paraId="346B687D" w14:textId="77777777" w:rsidR="00D33C09" w:rsidRPr="00AF5147" w:rsidRDefault="00000000">
      <w:pPr>
        <w:spacing w:after="150"/>
        <w:rPr>
          <w:color w:val="000000" w:themeColor="text1"/>
          <w:sz w:val="24"/>
          <w:szCs w:val="24"/>
        </w:rPr>
      </w:pPr>
      <w:r w:rsidRPr="00AF5147">
        <w:rPr>
          <w:color w:val="000000" w:themeColor="text1"/>
          <w:sz w:val="24"/>
          <w:szCs w:val="24"/>
        </w:rPr>
        <w:t>The scaler was fit only on the training set, then used to transform both the training and testing sets. Fitting on the full dataset (including test data) before splitting would leak information about the test set's distribution into the scaling parameters, giving an overly optimistic view of how the model would perform on genuinely unseen data.</w:t>
      </w:r>
    </w:p>
    <w:p w14:paraId="17946053"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t>4. Code</w:t>
      </w:r>
    </w:p>
    <w:p w14:paraId="32400C9F" w14:textId="77777777" w:rsidR="00D33C09" w:rsidRPr="00AF514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sz w:val="24"/>
          <w:szCs w:val="24"/>
        </w:rPr>
      </w:pPr>
      <w:r w:rsidRPr="00AF5147">
        <w:rPr>
          <w:rFonts w:eastAsia="Consolas"/>
          <w:color w:val="000000" w:themeColor="text1"/>
          <w:sz w:val="24"/>
          <w:szCs w:val="24"/>
        </w:rPr>
        <w:t xml:space="preserve">from </w:t>
      </w:r>
      <w:proofErr w:type="spellStart"/>
      <w:r w:rsidRPr="00AF5147">
        <w:rPr>
          <w:rFonts w:eastAsia="Consolas"/>
          <w:color w:val="000000" w:themeColor="text1"/>
          <w:sz w:val="24"/>
          <w:szCs w:val="24"/>
        </w:rPr>
        <w:t>sklearn.preprocessing</w:t>
      </w:r>
      <w:proofErr w:type="spellEnd"/>
      <w:r w:rsidRPr="00AF5147">
        <w:rPr>
          <w:rFonts w:eastAsia="Consolas"/>
          <w:color w:val="000000" w:themeColor="text1"/>
          <w:sz w:val="24"/>
          <w:szCs w:val="24"/>
        </w:rPr>
        <w:t xml:space="preserve"> import </w:t>
      </w:r>
      <w:proofErr w:type="spellStart"/>
      <w:r w:rsidRPr="00AF5147">
        <w:rPr>
          <w:rFonts w:eastAsia="Consolas"/>
          <w:color w:val="000000" w:themeColor="text1"/>
          <w:sz w:val="24"/>
          <w:szCs w:val="24"/>
        </w:rPr>
        <w:t>StandardScaler</w:t>
      </w:r>
      <w:proofErr w:type="spellEnd"/>
      <w:r w:rsidRPr="00AF5147">
        <w:rPr>
          <w:rFonts w:eastAsia="Consolas"/>
          <w:color w:val="000000" w:themeColor="text1"/>
          <w:sz w:val="24"/>
          <w:szCs w:val="24"/>
        </w:rPr>
        <w:br/>
      </w:r>
      <w:r w:rsidRPr="00AF5147">
        <w:rPr>
          <w:rFonts w:eastAsia="Consolas"/>
          <w:color w:val="000000" w:themeColor="text1"/>
          <w:sz w:val="24"/>
          <w:szCs w:val="24"/>
        </w:rPr>
        <w:br/>
      </w:r>
      <w:proofErr w:type="spellStart"/>
      <w:r w:rsidRPr="00AF5147">
        <w:rPr>
          <w:rFonts w:eastAsia="Consolas"/>
          <w:color w:val="000000" w:themeColor="text1"/>
          <w:sz w:val="24"/>
          <w:szCs w:val="24"/>
        </w:rPr>
        <w:t>numeric_cols_to_scale</w:t>
      </w:r>
      <w:proofErr w:type="spellEnd"/>
      <w:r w:rsidRPr="00AF5147">
        <w:rPr>
          <w:rFonts w:eastAsia="Consolas"/>
          <w:color w:val="000000" w:themeColor="text1"/>
          <w:sz w:val="24"/>
          <w:szCs w:val="24"/>
        </w:rPr>
        <w:t xml:space="preserve"> = ['tenure', '</w:t>
      </w:r>
      <w:proofErr w:type="spellStart"/>
      <w:r w:rsidRPr="00AF5147">
        <w:rPr>
          <w:rFonts w:eastAsia="Consolas"/>
          <w:color w:val="000000" w:themeColor="text1"/>
          <w:sz w:val="24"/>
          <w:szCs w:val="24"/>
        </w:rPr>
        <w:t>MonthlyCharges</w:t>
      </w:r>
      <w:proofErr w:type="spellEnd"/>
      <w:r w:rsidRPr="00AF5147">
        <w:rPr>
          <w:rFonts w:eastAsia="Consolas"/>
          <w:color w:val="000000" w:themeColor="text1"/>
          <w:sz w:val="24"/>
          <w:szCs w:val="24"/>
        </w:rPr>
        <w:t>', '</w:t>
      </w:r>
      <w:proofErr w:type="spellStart"/>
      <w:r w:rsidRPr="00AF5147">
        <w:rPr>
          <w:rFonts w:eastAsia="Consolas"/>
          <w:color w:val="000000" w:themeColor="text1"/>
          <w:sz w:val="24"/>
          <w:szCs w:val="24"/>
        </w:rPr>
        <w:t>EstimatedTotalCharges</w:t>
      </w:r>
      <w:proofErr w:type="spellEnd"/>
      <w:r w:rsidRPr="00AF5147">
        <w:rPr>
          <w:rFonts w:eastAsia="Consolas"/>
          <w:color w:val="000000" w:themeColor="text1"/>
          <w:sz w:val="24"/>
          <w:szCs w:val="24"/>
        </w:rPr>
        <w:t>',</w:t>
      </w:r>
      <w:r w:rsidRPr="00AF5147">
        <w:rPr>
          <w:rFonts w:eastAsia="Consolas"/>
          <w:color w:val="000000" w:themeColor="text1"/>
          <w:sz w:val="24"/>
          <w:szCs w:val="24"/>
        </w:rPr>
        <w:br/>
        <w:t xml:space="preserve">                          '</w:t>
      </w:r>
      <w:proofErr w:type="spellStart"/>
      <w:r w:rsidRPr="00AF5147">
        <w:rPr>
          <w:rFonts w:eastAsia="Consolas"/>
          <w:color w:val="000000" w:themeColor="text1"/>
          <w:sz w:val="24"/>
          <w:szCs w:val="24"/>
        </w:rPr>
        <w:t>ContractLengthMonths</w:t>
      </w:r>
      <w:proofErr w:type="spellEnd"/>
      <w:r w:rsidRPr="00AF5147">
        <w:rPr>
          <w:rFonts w:eastAsia="Consolas"/>
          <w:color w:val="000000" w:themeColor="text1"/>
          <w:sz w:val="24"/>
          <w:szCs w:val="24"/>
        </w:rPr>
        <w:t>', '</w:t>
      </w:r>
      <w:proofErr w:type="spellStart"/>
      <w:r w:rsidRPr="00AF5147">
        <w:rPr>
          <w:rFonts w:eastAsia="Consolas"/>
          <w:color w:val="000000" w:themeColor="text1"/>
          <w:sz w:val="24"/>
          <w:szCs w:val="24"/>
        </w:rPr>
        <w:t>ServiceCount</w:t>
      </w:r>
      <w:proofErr w:type="spellEnd"/>
      <w:r w:rsidRPr="00AF5147">
        <w:rPr>
          <w:rFonts w:eastAsia="Consolas"/>
          <w:color w:val="000000" w:themeColor="text1"/>
          <w:sz w:val="24"/>
          <w:szCs w:val="24"/>
        </w:rPr>
        <w:t>']</w:t>
      </w:r>
      <w:r w:rsidRPr="00AF5147">
        <w:rPr>
          <w:rFonts w:eastAsia="Consolas"/>
          <w:color w:val="000000" w:themeColor="text1"/>
          <w:sz w:val="24"/>
          <w:szCs w:val="24"/>
        </w:rPr>
        <w:br/>
      </w:r>
      <w:r w:rsidRPr="00AF5147">
        <w:rPr>
          <w:rFonts w:eastAsia="Consolas"/>
          <w:color w:val="000000" w:themeColor="text1"/>
          <w:sz w:val="24"/>
          <w:szCs w:val="24"/>
        </w:rPr>
        <w:br/>
        <w:t xml:space="preserve">scaler = </w:t>
      </w:r>
      <w:proofErr w:type="spellStart"/>
      <w:r w:rsidRPr="00AF5147">
        <w:rPr>
          <w:rFonts w:eastAsia="Consolas"/>
          <w:color w:val="000000" w:themeColor="text1"/>
          <w:sz w:val="24"/>
          <w:szCs w:val="24"/>
        </w:rPr>
        <w:t>StandardScaler</w:t>
      </w:r>
      <w:proofErr w:type="spellEnd"/>
      <w:r w:rsidRPr="00AF5147">
        <w:rPr>
          <w:rFonts w:eastAsia="Consolas"/>
          <w:color w:val="000000" w:themeColor="text1"/>
          <w:sz w:val="24"/>
          <w:szCs w:val="24"/>
        </w:rPr>
        <w:t>()</w:t>
      </w:r>
      <w:r w:rsidRPr="00AF5147">
        <w:rPr>
          <w:rFonts w:eastAsia="Consolas"/>
          <w:color w:val="000000" w:themeColor="text1"/>
          <w:sz w:val="24"/>
          <w:szCs w:val="24"/>
        </w:rPr>
        <w:br/>
      </w:r>
      <w:proofErr w:type="spellStart"/>
      <w:r w:rsidRPr="00AF5147">
        <w:rPr>
          <w:rFonts w:eastAsia="Consolas"/>
          <w:color w:val="000000" w:themeColor="text1"/>
          <w:sz w:val="24"/>
          <w:szCs w:val="24"/>
        </w:rPr>
        <w:t>train_scaled</w:t>
      </w:r>
      <w:proofErr w:type="spellEnd"/>
      <w:r w:rsidRPr="00AF5147">
        <w:rPr>
          <w:rFonts w:eastAsia="Consolas"/>
          <w:color w:val="000000" w:themeColor="text1"/>
          <w:sz w:val="24"/>
          <w:szCs w:val="24"/>
        </w:rPr>
        <w:t xml:space="preserve"> = </w:t>
      </w:r>
      <w:proofErr w:type="spellStart"/>
      <w:r w:rsidRPr="00AF5147">
        <w:rPr>
          <w:rFonts w:eastAsia="Consolas"/>
          <w:color w:val="000000" w:themeColor="text1"/>
          <w:sz w:val="24"/>
          <w:szCs w:val="24"/>
        </w:rPr>
        <w:t>train_df.copy</w:t>
      </w:r>
      <w:proofErr w:type="spellEnd"/>
      <w:r w:rsidRPr="00AF5147">
        <w:rPr>
          <w:rFonts w:eastAsia="Consolas"/>
          <w:color w:val="000000" w:themeColor="text1"/>
          <w:sz w:val="24"/>
          <w:szCs w:val="24"/>
        </w:rPr>
        <w:t>()</w:t>
      </w:r>
      <w:r w:rsidRPr="00AF5147">
        <w:rPr>
          <w:rFonts w:eastAsia="Consolas"/>
          <w:color w:val="000000" w:themeColor="text1"/>
          <w:sz w:val="24"/>
          <w:szCs w:val="24"/>
        </w:rPr>
        <w:br/>
      </w:r>
      <w:proofErr w:type="spellStart"/>
      <w:r w:rsidRPr="00AF5147">
        <w:rPr>
          <w:rFonts w:eastAsia="Consolas"/>
          <w:color w:val="000000" w:themeColor="text1"/>
          <w:sz w:val="24"/>
          <w:szCs w:val="24"/>
        </w:rPr>
        <w:t>test_scaled</w:t>
      </w:r>
      <w:proofErr w:type="spellEnd"/>
      <w:r w:rsidRPr="00AF5147">
        <w:rPr>
          <w:rFonts w:eastAsia="Consolas"/>
          <w:color w:val="000000" w:themeColor="text1"/>
          <w:sz w:val="24"/>
          <w:szCs w:val="24"/>
        </w:rPr>
        <w:t xml:space="preserve"> = </w:t>
      </w:r>
      <w:proofErr w:type="spellStart"/>
      <w:r w:rsidRPr="00AF5147">
        <w:rPr>
          <w:rFonts w:eastAsia="Consolas"/>
          <w:color w:val="000000" w:themeColor="text1"/>
          <w:sz w:val="24"/>
          <w:szCs w:val="24"/>
        </w:rPr>
        <w:t>test_df.copy</w:t>
      </w:r>
      <w:proofErr w:type="spellEnd"/>
      <w:r w:rsidRPr="00AF5147">
        <w:rPr>
          <w:rFonts w:eastAsia="Consolas"/>
          <w:color w:val="000000" w:themeColor="text1"/>
          <w:sz w:val="24"/>
          <w:szCs w:val="24"/>
        </w:rPr>
        <w:t>()</w:t>
      </w:r>
      <w:r w:rsidRPr="00AF5147">
        <w:rPr>
          <w:rFonts w:eastAsia="Consolas"/>
          <w:color w:val="000000" w:themeColor="text1"/>
          <w:sz w:val="24"/>
          <w:szCs w:val="24"/>
        </w:rPr>
        <w:br/>
      </w:r>
      <w:r w:rsidRPr="00AF5147">
        <w:rPr>
          <w:rFonts w:eastAsia="Consolas"/>
          <w:color w:val="000000" w:themeColor="text1"/>
          <w:sz w:val="24"/>
          <w:szCs w:val="24"/>
        </w:rPr>
        <w:br/>
        <w:t># Fit on training data only, then transform both sets</w:t>
      </w:r>
      <w:r w:rsidRPr="00AF5147">
        <w:rPr>
          <w:rFonts w:eastAsia="Consolas"/>
          <w:color w:val="000000" w:themeColor="text1"/>
          <w:sz w:val="24"/>
          <w:szCs w:val="24"/>
        </w:rPr>
        <w:br/>
      </w:r>
      <w:proofErr w:type="spellStart"/>
      <w:r w:rsidRPr="00AF5147">
        <w:rPr>
          <w:rFonts w:eastAsia="Consolas"/>
          <w:color w:val="000000" w:themeColor="text1"/>
          <w:sz w:val="24"/>
          <w:szCs w:val="24"/>
        </w:rPr>
        <w:t>train_scaled</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numeric_cols_to_scale</w:t>
      </w:r>
      <w:proofErr w:type="spellEnd"/>
      <w:r w:rsidRPr="00AF5147">
        <w:rPr>
          <w:rFonts w:eastAsia="Consolas"/>
          <w:color w:val="000000" w:themeColor="text1"/>
          <w:sz w:val="24"/>
          <w:szCs w:val="24"/>
        </w:rPr>
        <w:t xml:space="preserve">] = </w:t>
      </w:r>
      <w:proofErr w:type="spellStart"/>
      <w:r w:rsidRPr="00AF5147">
        <w:rPr>
          <w:rFonts w:eastAsia="Consolas"/>
          <w:color w:val="000000" w:themeColor="text1"/>
          <w:sz w:val="24"/>
          <w:szCs w:val="24"/>
        </w:rPr>
        <w:t>scaler.fit_transform</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train_df</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numeric_cols_to_scale</w:t>
      </w:r>
      <w:proofErr w:type="spellEnd"/>
      <w:r w:rsidRPr="00AF5147">
        <w:rPr>
          <w:rFonts w:eastAsia="Consolas"/>
          <w:color w:val="000000" w:themeColor="text1"/>
          <w:sz w:val="24"/>
          <w:szCs w:val="24"/>
        </w:rPr>
        <w:t>])</w:t>
      </w:r>
      <w:r w:rsidRPr="00AF5147">
        <w:rPr>
          <w:rFonts w:eastAsia="Consolas"/>
          <w:color w:val="000000" w:themeColor="text1"/>
          <w:sz w:val="24"/>
          <w:szCs w:val="24"/>
        </w:rPr>
        <w:br/>
      </w:r>
      <w:proofErr w:type="spellStart"/>
      <w:r w:rsidRPr="00AF5147">
        <w:rPr>
          <w:rFonts w:eastAsia="Consolas"/>
          <w:color w:val="000000" w:themeColor="text1"/>
          <w:sz w:val="24"/>
          <w:szCs w:val="24"/>
        </w:rPr>
        <w:t>test_scaled</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numeric_cols_to_scale</w:t>
      </w:r>
      <w:proofErr w:type="spellEnd"/>
      <w:r w:rsidRPr="00AF5147">
        <w:rPr>
          <w:rFonts w:eastAsia="Consolas"/>
          <w:color w:val="000000" w:themeColor="text1"/>
          <w:sz w:val="24"/>
          <w:szCs w:val="24"/>
        </w:rPr>
        <w:t xml:space="preserve">] = </w:t>
      </w:r>
      <w:proofErr w:type="spellStart"/>
      <w:r w:rsidRPr="00AF5147">
        <w:rPr>
          <w:rFonts w:eastAsia="Consolas"/>
          <w:color w:val="000000" w:themeColor="text1"/>
          <w:sz w:val="24"/>
          <w:szCs w:val="24"/>
        </w:rPr>
        <w:t>scaler.transform</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test_df</w:t>
      </w:r>
      <w:proofErr w:type="spellEnd"/>
      <w:r w:rsidRPr="00AF5147">
        <w:rPr>
          <w:rFonts w:eastAsia="Consolas"/>
          <w:color w:val="000000" w:themeColor="text1"/>
          <w:sz w:val="24"/>
          <w:szCs w:val="24"/>
        </w:rPr>
        <w:t>[</w:t>
      </w:r>
      <w:proofErr w:type="spellStart"/>
      <w:r w:rsidRPr="00AF5147">
        <w:rPr>
          <w:rFonts w:eastAsia="Consolas"/>
          <w:color w:val="000000" w:themeColor="text1"/>
          <w:sz w:val="24"/>
          <w:szCs w:val="24"/>
        </w:rPr>
        <w:t>numeric_cols_to_scale</w:t>
      </w:r>
      <w:proofErr w:type="spellEnd"/>
      <w:r w:rsidRPr="00AF5147">
        <w:rPr>
          <w:rFonts w:eastAsia="Consolas"/>
          <w:color w:val="000000" w:themeColor="text1"/>
          <w:sz w:val="24"/>
          <w:szCs w:val="24"/>
        </w:rPr>
        <w:t>])</w:t>
      </w:r>
    </w:p>
    <w:p w14:paraId="5E30F9A4"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t>5. Resulting Scaler Parameters (learned from the training 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00"/>
        <w:gridCol w:w="2700"/>
      </w:tblGrid>
      <w:tr w:rsidR="00D33C09" w:rsidRPr="00AF5147" w14:paraId="2DA6E9D4" w14:textId="77777777">
        <w:tblPrEx>
          <w:tblCellMar>
            <w:top w:w="0" w:type="dxa"/>
            <w:bottom w:w="0" w:type="dxa"/>
          </w:tblCellMar>
        </w:tblPrEx>
        <w:tc>
          <w:tcPr>
            <w:tcW w:w="3800" w:type="dxa"/>
            <w:shd w:val="clear" w:color="auto" w:fill="2F5496"/>
          </w:tcPr>
          <w:p w14:paraId="17E5E62B" w14:textId="77777777" w:rsidR="00D33C09" w:rsidRPr="00AF5147" w:rsidRDefault="00000000">
            <w:pPr>
              <w:rPr>
                <w:color w:val="000000" w:themeColor="text1"/>
                <w:sz w:val="24"/>
                <w:szCs w:val="24"/>
              </w:rPr>
            </w:pPr>
            <w:r w:rsidRPr="00AF5147">
              <w:rPr>
                <w:color w:val="000000" w:themeColor="text1"/>
                <w:sz w:val="24"/>
                <w:szCs w:val="24"/>
              </w:rPr>
              <w:t>Feature</w:t>
            </w:r>
          </w:p>
        </w:tc>
        <w:tc>
          <w:tcPr>
            <w:tcW w:w="2700" w:type="dxa"/>
            <w:shd w:val="clear" w:color="auto" w:fill="2F5496"/>
          </w:tcPr>
          <w:p w14:paraId="69BBAE13" w14:textId="77777777" w:rsidR="00D33C09" w:rsidRPr="00AF5147" w:rsidRDefault="00000000">
            <w:pPr>
              <w:rPr>
                <w:color w:val="000000" w:themeColor="text1"/>
                <w:sz w:val="24"/>
                <w:szCs w:val="24"/>
              </w:rPr>
            </w:pPr>
            <w:r w:rsidRPr="00AF5147">
              <w:rPr>
                <w:color w:val="000000" w:themeColor="text1"/>
                <w:sz w:val="24"/>
                <w:szCs w:val="24"/>
              </w:rPr>
              <w:t>Mean</w:t>
            </w:r>
          </w:p>
        </w:tc>
        <w:tc>
          <w:tcPr>
            <w:tcW w:w="2700" w:type="dxa"/>
            <w:shd w:val="clear" w:color="auto" w:fill="2F5496"/>
          </w:tcPr>
          <w:p w14:paraId="6012006B" w14:textId="77777777" w:rsidR="00D33C09" w:rsidRPr="00AF5147" w:rsidRDefault="00000000">
            <w:pPr>
              <w:rPr>
                <w:color w:val="000000" w:themeColor="text1"/>
                <w:sz w:val="24"/>
                <w:szCs w:val="24"/>
              </w:rPr>
            </w:pPr>
            <w:r w:rsidRPr="00AF5147">
              <w:rPr>
                <w:color w:val="000000" w:themeColor="text1"/>
                <w:sz w:val="24"/>
                <w:szCs w:val="24"/>
              </w:rPr>
              <w:t>Std. Dev.</w:t>
            </w:r>
          </w:p>
        </w:tc>
      </w:tr>
      <w:tr w:rsidR="00D33C09" w:rsidRPr="00AF5147" w14:paraId="423A8B57" w14:textId="77777777">
        <w:tblPrEx>
          <w:tblCellMar>
            <w:top w:w="0" w:type="dxa"/>
            <w:bottom w:w="0" w:type="dxa"/>
          </w:tblCellMar>
        </w:tblPrEx>
        <w:tc>
          <w:tcPr>
            <w:tcW w:w="3800" w:type="dxa"/>
          </w:tcPr>
          <w:p w14:paraId="77654580" w14:textId="77777777" w:rsidR="00D33C09" w:rsidRPr="00AF5147" w:rsidRDefault="00000000">
            <w:pPr>
              <w:rPr>
                <w:color w:val="000000" w:themeColor="text1"/>
                <w:sz w:val="24"/>
                <w:szCs w:val="24"/>
              </w:rPr>
            </w:pPr>
            <w:r w:rsidRPr="00AF5147">
              <w:rPr>
                <w:color w:val="000000" w:themeColor="text1"/>
                <w:sz w:val="24"/>
                <w:szCs w:val="24"/>
              </w:rPr>
              <w:t>tenure</w:t>
            </w:r>
          </w:p>
        </w:tc>
        <w:tc>
          <w:tcPr>
            <w:tcW w:w="2700" w:type="dxa"/>
          </w:tcPr>
          <w:p w14:paraId="03283764" w14:textId="77777777" w:rsidR="00D33C09" w:rsidRPr="00AF5147" w:rsidRDefault="00000000">
            <w:pPr>
              <w:rPr>
                <w:color w:val="000000" w:themeColor="text1"/>
                <w:sz w:val="24"/>
                <w:szCs w:val="24"/>
              </w:rPr>
            </w:pPr>
            <w:r w:rsidRPr="00AF5147">
              <w:rPr>
                <w:color w:val="000000" w:themeColor="text1"/>
                <w:sz w:val="24"/>
                <w:szCs w:val="24"/>
              </w:rPr>
              <w:t>33.030</w:t>
            </w:r>
          </w:p>
        </w:tc>
        <w:tc>
          <w:tcPr>
            <w:tcW w:w="2700" w:type="dxa"/>
          </w:tcPr>
          <w:p w14:paraId="38E19C6B" w14:textId="77777777" w:rsidR="00D33C09" w:rsidRPr="00AF5147" w:rsidRDefault="00000000">
            <w:pPr>
              <w:rPr>
                <w:color w:val="000000" w:themeColor="text1"/>
                <w:sz w:val="24"/>
                <w:szCs w:val="24"/>
              </w:rPr>
            </w:pPr>
            <w:r w:rsidRPr="00AF5147">
              <w:rPr>
                <w:color w:val="000000" w:themeColor="text1"/>
                <w:sz w:val="24"/>
                <w:szCs w:val="24"/>
              </w:rPr>
              <w:t>24.313</w:t>
            </w:r>
          </w:p>
        </w:tc>
      </w:tr>
      <w:tr w:rsidR="00D33C09" w:rsidRPr="00AF5147" w14:paraId="4D8C5DEE" w14:textId="77777777">
        <w:tblPrEx>
          <w:tblCellMar>
            <w:top w:w="0" w:type="dxa"/>
            <w:bottom w:w="0" w:type="dxa"/>
          </w:tblCellMar>
        </w:tblPrEx>
        <w:tc>
          <w:tcPr>
            <w:tcW w:w="3800" w:type="dxa"/>
          </w:tcPr>
          <w:p w14:paraId="5B006A9C" w14:textId="77777777" w:rsidR="00D33C09" w:rsidRPr="00AF5147" w:rsidRDefault="00000000">
            <w:pPr>
              <w:rPr>
                <w:color w:val="000000" w:themeColor="text1"/>
                <w:sz w:val="24"/>
                <w:szCs w:val="24"/>
              </w:rPr>
            </w:pPr>
            <w:proofErr w:type="spellStart"/>
            <w:r w:rsidRPr="00AF5147">
              <w:rPr>
                <w:color w:val="000000" w:themeColor="text1"/>
                <w:sz w:val="24"/>
                <w:szCs w:val="24"/>
              </w:rPr>
              <w:t>MonthlyCharges</w:t>
            </w:r>
            <w:proofErr w:type="spellEnd"/>
          </w:p>
        </w:tc>
        <w:tc>
          <w:tcPr>
            <w:tcW w:w="2700" w:type="dxa"/>
          </w:tcPr>
          <w:p w14:paraId="3A06D2FD" w14:textId="77777777" w:rsidR="00D33C09" w:rsidRPr="00AF5147" w:rsidRDefault="00000000">
            <w:pPr>
              <w:rPr>
                <w:color w:val="000000" w:themeColor="text1"/>
                <w:sz w:val="24"/>
                <w:szCs w:val="24"/>
              </w:rPr>
            </w:pPr>
            <w:r w:rsidRPr="00AF5147">
              <w:rPr>
                <w:color w:val="000000" w:themeColor="text1"/>
                <w:sz w:val="24"/>
                <w:szCs w:val="24"/>
              </w:rPr>
              <w:t>65.959</w:t>
            </w:r>
          </w:p>
        </w:tc>
        <w:tc>
          <w:tcPr>
            <w:tcW w:w="2700" w:type="dxa"/>
          </w:tcPr>
          <w:p w14:paraId="32D91877" w14:textId="77777777" w:rsidR="00D33C09" w:rsidRPr="00AF5147" w:rsidRDefault="00000000">
            <w:pPr>
              <w:rPr>
                <w:color w:val="000000" w:themeColor="text1"/>
                <w:sz w:val="24"/>
                <w:szCs w:val="24"/>
              </w:rPr>
            </w:pPr>
            <w:r w:rsidRPr="00AF5147">
              <w:rPr>
                <w:color w:val="000000" w:themeColor="text1"/>
                <w:sz w:val="24"/>
                <w:szCs w:val="24"/>
              </w:rPr>
              <w:t>29.633</w:t>
            </w:r>
          </w:p>
        </w:tc>
      </w:tr>
      <w:tr w:rsidR="00D33C09" w:rsidRPr="00AF5147" w14:paraId="60060F60" w14:textId="77777777">
        <w:tblPrEx>
          <w:tblCellMar>
            <w:top w:w="0" w:type="dxa"/>
            <w:bottom w:w="0" w:type="dxa"/>
          </w:tblCellMar>
        </w:tblPrEx>
        <w:tc>
          <w:tcPr>
            <w:tcW w:w="3800" w:type="dxa"/>
          </w:tcPr>
          <w:p w14:paraId="1CFC3EFE" w14:textId="77777777" w:rsidR="00D33C09" w:rsidRPr="00AF5147" w:rsidRDefault="00000000">
            <w:pPr>
              <w:rPr>
                <w:color w:val="000000" w:themeColor="text1"/>
                <w:sz w:val="24"/>
                <w:szCs w:val="24"/>
              </w:rPr>
            </w:pPr>
            <w:proofErr w:type="spellStart"/>
            <w:r w:rsidRPr="00AF5147">
              <w:rPr>
                <w:color w:val="000000" w:themeColor="text1"/>
                <w:sz w:val="24"/>
                <w:szCs w:val="24"/>
              </w:rPr>
              <w:t>EstimatedTotalCharges</w:t>
            </w:r>
            <w:proofErr w:type="spellEnd"/>
          </w:p>
        </w:tc>
        <w:tc>
          <w:tcPr>
            <w:tcW w:w="2700" w:type="dxa"/>
          </w:tcPr>
          <w:p w14:paraId="14094D59" w14:textId="77777777" w:rsidR="00D33C09" w:rsidRPr="00AF5147" w:rsidRDefault="00000000">
            <w:pPr>
              <w:rPr>
                <w:color w:val="000000" w:themeColor="text1"/>
                <w:sz w:val="24"/>
                <w:szCs w:val="24"/>
              </w:rPr>
            </w:pPr>
            <w:r w:rsidRPr="00AF5147">
              <w:rPr>
                <w:color w:val="000000" w:themeColor="text1"/>
                <w:sz w:val="24"/>
                <w:szCs w:val="24"/>
              </w:rPr>
              <w:t>2340.381</w:t>
            </w:r>
          </w:p>
        </w:tc>
        <w:tc>
          <w:tcPr>
            <w:tcW w:w="2700" w:type="dxa"/>
          </w:tcPr>
          <w:p w14:paraId="43E91637" w14:textId="77777777" w:rsidR="00D33C09" w:rsidRPr="00AF5147" w:rsidRDefault="00000000">
            <w:pPr>
              <w:rPr>
                <w:color w:val="000000" w:themeColor="text1"/>
                <w:sz w:val="24"/>
                <w:szCs w:val="24"/>
              </w:rPr>
            </w:pPr>
            <w:r w:rsidRPr="00AF5147">
              <w:rPr>
                <w:color w:val="000000" w:themeColor="text1"/>
                <w:sz w:val="24"/>
                <w:szCs w:val="24"/>
              </w:rPr>
              <w:t>2260.390</w:t>
            </w:r>
          </w:p>
        </w:tc>
      </w:tr>
      <w:tr w:rsidR="00D33C09" w:rsidRPr="00AF5147" w14:paraId="114B436A" w14:textId="77777777">
        <w:tblPrEx>
          <w:tblCellMar>
            <w:top w:w="0" w:type="dxa"/>
            <w:bottom w:w="0" w:type="dxa"/>
          </w:tblCellMar>
        </w:tblPrEx>
        <w:tc>
          <w:tcPr>
            <w:tcW w:w="3800" w:type="dxa"/>
          </w:tcPr>
          <w:p w14:paraId="6388B615" w14:textId="77777777" w:rsidR="00D33C09" w:rsidRPr="00AF5147" w:rsidRDefault="00000000">
            <w:pPr>
              <w:rPr>
                <w:color w:val="000000" w:themeColor="text1"/>
                <w:sz w:val="24"/>
                <w:szCs w:val="24"/>
              </w:rPr>
            </w:pPr>
            <w:proofErr w:type="spellStart"/>
            <w:r w:rsidRPr="00AF5147">
              <w:rPr>
                <w:color w:val="000000" w:themeColor="text1"/>
                <w:sz w:val="24"/>
                <w:szCs w:val="24"/>
              </w:rPr>
              <w:t>ContractLengthMonths</w:t>
            </w:r>
            <w:proofErr w:type="spellEnd"/>
          </w:p>
        </w:tc>
        <w:tc>
          <w:tcPr>
            <w:tcW w:w="2700" w:type="dxa"/>
          </w:tcPr>
          <w:p w14:paraId="0EBE262A" w14:textId="77777777" w:rsidR="00D33C09" w:rsidRPr="00AF5147" w:rsidRDefault="00000000">
            <w:pPr>
              <w:rPr>
                <w:color w:val="000000" w:themeColor="text1"/>
                <w:sz w:val="24"/>
                <w:szCs w:val="24"/>
              </w:rPr>
            </w:pPr>
            <w:r w:rsidRPr="00AF5147">
              <w:rPr>
                <w:color w:val="000000" w:themeColor="text1"/>
                <w:sz w:val="24"/>
                <w:szCs w:val="24"/>
              </w:rPr>
              <w:t>9.162</w:t>
            </w:r>
          </w:p>
        </w:tc>
        <w:tc>
          <w:tcPr>
            <w:tcW w:w="2700" w:type="dxa"/>
          </w:tcPr>
          <w:p w14:paraId="2FCAC744" w14:textId="77777777" w:rsidR="00D33C09" w:rsidRPr="00AF5147" w:rsidRDefault="00000000">
            <w:pPr>
              <w:rPr>
                <w:color w:val="000000" w:themeColor="text1"/>
                <w:sz w:val="24"/>
                <w:szCs w:val="24"/>
              </w:rPr>
            </w:pPr>
            <w:r w:rsidRPr="00AF5147">
              <w:rPr>
                <w:color w:val="000000" w:themeColor="text1"/>
                <w:sz w:val="24"/>
                <w:szCs w:val="24"/>
              </w:rPr>
              <w:t>9.637</w:t>
            </w:r>
          </w:p>
        </w:tc>
      </w:tr>
      <w:tr w:rsidR="00D33C09" w:rsidRPr="00AF5147" w14:paraId="49147AE2" w14:textId="77777777">
        <w:tblPrEx>
          <w:tblCellMar>
            <w:top w:w="0" w:type="dxa"/>
            <w:bottom w:w="0" w:type="dxa"/>
          </w:tblCellMar>
        </w:tblPrEx>
        <w:tc>
          <w:tcPr>
            <w:tcW w:w="3800" w:type="dxa"/>
          </w:tcPr>
          <w:p w14:paraId="0F65E678" w14:textId="77777777" w:rsidR="00D33C09" w:rsidRPr="00AF5147" w:rsidRDefault="00000000">
            <w:pPr>
              <w:rPr>
                <w:color w:val="000000" w:themeColor="text1"/>
                <w:sz w:val="24"/>
                <w:szCs w:val="24"/>
              </w:rPr>
            </w:pPr>
            <w:proofErr w:type="spellStart"/>
            <w:r w:rsidRPr="00AF5147">
              <w:rPr>
                <w:color w:val="000000" w:themeColor="text1"/>
                <w:sz w:val="24"/>
                <w:szCs w:val="24"/>
              </w:rPr>
              <w:t>ServiceCount</w:t>
            </w:r>
            <w:proofErr w:type="spellEnd"/>
          </w:p>
        </w:tc>
        <w:tc>
          <w:tcPr>
            <w:tcW w:w="2700" w:type="dxa"/>
          </w:tcPr>
          <w:p w14:paraId="53473C78" w14:textId="77777777" w:rsidR="00D33C09" w:rsidRPr="00AF5147" w:rsidRDefault="00000000">
            <w:pPr>
              <w:rPr>
                <w:color w:val="000000" w:themeColor="text1"/>
                <w:sz w:val="24"/>
                <w:szCs w:val="24"/>
              </w:rPr>
            </w:pPr>
            <w:r w:rsidRPr="00AF5147">
              <w:rPr>
                <w:color w:val="000000" w:themeColor="text1"/>
                <w:sz w:val="24"/>
                <w:szCs w:val="24"/>
              </w:rPr>
              <w:t>2.322</w:t>
            </w:r>
          </w:p>
        </w:tc>
        <w:tc>
          <w:tcPr>
            <w:tcW w:w="2700" w:type="dxa"/>
          </w:tcPr>
          <w:p w14:paraId="6EE7AE3E" w14:textId="77777777" w:rsidR="00D33C09" w:rsidRPr="00AF5147" w:rsidRDefault="00000000">
            <w:pPr>
              <w:rPr>
                <w:color w:val="000000" w:themeColor="text1"/>
                <w:sz w:val="24"/>
                <w:szCs w:val="24"/>
              </w:rPr>
            </w:pPr>
            <w:r w:rsidRPr="00AF5147">
              <w:rPr>
                <w:color w:val="000000" w:themeColor="text1"/>
                <w:sz w:val="24"/>
                <w:szCs w:val="24"/>
              </w:rPr>
              <w:t>0.588</w:t>
            </w:r>
          </w:p>
        </w:tc>
      </w:tr>
    </w:tbl>
    <w:p w14:paraId="31BAFB68" w14:textId="77777777" w:rsidR="00D33C09" w:rsidRPr="00AF5147" w:rsidRDefault="00000000">
      <w:pPr>
        <w:spacing w:after="150"/>
        <w:rPr>
          <w:color w:val="000000" w:themeColor="text1"/>
          <w:sz w:val="24"/>
          <w:szCs w:val="24"/>
        </w:rPr>
      </w:pPr>
      <w:r w:rsidRPr="00AF5147">
        <w:rPr>
          <w:color w:val="000000" w:themeColor="text1"/>
          <w:sz w:val="24"/>
          <w:szCs w:val="24"/>
        </w:rPr>
        <w:t>After transformation, all five scaled columns in the training set have a mean of 0.000 and a standard deviation of 1.000, confirmed by re-</w:t>
      </w:r>
      <w:proofErr w:type="gramStart"/>
      <w:r w:rsidRPr="00AF5147">
        <w:rPr>
          <w:color w:val="000000" w:themeColor="text1"/>
          <w:sz w:val="24"/>
          <w:szCs w:val="24"/>
        </w:rPr>
        <w:t>running .describe</w:t>
      </w:r>
      <w:proofErr w:type="gramEnd"/>
      <w:r w:rsidRPr="00AF5147">
        <w:rPr>
          <w:color w:val="000000" w:themeColor="text1"/>
          <w:sz w:val="24"/>
          <w:szCs w:val="24"/>
        </w:rPr>
        <w:t>() on the scaled training data.</w:t>
      </w:r>
    </w:p>
    <w:p w14:paraId="6D4B8D4F" w14:textId="77777777" w:rsidR="00D33C09" w:rsidRPr="00AF5147" w:rsidRDefault="00000000">
      <w:pPr>
        <w:pStyle w:val="Heading1"/>
        <w:spacing w:before="300" w:after="150"/>
        <w:rPr>
          <w:color w:val="000000" w:themeColor="text1"/>
          <w:sz w:val="24"/>
          <w:szCs w:val="24"/>
        </w:rPr>
      </w:pPr>
      <w:r w:rsidRPr="00AF5147">
        <w:rPr>
          <w:color w:val="000000" w:themeColor="text1"/>
          <w:sz w:val="24"/>
          <w:szCs w:val="24"/>
        </w:rPr>
        <w:t>6. Files Produced</w:t>
      </w:r>
    </w:p>
    <w:p w14:paraId="06790950" w14:textId="77777777" w:rsidR="00D33C09" w:rsidRPr="00AF5147" w:rsidRDefault="00000000">
      <w:pPr>
        <w:pStyle w:val="ListParagraph"/>
        <w:numPr>
          <w:ilvl w:val="0"/>
          <w:numId w:val="1"/>
        </w:numPr>
        <w:spacing w:after="80"/>
        <w:rPr>
          <w:color w:val="000000" w:themeColor="text1"/>
          <w:sz w:val="24"/>
          <w:szCs w:val="24"/>
        </w:rPr>
      </w:pPr>
      <w:r w:rsidRPr="00AF5147">
        <w:rPr>
          <w:color w:val="000000" w:themeColor="text1"/>
          <w:sz w:val="24"/>
          <w:szCs w:val="24"/>
        </w:rPr>
        <w:t>train_set.csv / test_set.csv — scaled, ready for clustering and modelling.</w:t>
      </w:r>
    </w:p>
    <w:p w14:paraId="6C66EE0B" w14:textId="77777777" w:rsidR="00D33C09" w:rsidRPr="00AF5147" w:rsidRDefault="00000000">
      <w:pPr>
        <w:pStyle w:val="ListParagraph"/>
        <w:numPr>
          <w:ilvl w:val="0"/>
          <w:numId w:val="1"/>
        </w:numPr>
        <w:spacing w:after="80"/>
        <w:rPr>
          <w:color w:val="000000" w:themeColor="text1"/>
          <w:sz w:val="24"/>
          <w:szCs w:val="24"/>
        </w:rPr>
      </w:pPr>
      <w:r w:rsidRPr="00AF5147">
        <w:rPr>
          <w:color w:val="000000" w:themeColor="text1"/>
          <w:sz w:val="24"/>
          <w:szCs w:val="24"/>
        </w:rPr>
        <w:t>train_set_unscaled.csv / test_set_unscaled.csv — retained unscaled for reference, auditing, and any interpretability work that needs original units.</w:t>
      </w:r>
    </w:p>
    <w:sectPr w:rsidR="00D33C09" w:rsidRPr="00AF51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E68E4"/>
    <w:multiLevelType w:val="hybridMultilevel"/>
    <w:tmpl w:val="9C4A739C"/>
    <w:lvl w:ilvl="0" w:tplc="A32671BC">
      <w:start w:val="1"/>
      <w:numFmt w:val="bullet"/>
      <w:lvlText w:val="●"/>
      <w:lvlJc w:val="left"/>
      <w:pPr>
        <w:ind w:left="720" w:hanging="360"/>
      </w:pPr>
    </w:lvl>
    <w:lvl w:ilvl="1" w:tplc="ABB4AEAE">
      <w:start w:val="1"/>
      <w:numFmt w:val="bullet"/>
      <w:lvlText w:val="○"/>
      <w:lvlJc w:val="left"/>
      <w:pPr>
        <w:ind w:left="1440" w:hanging="360"/>
      </w:pPr>
    </w:lvl>
    <w:lvl w:ilvl="2" w:tplc="D4F07CA4">
      <w:start w:val="1"/>
      <w:numFmt w:val="bullet"/>
      <w:lvlText w:val="■"/>
      <w:lvlJc w:val="left"/>
      <w:pPr>
        <w:ind w:left="2160" w:hanging="360"/>
      </w:pPr>
    </w:lvl>
    <w:lvl w:ilvl="3" w:tplc="3FDC3756">
      <w:start w:val="1"/>
      <w:numFmt w:val="bullet"/>
      <w:lvlText w:val="●"/>
      <w:lvlJc w:val="left"/>
      <w:pPr>
        <w:ind w:left="2880" w:hanging="360"/>
      </w:pPr>
    </w:lvl>
    <w:lvl w:ilvl="4" w:tplc="575CECEE">
      <w:start w:val="1"/>
      <w:numFmt w:val="bullet"/>
      <w:lvlText w:val="○"/>
      <w:lvlJc w:val="left"/>
      <w:pPr>
        <w:ind w:left="3600" w:hanging="360"/>
      </w:pPr>
    </w:lvl>
    <w:lvl w:ilvl="5" w:tplc="ECD2B7C6">
      <w:start w:val="1"/>
      <w:numFmt w:val="bullet"/>
      <w:lvlText w:val="■"/>
      <w:lvlJc w:val="left"/>
      <w:pPr>
        <w:ind w:left="4320" w:hanging="360"/>
      </w:pPr>
    </w:lvl>
    <w:lvl w:ilvl="6" w:tplc="C46CD6FC">
      <w:start w:val="1"/>
      <w:numFmt w:val="bullet"/>
      <w:lvlText w:val="●"/>
      <w:lvlJc w:val="left"/>
      <w:pPr>
        <w:ind w:left="5040" w:hanging="360"/>
      </w:pPr>
    </w:lvl>
    <w:lvl w:ilvl="7" w:tplc="235AB56E">
      <w:start w:val="1"/>
      <w:numFmt w:val="bullet"/>
      <w:lvlText w:val="●"/>
      <w:lvlJc w:val="left"/>
      <w:pPr>
        <w:ind w:left="5760" w:hanging="360"/>
      </w:pPr>
    </w:lvl>
    <w:lvl w:ilvl="8" w:tplc="C6B24D1A">
      <w:start w:val="1"/>
      <w:numFmt w:val="bullet"/>
      <w:lvlText w:val="●"/>
      <w:lvlJc w:val="left"/>
      <w:pPr>
        <w:ind w:left="6480" w:hanging="360"/>
      </w:pPr>
    </w:lvl>
  </w:abstractNum>
  <w:num w:numId="1" w16cid:durableId="10265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09"/>
    <w:rsid w:val="00AF5147"/>
    <w:rsid w:val="00CE6B27"/>
    <w:rsid w:val="00D33C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FD3F"/>
  <w15:docId w15:val="{C2026AB0-A955-4388-9EB7-ECFC01A9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diwakarbhatta6546@gmail.com</cp:lastModifiedBy>
  <cp:revision>2</cp:revision>
  <dcterms:created xsi:type="dcterms:W3CDTF">2026-07-19T00:08:00Z</dcterms:created>
  <dcterms:modified xsi:type="dcterms:W3CDTF">2026-07-19T02:21:00Z</dcterms:modified>
</cp:coreProperties>
</file>