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BC4F8" w14:textId="77777777" w:rsidR="00D06766" w:rsidRPr="006B0A99" w:rsidRDefault="00000000">
      <w:pPr>
        <w:pStyle w:val="Title"/>
        <w:spacing w:after="8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Customer Churn Prediction Project</w:t>
      </w:r>
    </w:p>
    <w:p w14:paraId="3A401AC9" w14:textId="77777777" w:rsidR="00D06766" w:rsidRPr="006B0A99" w:rsidRDefault="00000000">
      <w:pPr>
        <w:pStyle w:val="Heading2"/>
        <w:spacing w:after="4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Stage 2 Data Preparation Report — Data Engineer Role</w:t>
      </w:r>
    </w:p>
    <w:p w14:paraId="48506FCE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Prepared by: Diwakar Bhatta (Data Engineer)</w:t>
      </w:r>
    </w:p>
    <w:p w14:paraId="50DE030F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Project: Customer Churn Analysis for Advanced Telecommunications Solutions (ATS)</w:t>
      </w:r>
    </w:p>
    <w:p w14:paraId="70282C64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Assignment: S2W8A2 — Stage 2 Deliverables, Data Preparation (2-1)</w:t>
      </w:r>
    </w:p>
    <w:p w14:paraId="503BDF47" w14:textId="77777777" w:rsidR="00D06766" w:rsidRPr="006B0A99" w:rsidRDefault="00D06766">
      <w:pPr>
        <w:pBdr>
          <w:bottom w:val="single" w:sz="6" w:space="0" w:color="CCCCCC"/>
        </w:pBdr>
        <w:spacing w:after="200"/>
        <w:rPr>
          <w:color w:val="000000" w:themeColor="text1"/>
          <w:sz w:val="24"/>
          <w:szCs w:val="24"/>
        </w:rPr>
      </w:pPr>
    </w:p>
    <w:p w14:paraId="23F196D0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1. Purpose and Scope</w:t>
      </w:r>
    </w:p>
    <w:p w14:paraId="0633723F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This report documents the Data Engineer's contribution to Stage 2 of the customer churn prediction project: identifying relevant features, engineering new features, splitting the dataset into training and testing sets, and applying feature scaling. It builds directly on the Stage 1 output (Dataset_ATS_Stage1_Cleaned.csv, 6,741 rows, missing-data checked and categorical variables encoded) and hands off a model-ready dataset to the Data Analyst (Clustering) role for the Stage 2 Clustering Analysis deliverable.</w:t>
      </w:r>
    </w:p>
    <w:p w14:paraId="7EB295B4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2. Identifying Relevant Features</w:t>
      </w:r>
    </w:p>
    <w:p w14:paraId="24260AC9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Before engineering new features, the existing Stage 1 features were tested for their statistical relationship with churn, using a chi-square test of independence for categorical features and point-biserial correlation for numeric features against the binary Churn target.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2400"/>
        <w:gridCol w:w="1900"/>
      </w:tblGrid>
      <w:tr w:rsidR="00D06766" w:rsidRPr="006B0A99" w14:paraId="4F310E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</w:tcPr>
          <w:p w14:paraId="6278862D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Feature</w:t>
            </w:r>
          </w:p>
        </w:tc>
        <w:tc>
          <w:tcPr>
            <w:tcW w:w="1800" w:type="dxa"/>
            <w:shd w:val="clear" w:color="auto" w:fill="2F5496"/>
          </w:tcPr>
          <w:p w14:paraId="44C05F4A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2400" w:type="dxa"/>
            <w:shd w:val="clear" w:color="auto" w:fill="2F5496"/>
          </w:tcPr>
          <w:p w14:paraId="231465CA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Result</w:t>
            </w:r>
          </w:p>
        </w:tc>
        <w:tc>
          <w:tcPr>
            <w:tcW w:w="1900" w:type="dxa"/>
            <w:shd w:val="clear" w:color="auto" w:fill="2F5496"/>
          </w:tcPr>
          <w:p w14:paraId="6091A9EF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Significant?</w:t>
            </w:r>
          </w:p>
        </w:tc>
      </w:tr>
      <w:tr w:rsidR="00D06766" w:rsidRPr="006B0A99" w14:paraId="7E701E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04C080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SeniorCitizen</w:t>
            </w:r>
            <w:proofErr w:type="spellEnd"/>
          </w:p>
        </w:tc>
        <w:tc>
          <w:tcPr>
            <w:tcW w:w="1800" w:type="dxa"/>
          </w:tcPr>
          <w:p w14:paraId="5959BD19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</w:t>
            </w:r>
          </w:p>
        </w:tc>
        <w:tc>
          <w:tcPr>
            <w:tcW w:w="2400" w:type="dxa"/>
          </w:tcPr>
          <w:p w14:paraId="62B856AD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 ≈ 3.1e-34</w:t>
            </w:r>
          </w:p>
        </w:tc>
        <w:tc>
          <w:tcPr>
            <w:tcW w:w="1900" w:type="dxa"/>
          </w:tcPr>
          <w:p w14:paraId="54E20895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Yes</w:t>
            </w:r>
          </w:p>
        </w:tc>
      </w:tr>
      <w:tr w:rsidR="00D06766" w:rsidRPr="006B0A99" w14:paraId="4CA7D5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5DAD61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Dependents</w:t>
            </w:r>
          </w:p>
        </w:tc>
        <w:tc>
          <w:tcPr>
            <w:tcW w:w="1800" w:type="dxa"/>
          </w:tcPr>
          <w:p w14:paraId="5AD11DA8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</w:t>
            </w:r>
          </w:p>
        </w:tc>
        <w:tc>
          <w:tcPr>
            <w:tcW w:w="2400" w:type="dxa"/>
          </w:tcPr>
          <w:p w14:paraId="236B9172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 ≈ 1.7e-39</w:t>
            </w:r>
          </w:p>
        </w:tc>
        <w:tc>
          <w:tcPr>
            <w:tcW w:w="1900" w:type="dxa"/>
          </w:tcPr>
          <w:p w14:paraId="70B78CF7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Yes</w:t>
            </w:r>
          </w:p>
        </w:tc>
      </w:tr>
      <w:tr w:rsidR="00D06766" w:rsidRPr="006B0A99" w14:paraId="4F33A9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BCD75D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gender</w:t>
            </w:r>
          </w:p>
        </w:tc>
        <w:tc>
          <w:tcPr>
            <w:tcW w:w="1800" w:type="dxa"/>
          </w:tcPr>
          <w:p w14:paraId="309EE73F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</w:t>
            </w:r>
          </w:p>
        </w:tc>
        <w:tc>
          <w:tcPr>
            <w:tcW w:w="2400" w:type="dxa"/>
          </w:tcPr>
          <w:p w14:paraId="5B1A3B45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 = 0.349</w:t>
            </w:r>
          </w:p>
        </w:tc>
        <w:tc>
          <w:tcPr>
            <w:tcW w:w="1900" w:type="dxa"/>
          </w:tcPr>
          <w:p w14:paraId="1860A8AD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D06766" w:rsidRPr="006B0A99" w14:paraId="4332F7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C06C73E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PhoneService</w:t>
            </w:r>
            <w:proofErr w:type="spellEnd"/>
          </w:p>
        </w:tc>
        <w:tc>
          <w:tcPr>
            <w:tcW w:w="1800" w:type="dxa"/>
          </w:tcPr>
          <w:p w14:paraId="7B1642DA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</w:t>
            </w:r>
          </w:p>
        </w:tc>
        <w:tc>
          <w:tcPr>
            <w:tcW w:w="2400" w:type="dxa"/>
          </w:tcPr>
          <w:p w14:paraId="200FA147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 = 0.258</w:t>
            </w:r>
          </w:p>
        </w:tc>
        <w:tc>
          <w:tcPr>
            <w:tcW w:w="1900" w:type="dxa"/>
          </w:tcPr>
          <w:p w14:paraId="12AAF2D8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D06766" w:rsidRPr="006B0A99" w14:paraId="37E512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55FEB71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MultipleLines</w:t>
            </w:r>
            <w:proofErr w:type="spellEnd"/>
          </w:p>
        </w:tc>
        <w:tc>
          <w:tcPr>
            <w:tcW w:w="1800" w:type="dxa"/>
          </w:tcPr>
          <w:p w14:paraId="1BD81BAE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</w:t>
            </w:r>
          </w:p>
        </w:tc>
        <w:tc>
          <w:tcPr>
            <w:tcW w:w="2400" w:type="dxa"/>
          </w:tcPr>
          <w:p w14:paraId="4CAA9C94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 = 0.590</w:t>
            </w:r>
          </w:p>
        </w:tc>
        <w:tc>
          <w:tcPr>
            <w:tcW w:w="1900" w:type="dxa"/>
          </w:tcPr>
          <w:p w14:paraId="4845C6B6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No</w:t>
            </w:r>
          </w:p>
        </w:tc>
      </w:tr>
      <w:tr w:rsidR="00D06766" w:rsidRPr="006B0A99" w14:paraId="49C1E9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9F07AB1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InternetService_DSL</w:t>
            </w:r>
            <w:proofErr w:type="spellEnd"/>
          </w:p>
        </w:tc>
        <w:tc>
          <w:tcPr>
            <w:tcW w:w="1800" w:type="dxa"/>
          </w:tcPr>
          <w:p w14:paraId="499FB955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</w:t>
            </w:r>
          </w:p>
        </w:tc>
        <w:tc>
          <w:tcPr>
            <w:tcW w:w="2400" w:type="dxa"/>
          </w:tcPr>
          <w:p w14:paraId="0F95D457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 = 0.057</w:t>
            </w:r>
          </w:p>
        </w:tc>
        <w:tc>
          <w:tcPr>
            <w:tcW w:w="1900" w:type="dxa"/>
          </w:tcPr>
          <w:p w14:paraId="01FFB4A6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No (borderline)</w:t>
            </w:r>
          </w:p>
        </w:tc>
      </w:tr>
      <w:tr w:rsidR="00D06766" w:rsidRPr="006B0A99" w14:paraId="5BA687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31FD84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Contract_Month</w:t>
            </w:r>
            <w:proofErr w:type="spellEnd"/>
            <w:r w:rsidRPr="006B0A99">
              <w:rPr>
                <w:color w:val="000000" w:themeColor="text1"/>
                <w:sz w:val="24"/>
                <w:szCs w:val="24"/>
              </w:rPr>
              <w:t>-to-month</w:t>
            </w:r>
          </w:p>
        </w:tc>
        <w:tc>
          <w:tcPr>
            <w:tcW w:w="1800" w:type="dxa"/>
          </w:tcPr>
          <w:p w14:paraId="2BD77E5B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</w:t>
            </w:r>
          </w:p>
        </w:tc>
        <w:tc>
          <w:tcPr>
            <w:tcW w:w="2400" w:type="dxa"/>
          </w:tcPr>
          <w:p w14:paraId="051734E4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 = 0.077</w:t>
            </w:r>
          </w:p>
        </w:tc>
        <w:tc>
          <w:tcPr>
            <w:tcW w:w="1900" w:type="dxa"/>
          </w:tcPr>
          <w:p w14:paraId="6654BB69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No (borderline)</w:t>
            </w:r>
          </w:p>
        </w:tc>
      </w:tr>
      <w:tr w:rsidR="00D06766" w:rsidRPr="006B0A99" w14:paraId="670A53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EB8A42D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tenure</w:t>
            </w:r>
          </w:p>
        </w:tc>
        <w:tc>
          <w:tcPr>
            <w:tcW w:w="1800" w:type="dxa"/>
          </w:tcPr>
          <w:p w14:paraId="2C7F2478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Point-biserial</w:t>
            </w:r>
          </w:p>
        </w:tc>
        <w:tc>
          <w:tcPr>
            <w:tcW w:w="2400" w:type="dxa"/>
          </w:tcPr>
          <w:p w14:paraId="24A6EC6F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r = -0.356, p &lt; 0.001</w:t>
            </w:r>
          </w:p>
        </w:tc>
        <w:tc>
          <w:tcPr>
            <w:tcW w:w="1900" w:type="dxa"/>
          </w:tcPr>
          <w:p w14:paraId="32C913D3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Yes</w:t>
            </w:r>
          </w:p>
        </w:tc>
      </w:tr>
      <w:tr w:rsidR="00D06766" w:rsidRPr="006B0A99" w14:paraId="169D99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2380AE2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1800" w:type="dxa"/>
          </w:tcPr>
          <w:p w14:paraId="0B063215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Point-biserial</w:t>
            </w:r>
          </w:p>
        </w:tc>
        <w:tc>
          <w:tcPr>
            <w:tcW w:w="2400" w:type="dxa"/>
          </w:tcPr>
          <w:p w14:paraId="07BC0907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r = 0.190, p &lt; 0.001</w:t>
            </w:r>
          </w:p>
        </w:tc>
        <w:tc>
          <w:tcPr>
            <w:tcW w:w="1900" w:type="dxa"/>
          </w:tcPr>
          <w:p w14:paraId="53B30A43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Yes</w:t>
            </w:r>
          </w:p>
        </w:tc>
      </w:tr>
    </w:tbl>
    <w:p w14:paraId="37142326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 xml:space="preserve">Finding: results were mixed rather than uniformly significant. </w:t>
      </w:r>
      <w:proofErr w:type="spellStart"/>
      <w:r w:rsidRPr="006B0A99">
        <w:rPr>
          <w:color w:val="000000" w:themeColor="text1"/>
          <w:sz w:val="24"/>
          <w:szCs w:val="24"/>
        </w:rPr>
        <w:t>SeniorCitizen</w:t>
      </w:r>
      <w:proofErr w:type="spellEnd"/>
      <w:r w:rsidRPr="006B0A99">
        <w:rPr>
          <w:color w:val="000000" w:themeColor="text1"/>
          <w:sz w:val="24"/>
          <w:szCs w:val="24"/>
        </w:rPr>
        <w:t xml:space="preserve">, Dependents, tenure, and </w:t>
      </w:r>
      <w:proofErr w:type="spellStart"/>
      <w:r w:rsidRPr="006B0A99">
        <w:rPr>
          <w:color w:val="000000" w:themeColor="text1"/>
          <w:sz w:val="24"/>
          <w:szCs w:val="24"/>
        </w:rPr>
        <w:t>MonthlyCharges</w:t>
      </w:r>
      <w:proofErr w:type="spellEnd"/>
      <w:r w:rsidRPr="006B0A99">
        <w:rPr>
          <w:color w:val="000000" w:themeColor="text1"/>
          <w:sz w:val="24"/>
          <w:szCs w:val="24"/>
        </w:rPr>
        <w:t xml:space="preserve"> show a clear statistical relationship with churn. Notably, Contract and </w:t>
      </w:r>
      <w:proofErr w:type="spellStart"/>
      <w:r w:rsidRPr="006B0A99">
        <w:rPr>
          <w:color w:val="000000" w:themeColor="text1"/>
          <w:sz w:val="24"/>
          <w:szCs w:val="24"/>
        </w:rPr>
        <w:t>InternetService</w:t>
      </w:r>
      <w:proofErr w:type="spellEnd"/>
      <w:r w:rsidRPr="006B0A99">
        <w:rPr>
          <w:color w:val="000000" w:themeColor="text1"/>
          <w:sz w:val="24"/>
          <w:szCs w:val="24"/>
        </w:rPr>
        <w:t xml:space="preserve"> — often the strongest churn predictors in telecom datasets generally — did not reach significance in this </w:t>
      </w:r>
      <w:proofErr w:type="gramStart"/>
      <w:r w:rsidRPr="006B0A99">
        <w:rPr>
          <w:color w:val="000000" w:themeColor="text1"/>
          <w:sz w:val="24"/>
          <w:szCs w:val="24"/>
        </w:rPr>
        <w:t>particular sample</w:t>
      </w:r>
      <w:proofErr w:type="gramEnd"/>
      <w:r w:rsidRPr="006B0A99">
        <w:rPr>
          <w:color w:val="000000" w:themeColor="text1"/>
          <w:sz w:val="24"/>
          <w:szCs w:val="24"/>
        </w:rPr>
        <w:t xml:space="preserve"> (though both were close to the 0.05 threshold). No features were dropped outright at this stage, since clustering (the next Stage 2 deliverable) groups customers by overall similarity rather than requiring a direct churn relationship the way supervised modelling would.</w:t>
      </w:r>
    </w:p>
    <w:p w14:paraId="1A952AE5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3. Feature Engineering</w:t>
      </w:r>
    </w:p>
    <w:p w14:paraId="679B4E9C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Five new features were engineered from the existing columns: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2900"/>
      </w:tblGrid>
      <w:tr w:rsidR="00D06766" w:rsidRPr="006B0A99" w14:paraId="2100FA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2F5496"/>
          </w:tcPr>
          <w:p w14:paraId="4C239215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New Feature</w:t>
            </w:r>
          </w:p>
        </w:tc>
        <w:tc>
          <w:tcPr>
            <w:tcW w:w="3400" w:type="dxa"/>
            <w:shd w:val="clear" w:color="auto" w:fill="2F5496"/>
          </w:tcPr>
          <w:p w14:paraId="0BA8208D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Formula / Logic</w:t>
            </w:r>
          </w:p>
        </w:tc>
        <w:tc>
          <w:tcPr>
            <w:tcW w:w="2900" w:type="dxa"/>
            <w:shd w:val="clear" w:color="auto" w:fill="2F5496"/>
          </w:tcPr>
          <w:p w14:paraId="4BF56A6F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Rationale</w:t>
            </w:r>
          </w:p>
        </w:tc>
      </w:tr>
      <w:tr w:rsidR="00D06766" w:rsidRPr="006B0A99" w14:paraId="773CA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93A965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lastRenderedPageBreak/>
              <w:t>EstimatedTotalCharges</w:t>
            </w:r>
            <w:proofErr w:type="spellEnd"/>
          </w:p>
        </w:tc>
        <w:tc>
          <w:tcPr>
            <w:tcW w:w="3400" w:type="dxa"/>
          </w:tcPr>
          <w:p w14:paraId="64D66F51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 xml:space="preserve">tenure x </w:t>
            </w: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MonthlyCharges</w:t>
            </w:r>
            <w:proofErr w:type="spellEnd"/>
          </w:p>
        </w:tc>
        <w:tc>
          <w:tcPr>
            <w:tcW w:w="2900" w:type="dxa"/>
          </w:tcPr>
          <w:p w14:paraId="11795849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 xml:space="preserve">Approximates lifetime spend, since no </w:t>
            </w: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TotalCharges</w:t>
            </w:r>
            <w:proofErr w:type="spellEnd"/>
            <w:r w:rsidRPr="006B0A99">
              <w:rPr>
                <w:color w:val="000000" w:themeColor="text1"/>
                <w:sz w:val="24"/>
                <w:szCs w:val="24"/>
              </w:rPr>
              <w:t xml:space="preserve"> column exists in the source data</w:t>
            </w:r>
          </w:p>
        </w:tc>
      </w:tr>
      <w:tr w:rsidR="00D06766" w:rsidRPr="006B0A99" w14:paraId="36960A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810890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TenureGroup</w:t>
            </w:r>
            <w:proofErr w:type="spellEnd"/>
          </w:p>
        </w:tc>
        <w:tc>
          <w:tcPr>
            <w:tcW w:w="3400" w:type="dxa"/>
          </w:tcPr>
          <w:p w14:paraId="2D3272A0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Binned tenure (0-12 / 13-24 / 25-48 / 49-72 months)</w:t>
            </w:r>
          </w:p>
        </w:tc>
        <w:tc>
          <w:tcPr>
            <w:tcW w:w="2900" w:type="dxa"/>
          </w:tcPr>
          <w:p w14:paraId="036436C6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Captures customer lifecycle stage rather than a raw linear tenure value</w:t>
            </w:r>
          </w:p>
        </w:tc>
      </w:tr>
      <w:tr w:rsidR="00D06766" w:rsidRPr="006B0A99" w14:paraId="4D339F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29D94E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ContractLengthMonths</w:t>
            </w:r>
            <w:proofErr w:type="spellEnd"/>
          </w:p>
        </w:tc>
        <w:tc>
          <w:tcPr>
            <w:tcW w:w="3400" w:type="dxa"/>
          </w:tcPr>
          <w:p w14:paraId="218255F6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Month-to-month=1, One year=12, Two year=24</w:t>
            </w:r>
          </w:p>
        </w:tc>
        <w:tc>
          <w:tcPr>
            <w:tcW w:w="2900" w:type="dxa"/>
          </w:tcPr>
          <w:p w14:paraId="202882EE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Preserves the real-world magnitude of contract length that one-hot encoding discards</w:t>
            </w:r>
          </w:p>
        </w:tc>
      </w:tr>
      <w:tr w:rsidR="00D06766" w:rsidRPr="006B0A99" w14:paraId="0A4B90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080B68A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ServiceCount</w:t>
            </w:r>
            <w:proofErr w:type="spellEnd"/>
          </w:p>
        </w:tc>
        <w:tc>
          <w:tcPr>
            <w:tcW w:w="3400" w:type="dxa"/>
          </w:tcPr>
          <w:p w14:paraId="74E7A30C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Sum of active services (phone, multiple lines, internet)</w:t>
            </w:r>
          </w:p>
        </w:tc>
        <w:tc>
          <w:tcPr>
            <w:tcW w:w="2900" w:type="dxa"/>
          </w:tcPr>
          <w:p w14:paraId="7566F82B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A simple engagement/bundling proxy</w:t>
            </w:r>
          </w:p>
        </w:tc>
      </w:tr>
      <w:tr w:rsidR="00D06766" w:rsidRPr="006B0A99" w14:paraId="3D6D6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FFBA981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IsNewCustomer</w:t>
            </w:r>
            <w:proofErr w:type="spellEnd"/>
          </w:p>
        </w:tc>
        <w:tc>
          <w:tcPr>
            <w:tcW w:w="3400" w:type="dxa"/>
          </w:tcPr>
          <w:p w14:paraId="44A2785B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1 if tenure &lt;= 6 months, else 0</w:t>
            </w:r>
          </w:p>
        </w:tc>
        <w:tc>
          <w:tcPr>
            <w:tcW w:w="2900" w:type="dxa"/>
          </w:tcPr>
          <w:p w14:paraId="27F00145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Isolates the highest-risk onboarding window flagged in Stage 1</w:t>
            </w:r>
          </w:p>
        </w:tc>
      </w:tr>
    </w:tbl>
    <w:p w14:paraId="2A4C641C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 xml:space="preserve">Follow-up relevance </w:t>
      </w:r>
      <w:proofErr w:type="gramStart"/>
      <w:r w:rsidRPr="006B0A99">
        <w:rPr>
          <w:color w:val="000000" w:themeColor="text1"/>
          <w:sz w:val="24"/>
          <w:szCs w:val="24"/>
        </w:rPr>
        <w:t>check</w:t>
      </w:r>
      <w:proofErr w:type="gramEnd"/>
      <w:r w:rsidRPr="006B0A99">
        <w:rPr>
          <w:color w:val="000000" w:themeColor="text1"/>
          <w:sz w:val="24"/>
          <w:szCs w:val="24"/>
        </w:rPr>
        <w:t xml:space="preserve"> on the new numeric features: </w:t>
      </w:r>
      <w:proofErr w:type="spellStart"/>
      <w:r w:rsidRPr="006B0A99">
        <w:rPr>
          <w:color w:val="000000" w:themeColor="text1"/>
          <w:sz w:val="24"/>
          <w:szCs w:val="24"/>
        </w:rPr>
        <w:t>EstimatedTotalCharges</w:t>
      </w:r>
      <w:proofErr w:type="spellEnd"/>
      <w:r w:rsidRPr="006B0A99">
        <w:rPr>
          <w:color w:val="000000" w:themeColor="text1"/>
          <w:sz w:val="24"/>
          <w:szCs w:val="24"/>
        </w:rPr>
        <w:t xml:space="preserve"> is significantly associated with churn (r = -0.201, p &lt; 0.001), while </w:t>
      </w:r>
      <w:proofErr w:type="spellStart"/>
      <w:r w:rsidRPr="006B0A99">
        <w:rPr>
          <w:color w:val="000000" w:themeColor="text1"/>
          <w:sz w:val="24"/>
          <w:szCs w:val="24"/>
        </w:rPr>
        <w:t>ContractLengthMonths</w:t>
      </w:r>
      <w:proofErr w:type="spellEnd"/>
      <w:r w:rsidRPr="006B0A99">
        <w:rPr>
          <w:color w:val="000000" w:themeColor="text1"/>
          <w:sz w:val="24"/>
          <w:szCs w:val="24"/>
        </w:rPr>
        <w:t xml:space="preserve"> (p = 0.068) and </w:t>
      </w:r>
      <w:proofErr w:type="spellStart"/>
      <w:r w:rsidRPr="006B0A99">
        <w:rPr>
          <w:color w:val="000000" w:themeColor="text1"/>
          <w:sz w:val="24"/>
          <w:szCs w:val="24"/>
        </w:rPr>
        <w:t>ServiceCount</w:t>
      </w:r>
      <w:proofErr w:type="spellEnd"/>
      <w:r w:rsidRPr="006B0A99">
        <w:rPr>
          <w:color w:val="000000" w:themeColor="text1"/>
          <w:sz w:val="24"/>
          <w:szCs w:val="24"/>
        </w:rPr>
        <w:t xml:space="preserve"> (p = 0.900) are not, on their own. Both are still retained for clustering, since the goal there is customer segmentation rather than churn prediction — but this is flagged transparently rather than presented as a stronger result than it is.</w:t>
      </w:r>
    </w:p>
    <w:p w14:paraId="4FA93EF8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4. Training and Testing Split</w:t>
      </w:r>
    </w:p>
    <w:p w14:paraId="2AE17DCC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The dataset was split 80/20 (training/testing), stratified on Churn so the churn rate is preserved proportionally in both sets — important given the ~26.6% churn rate is imbalanced.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00"/>
        <w:gridCol w:w="2100"/>
      </w:tblGrid>
      <w:tr w:rsidR="00D06766" w:rsidRPr="006B0A99" w14:paraId="502FD4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F5496"/>
          </w:tcPr>
          <w:p w14:paraId="27A3BC73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Set</w:t>
            </w:r>
          </w:p>
        </w:tc>
        <w:tc>
          <w:tcPr>
            <w:tcW w:w="2200" w:type="dxa"/>
            <w:shd w:val="clear" w:color="auto" w:fill="2F5496"/>
          </w:tcPr>
          <w:p w14:paraId="4F814A3D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Rows</w:t>
            </w:r>
          </w:p>
        </w:tc>
        <w:tc>
          <w:tcPr>
            <w:tcW w:w="2200" w:type="dxa"/>
            <w:shd w:val="clear" w:color="auto" w:fill="2F5496"/>
          </w:tcPr>
          <w:p w14:paraId="2E09E46C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% of total</w:t>
            </w:r>
          </w:p>
        </w:tc>
        <w:tc>
          <w:tcPr>
            <w:tcW w:w="2100" w:type="dxa"/>
            <w:shd w:val="clear" w:color="auto" w:fill="2F5496"/>
          </w:tcPr>
          <w:p w14:paraId="4C8CCA0B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Churn rate</w:t>
            </w:r>
          </w:p>
        </w:tc>
      </w:tr>
      <w:tr w:rsidR="00D06766" w:rsidRPr="006B0A99" w14:paraId="797C67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5F51790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Full dataset</w:t>
            </w:r>
          </w:p>
        </w:tc>
        <w:tc>
          <w:tcPr>
            <w:tcW w:w="2200" w:type="dxa"/>
          </w:tcPr>
          <w:p w14:paraId="3695D178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6,741</w:t>
            </w:r>
          </w:p>
        </w:tc>
        <w:tc>
          <w:tcPr>
            <w:tcW w:w="2200" w:type="dxa"/>
          </w:tcPr>
          <w:p w14:paraId="2C91C07C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2100" w:type="dxa"/>
          </w:tcPr>
          <w:p w14:paraId="6E92315B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26.57%</w:t>
            </w:r>
          </w:p>
        </w:tc>
      </w:tr>
      <w:tr w:rsidR="00D06766" w:rsidRPr="006B0A99" w14:paraId="65BAF9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4A99A92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Training set</w:t>
            </w:r>
          </w:p>
        </w:tc>
        <w:tc>
          <w:tcPr>
            <w:tcW w:w="2200" w:type="dxa"/>
          </w:tcPr>
          <w:p w14:paraId="699BB4AB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5,392</w:t>
            </w:r>
          </w:p>
        </w:tc>
        <w:tc>
          <w:tcPr>
            <w:tcW w:w="2200" w:type="dxa"/>
          </w:tcPr>
          <w:p w14:paraId="156EF7F7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80.0%</w:t>
            </w:r>
          </w:p>
        </w:tc>
        <w:tc>
          <w:tcPr>
            <w:tcW w:w="2100" w:type="dxa"/>
          </w:tcPr>
          <w:p w14:paraId="5D2B6B29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26.58%</w:t>
            </w:r>
          </w:p>
        </w:tc>
      </w:tr>
      <w:tr w:rsidR="00D06766" w:rsidRPr="006B0A99" w14:paraId="71C6BC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0F277C4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Testing set</w:t>
            </w:r>
          </w:p>
        </w:tc>
        <w:tc>
          <w:tcPr>
            <w:tcW w:w="2200" w:type="dxa"/>
          </w:tcPr>
          <w:p w14:paraId="00E96B94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1,349</w:t>
            </w:r>
          </w:p>
        </w:tc>
        <w:tc>
          <w:tcPr>
            <w:tcW w:w="2200" w:type="dxa"/>
          </w:tcPr>
          <w:p w14:paraId="15D0CA49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20.0%</w:t>
            </w:r>
          </w:p>
        </w:tc>
        <w:tc>
          <w:tcPr>
            <w:tcW w:w="2100" w:type="dxa"/>
          </w:tcPr>
          <w:p w14:paraId="05ED0ADF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26.54%</w:t>
            </w:r>
          </w:p>
        </w:tc>
      </w:tr>
    </w:tbl>
    <w:p w14:paraId="7036A421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5. Feature Scaling and Normalisation</w:t>
      </w:r>
    </w:p>
    <w:p w14:paraId="7B436D03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proofErr w:type="spellStart"/>
      <w:r w:rsidRPr="006B0A99">
        <w:rPr>
          <w:color w:val="000000" w:themeColor="text1"/>
          <w:sz w:val="24"/>
          <w:szCs w:val="24"/>
        </w:rPr>
        <w:t>StandardScaler</w:t>
      </w:r>
      <w:proofErr w:type="spellEnd"/>
      <w:r w:rsidRPr="006B0A99">
        <w:rPr>
          <w:color w:val="000000" w:themeColor="text1"/>
          <w:sz w:val="24"/>
          <w:szCs w:val="24"/>
        </w:rPr>
        <w:t xml:space="preserve"> (z-score standardisation) was applied to the five continuous numeric features (tenure, </w:t>
      </w:r>
      <w:proofErr w:type="spellStart"/>
      <w:r w:rsidRPr="006B0A99">
        <w:rPr>
          <w:color w:val="000000" w:themeColor="text1"/>
          <w:sz w:val="24"/>
          <w:szCs w:val="24"/>
        </w:rPr>
        <w:t>MonthlyCharges</w:t>
      </w:r>
      <w:proofErr w:type="spellEnd"/>
      <w:r w:rsidRPr="006B0A99">
        <w:rPr>
          <w:color w:val="000000" w:themeColor="text1"/>
          <w:sz w:val="24"/>
          <w:szCs w:val="24"/>
        </w:rPr>
        <w:t xml:space="preserve">, </w:t>
      </w:r>
      <w:proofErr w:type="spellStart"/>
      <w:r w:rsidRPr="006B0A99">
        <w:rPr>
          <w:color w:val="000000" w:themeColor="text1"/>
          <w:sz w:val="24"/>
          <w:szCs w:val="24"/>
        </w:rPr>
        <w:t>EstimatedTotalCharges</w:t>
      </w:r>
      <w:proofErr w:type="spellEnd"/>
      <w:r w:rsidRPr="006B0A99">
        <w:rPr>
          <w:color w:val="000000" w:themeColor="text1"/>
          <w:sz w:val="24"/>
          <w:szCs w:val="24"/>
        </w:rPr>
        <w:t xml:space="preserve">, </w:t>
      </w:r>
      <w:proofErr w:type="spellStart"/>
      <w:r w:rsidRPr="006B0A99">
        <w:rPr>
          <w:color w:val="000000" w:themeColor="text1"/>
          <w:sz w:val="24"/>
          <w:szCs w:val="24"/>
        </w:rPr>
        <w:t>ContractLengthMonths</w:t>
      </w:r>
      <w:proofErr w:type="spellEnd"/>
      <w:r w:rsidRPr="006B0A99">
        <w:rPr>
          <w:color w:val="000000" w:themeColor="text1"/>
          <w:sz w:val="24"/>
          <w:szCs w:val="24"/>
        </w:rPr>
        <w:t xml:space="preserve">, </w:t>
      </w:r>
      <w:proofErr w:type="spellStart"/>
      <w:r w:rsidRPr="006B0A99">
        <w:rPr>
          <w:color w:val="000000" w:themeColor="text1"/>
          <w:sz w:val="24"/>
          <w:szCs w:val="24"/>
        </w:rPr>
        <w:t>ServiceCount</w:t>
      </w:r>
      <w:proofErr w:type="spellEnd"/>
      <w:r w:rsidRPr="006B0A99">
        <w:rPr>
          <w:color w:val="000000" w:themeColor="text1"/>
          <w:sz w:val="24"/>
          <w:szCs w:val="24"/>
        </w:rPr>
        <w:t>), fit on the training set only and applied to both sets to avoid data leakage. Binary/one-hot columns were left unscaled. Full technical detail and code are provided in the separate Scaling_Techniques_Documentation.docx, as required by the assignment submission instructions.</w:t>
      </w:r>
    </w:p>
    <w:p w14:paraId="64BA0300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6. Deliverable Checklist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00"/>
        <w:gridCol w:w="3800"/>
      </w:tblGrid>
      <w:tr w:rsidR="00D06766" w:rsidRPr="006B0A99" w14:paraId="3B6E83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2F5496"/>
          </w:tcPr>
          <w:p w14:paraId="4F11FB07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Activity</w:t>
            </w:r>
          </w:p>
        </w:tc>
        <w:tc>
          <w:tcPr>
            <w:tcW w:w="1800" w:type="dxa"/>
            <w:shd w:val="clear" w:color="auto" w:fill="2F5496"/>
          </w:tcPr>
          <w:p w14:paraId="7FD8282F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3800" w:type="dxa"/>
            <w:shd w:val="clear" w:color="auto" w:fill="2F5496"/>
          </w:tcPr>
          <w:p w14:paraId="228AA1D1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b/>
                <w:bCs/>
                <w:color w:val="000000" w:themeColor="text1"/>
                <w:sz w:val="24"/>
                <w:szCs w:val="24"/>
              </w:rPr>
              <w:t>Detail</w:t>
            </w:r>
          </w:p>
        </w:tc>
      </w:tr>
      <w:tr w:rsidR="00D06766" w:rsidRPr="006B0A99" w14:paraId="212FFD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9B5B948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Identify relevant features</w:t>
            </w:r>
          </w:p>
        </w:tc>
        <w:tc>
          <w:tcPr>
            <w:tcW w:w="1800" w:type="dxa"/>
          </w:tcPr>
          <w:p w14:paraId="6B91C536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Complete</w:t>
            </w:r>
          </w:p>
        </w:tc>
        <w:tc>
          <w:tcPr>
            <w:tcW w:w="3800" w:type="dxa"/>
          </w:tcPr>
          <w:p w14:paraId="5247A273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Chi-square + point-biserial tests run against all Stage 1 features</w:t>
            </w:r>
          </w:p>
        </w:tc>
      </w:tr>
      <w:tr w:rsidR="00D06766" w:rsidRPr="006B0A99" w14:paraId="3DB6EF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490DBACB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lastRenderedPageBreak/>
              <w:t>Engineer new features</w:t>
            </w:r>
          </w:p>
        </w:tc>
        <w:tc>
          <w:tcPr>
            <w:tcW w:w="1800" w:type="dxa"/>
          </w:tcPr>
          <w:p w14:paraId="2EC3CA40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Complete</w:t>
            </w:r>
          </w:p>
        </w:tc>
        <w:tc>
          <w:tcPr>
            <w:tcW w:w="3800" w:type="dxa"/>
          </w:tcPr>
          <w:p w14:paraId="2832BE30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5 new features added and tested for churn relevance</w:t>
            </w:r>
          </w:p>
        </w:tc>
      </w:tr>
      <w:tr w:rsidR="00D06766" w:rsidRPr="006B0A99" w14:paraId="509D5A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2DFFDD70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Split into training/testing sets</w:t>
            </w:r>
          </w:p>
        </w:tc>
        <w:tc>
          <w:tcPr>
            <w:tcW w:w="1800" w:type="dxa"/>
          </w:tcPr>
          <w:p w14:paraId="4BDEEA7A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Complete</w:t>
            </w:r>
          </w:p>
        </w:tc>
        <w:tc>
          <w:tcPr>
            <w:tcW w:w="3800" w:type="dxa"/>
          </w:tcPr>
          <w:p w14:paraId="41D62D87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80/20 stratified split — 5,392 train / 1,349 test rows</w:t>
            </w:r>
          </w:p>
        </w:tc>
      </w:tr>
      <w:tr w:rsidR="00D06766" w:rsidRPr="006B0A99" w14:paraId="69F636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3FA1EA66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Apply feature scaling/normalisation</w:t>
            </w:r>
          </w:p>
        </w:tc>
        <w:tc>
          <w:tcPr>
            <w:tcW w:w="1800" w:type="dxa"/>
          </w:tcPr>
          <w:p w14:paraId="41AA21BF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6B0A99">
              <w:rPr>
                <w:color w:val="000000" w:themeColor="text1"/>
                <w:sz w:val="24"/>
                <w:szCs w:val="24"/>
              </w:rPr>
              <w:t>Complete</w:t>
            </w:r>
          </w:p>
        </w:tc>
        <w:tc>
          <w:tcPr>
            <w:tcW w:w="3800" w:type="dxa"/>
          </w:tcPr>
          <w:p w14:paraId="36DD7C4C" w14:textId="77777777" w:rsidR="00D06766" w:rsidRPr="006B0A99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6B0A99">
              <w:rPr>
                <w:color w:val="000000" w:themeColor="text1"/>
                <w:sz w:val="24"/>
                <w:szCs w:val="24"/>
              </w:rPr>
              <w:t>StandardScaler</w:t>
            </w:r>
            <w:proofErr w:type="spellEnd"/>
            <w:r w:rsidRPr="006B0A99">
              <w:rPr>
                <w:color w:val="000000" w:themeColor="text1"/>
                <w:sz w:val="24"/>
                <w:szCs w:val="24"/>
              </w:rPr>
              <w:t xml:space="preserve"> fit on training set, applied to both sets</w:t>
            </w:r>
          </w:p>
        </w:tc>
      </w:tr>
    </w:tbl>
    <w:p w14:paraId="258CB38F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7. Files Produced (</w:t>
      </w:r>
      <w:proofErr w:type="spellStart"/>
      <w:r w:rsidRPr="006B0A99">
        <w:rPr>
          <w:color w:val="000000" w:themeColor="text1"/>
          <w:sz w:val="24"/>
          <w:szCs w:val="24"/>
        </w:rPr>
        <w:t>Data_Preparation</w:t>
      </w:r>
      <w:proofErr w:type="spellEnd"/>
      <w:r w:rsidRPr="006B0A99">
        <w:rPr>
          <w:color w:val="000000" w:themeColor="text1"/>
          <w:sz w:val="24"/>
          <w:szCs w:val="24"/>
        </w:rPr>
        <w:t xml:space="preserve"> folder)</w:t>
      </w:r>
    </w:p>
    <w:p w14:paraId="21D13B29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proofErr w:type="spellStart"/>
      <w:r w:rsidRPr="006B0A99">
        <w:rPr>
          <w:color w:val="000000" w:themeColor="text1"/>
          <w:sz w:val="24"/>
          <w:szCs w:val="24"/>
        </w:rPr>
        <w:t>Preprocessed_Dataset</w:t>
      </w:r>
      <w:proofErr w:type="spellEnd"/>
      <w:r w:rsidRPr="006B0A99">
        <w:rPr>
          <w:color w:val="000000" w:themeColor="text1"/>
          <w:sz w:val="24"/>
          <w:szCs w:val="24"/>
        </w:rPr>
        <w:t>/Dataset_ATS_Stage2_Preprocessed.csv — full engineered dataset, pre-split (6,741 rows x 26 columns).</w:t>
      </w:r>
    </w:p>
    <w:p w14:paraId="72D74EEF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proofErr w:type="spellStart"/>
      <w:r w:rsidRPr="006B0A99">
        <w:rPr>
          <w:color w:val="000000" w:themeColor="text1"/>
          <w:sz w:val="24"/>
          <w:szCs w:val="24"/>
        </w:rPr>
        <w:t>Training_and_Testing_Sets</w:t>
      </w:r>
      <w:proofErr w:type="spellEnd"/>
      <w:r w:rsidRPr="006B0A99">
        <w:rPr>
          <w:color w:val="000000" w:themeColor="text1"/>
          <w:sz w:val="24"/>
          <w:szCs w:val="24"/>
        </w:rPr>
        <w:t>/train_set.csv, test_set.csv — scaled, ready for clustering/modelling.</w:t>
      </w:r>
    </w:p>
    <w:p w14:paraId="48FC2C1F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proofErr w:type="spellStart"/>
      <w:r w:rsidRPr="006B0A99">
        <w:rPr>
          <w:color w:val="000000" w:themeColor="text1"/>
          <w:sz w:val="24"/>
          <w:szCs w:val="24"/>
        </w:rPr>
        <w:t>Training_and_Testing_Sets</w:t>
      </w:r>
      <w:proofErr w:type="spellEnd"/>
      <w:r w:rsidRPr="006B0A99">
        <w:rPr>
          <w:color w:val="000000" w:themeColor="text1"/>
          <w:sz w:val="24"/>
          <w:szCs w:val="24"/>
        </w:rPr>
        <w:t>/train_set_unscaled.csv, test_set_unscaled.csv — retained for reference and auditing.</w:t>
      </w:r>
    </w:p>
    <w:p w14:paraId="0D358080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proofErr w:type="spellStart"/>
      <w:r w:rsidRPr="006B0A99">
        <w:rPr>
          <w:color w:val="000000" w:themeColor="text1"/>
          <w:sz w:val="24"/>
          <w:szCs w:val="24"/>
        </w:rPr>
        <w:t>Scaling_Documentation</w:t>
      </w:r>
      <w:proofErr w:type="spellEnd"/>
      <w:r w:rsidRPr="006B0A99">
        <w:rPr>
          <w:color w:val="000000" w:themeColor="text1"/>
          <w:sz w:val="24"/>
          <w:szCs w:val="24"/>
        </w:rPr>
        <w:t>/Scaling_Techniques_Documentation.docx — scaling method, rationale, and code.</w:t>
      </w:r>
    </w:p>
    <w:p w14:paraId="588F5CCE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stage2_data_</w:t>
      </w:r>
      <w:proofErr w:type="gramStart"/>
      <w:r w:rsidRPr="006B0A99">
        <w:rPr>
          <w:color w:val="000000" w:themeColor="text1"/>
          <w:sz w:val="24"/>
          <w:szCs w:val="24"/>
        </w:rPr>
        <w:t>preparation.ipynb</w:t>
      </w:r>
      <w:proofErr w:type="gramEnd"/>
      <w:r w:rsidRPr="006B0A99">
        <w:rPr>
          <w:color w:val="000000" w:themeColor="text1"/>
          <w:sz w:val="24"/>
          <w:szCs w:val="24"/>
        </w:rPr>
        <w:t xml:space="preserve"> — full executed notebook with all code and outputs.</w:t>
      </w:r>
    </w:p>
    <w:p w14:paraId="0EE82E6B" w14:textId="77777777" w:rsidR="00D06766" w:rsidRPr="006B0A99" w:rsidRDefault="00000000">
      <w:pPr>
        <w:pStyle w:val="Heading1"/>
        <w:spacing w:before="300"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8. Handoff Notes for Clustering Analysis (2-2)</w:t>
      </w:r>
    </w:p>
    <w:p w14:paraId="7C4981B4" w14:textId="77777777" w:rsidR="00D06766" w:rsidRPr="006B0A99" w:rsidRDefault="00000000">
      <w:pPr>
        <w:spacing w:after="15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>train_set.csv and test_set.csv are ready for the Data Analyst (Clustering) role to proceed with the elbow method and K-Means training. Key points to carry forward:</w:t>
      </w:r>
    </w:p>
    <w:p w14:paraId="2B01D77E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 xml:space="preserve">Contract and </w:t>
      </w:r>
      <w:proofErr w:type="spellStart"/>
      <w:r w:rsidRPr="006B0A99">
        <w:rPr>
          <w:color w:val="000000" w:themeColor="text1"/>
          <w:sz w:val="24"/>
          <w:szCs w:val="24"/>
        </w:rPr>
        <w:t>InternetService</w:t>
      </w:r>
      <w:proofErr w:type="spellEnd"/>
      <w:r w:rsidRPr="006B0A99">
        <w:rPr>
          <w:color w:val="000000" w:themeColor="text1"/>
          <w:sz w:val="24"/>
          <w:szCs w:val="24"/>
        </w:rPr>
        <w:t xml:space="preserve"> did not show a strong statistical relationship with churn in this sample — worth keeping in mind when interpreting cluster labels, since assumptions from typical telecom churn patterns may not hold for this dataset.</w:t>
      </w:r>
    </w:p>
    <w:p w14:paraId="00B4D56B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proofErr w:type="spellStart"/>
      <w:r w:rsidRPr="006B0A99">
        <w:rPr>
          <w:color w:val="000000" w:themeColor="text1"/>
          <w:sz w:val="24"/>
          <w:szCs w:val="24"/>
        </w:rPr>
        <w:t>ServiceCount</w:t>
      </w:r>
      <w:proofErr w:type="spellEnd"/>
      <w:r w:rsidRPr="006B0A99">
        <w:rPr>
          <w:color w:val="000000" w:themeColor="text1"/>
          <w:sz w:val="24"/>
          <w:szCs w:val="24"/>
        </w:rPr>
        <w:t xml:space="preserve"> and </w:t>
      </w:r>
      <w:proofErr w:type="spellStart"/>
      <w:r w:rsidRPr="006B0A99">
        <w:rPr>
          <w:color w:val="000000" w:themeColor="text1"/>
          <w:sz w:val="24"/>
          <w:szCs w:val="24"/>
        </w:rPr>
        <w:t>ContractLengthMonths</w:t>
      </w:r>
      <w:proofErr w:type="spellEnd"/>
      <w:r w:rsidRPr="006B0A99">
        <w:rPr>
          <w:color w:val="000000" w:themeColor="text1"/>
          <w:sz w:val="24"/>
          <w:szCs w:val="24"/>
        </w:rPr>
        <w:t xml:space="preserve"> were retained despite not correlating with churn individually; they may still contribute to meaningful customer segments in clustering, which does not depend on churn correlation the way supervised modelling does.</w:t>
      </w:r>
    </w:p>
    <w:p w14:paraId="346C18C7" w14:textId="77777777" w:rsidR="00D06766" w:rsidRPr="006B0A99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6B0A99">
        <w:rPr>
          <w:color w:val="000000" w:themeColor="text1"/>
          <w:sz w:val="24"/>
          <w:szCs w:val="24"/>
        </w:rPr>
        <w:t xml:space="preserve">Original text/category columns were dropped from the modelling feature set at the end of Stage 2 (after being kept through Stage 1 for traceability); only encoded/engineered numeric and </w:t>
      </w:r>
      <w:proofErr w:type="spellStart"/>
      <w:r w:rsidRPr="006B0A99">
        <w:rPr>
          <w:color w:val="000000" w:themeColor="text1"/>
          <w:sz w:val="24"/>
          <w:szCs w:val="24"/>
        </w:rPr>
        <w:t>boolean</w:t>
      </w:r>
      <w:proofErr w:type="spellEnd"/>
      <w:r w:rsidRPr="006B0A99">
        <w:rPr>
          <w:color w:val="000000" w:themeColor="text1"/>
          <w:sz w:val="24"/>
          <w:szCs w:val="24"/>
        </w:rPr>
        <w:t xml:space="preserve"> columns remain in train_set.csv and test_set.csv.</w:t>
      </w:r>
    </w:p>
    <w:sectPr w:rsidR="00D06766" w:rsidRPr="006B0A9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06F6E"/>
    <w:multiLevelType w:val="hybridMultilevel"/>
    <w:tmpl w:val="42EA8100"/>
    <w:lvl w:ilvl="0" w:tplc="58040A84">
      <w:start w:val="1"/>
      <w:numFmt w:val="bullet"/>
      <w:lvlText w:val="●"/>
      <w:lvlJc w:val="left"/>
      <w:pPr>
        <w:ind w:left="720" w:hanging="360"/>
      </w:pPr>
    </w:lvl>
    <w:lvl w:ilvl="1" w:tplc="D7CEAAE4">
      <w:start w:val="1"/>
      <w:numFmt w:val="bullet"/>
      <w:lvlText w:val="○"/>
      <w:lvlJc w:val="left"/>
      <w:pPr>
        <w:ind w:left="1440" w:hanging="360"/>
      </w:pPr>
    </w:lvl>
    <w:lvl w:ilvl="2" w:tplc="977CE1BE">
      <w:start w:val="1"/>
      <w:numFmt w:val="bullet"/>
      <w:lvlText w:val="■"/>
      <w:lvlJc w:val="left"/>
      <w:pPr>
        <w:ind w:left="2160" w:hanging="360"/>
      </w:pPr>
    </w:lvl>
    <w:lvl w:ilvl="3" w:tplc="C43250EE">
      <w:start w:val="1"/>
      <w:numFmt w:val="bullet"/>
      <w:lvlText w:val="●"/>
      <w:lvlJc w:val="left"/>
      <w:pPr>
        <w:ind w:left="2880" w:hanging="360"/>
      </w:pPr>
    </w:lvl>
    <w:lvl w:ilvl="4" w:tplc="32CE4F50">
      <w:start w:val="1"/>
      <w:numFmt w:val="bullet"/>
      <w:lvlText w:val="○"/>
      <w:lvlJc w:val="left"/>
      <w:pPr>
        <w:ind w:left="3600" w:hanging="360"/>
      </w:pPr>
    </w:lvl>
    <w:lvl w:ilvl="5" w:tplc="0540AFCA">
      <w:start w:val="1"/>
      <w:numFmt w:val="bullet"/>
      <w:lvlText w:val="■"/>
      <w:lvlJc w:val="left"/>
      <w:pPr>
        <w:ind w:left="4320" w:hanging="360"/>
      </w:pPr>
    </w:lvl>
    <w:lvl w:ilvl="6" w:tplc="63A65C12">
      <w:start w:val="1"/>
      <w:numFmt w:val="bullet"/>
      <w:lvlText w:val="●"/>
      <w:lvlJc w:val="left"/>
      <w:pPr>
        <w:ind w:left="5040" w:hanging="360"/>
      </w:pPr>
    </w:lvl>
    <w:lvl w:ilvl="7" w:tplc="B33CB2CE">
      <w:start w:val="1"/>
      <w:numFmt w:val="bullet"/>
      <w:lvlText w:val="●"/>
      <w:lvlJc w:val="left"/>
      <w:pPr>
        <w:ind w:left="5760" w:hanging="360"/>
      </w:pPr>
    </w:lvl>
    <w:lvl w:ilvl="8" w:tplc="FD648F04">
      <w:start w:val="1"/>
      <w:numFmt w:val="bullet"/>
      <w:lvlText w:val="●"/>
      <w:lvlJc w:val="left"/>
      <w:pPr>
        <w:ind w:left="6480" w:hanging="360"/>
      </w:pPr>
    </w:lvl>
  </w:abstractNum>
  <w:num w:numId="1" w16cid:durableId="267466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766"/>
    <w:rsid w:val="006B0A99"/>
    <w:rsid w:val="00CE6B27"/>
    <w:rsid w:val="00D0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4011"/>
  <w15:docId w15:val="{C2026AB0-A955-4388-9EB7-ECFC01A98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diwakarbhatta6546@gmail.com</cp:lastModifiedBy>
  <cp:revision>2</cp:revision>
  <dcterms:created xsi:type="dcterms:W3CDTF">2026-07-19T00:09:00Z</dcterms:created>
  <dcterms:modified xsi:type="dcterms:W3CDTF">2026-07-19T02:22:00Z</dcterms:modified>
</cp:coreProperties>
</file>