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Microsoft YaHei"/>
          <w:b/>
          <w:color w:val="2F75B5"/>
          <w:sz w:val="22"/>
        </w:rPr>
        <w:t>行业报告编写数字员工</w:t>
      </w:r>
    </w:p>
    <w:p>
      <w:pPr>
        <w:spacing w:before="100" w:after="100"/>
        <w:pBdr>
          <w:bottom w:val="single" w:sz="14" w:space="2" w:color="2F75B5"/>
        </w:pBdr>
      </w:pPr>
    </w:p>
    <w:p>
      <w:pPr>
        <w:pStyle w:val="Title"/>
        <w:spacing w:before="680"/>
        <w:jc w:val="center"/>
      </w:pPr>
      <w:r>
        <w:t>2025年中国证券行业</w:t>
        <w:br/>
        <w:t>发展研究报告</w:t>
      </w:r>
    </w:p>
    <w:p>
      <w:pPr>
        <w:pStyle w:val="Subtitle"/>
        <w:jc w:val="center"/>
      </w:pPr>
      <w:r>
        <w:t>临时中性模板 · asset candidate v1.0.0</w:t>
      </w:r>
    </w:p>
    <w:p>
      <w:pPr>
        <w:spacing w:before="15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7EAF0"/>
          <w:left w:val="single" w:sz="4" w:space="0" w:color="E7EAF0"/>
          <w:bottom w:val="single" w:sz="4" w:space="0" w:color="E7EAF0"/>
          <w:right w:val="single" w:sz="4" w:space="0" w:color="E7EAF0"/>
          <w:insideH w:val="single" w:sz="4" w:space="0" w:color="E7EAF0"/>
          <w:insideV w:val="single" w:sz="4" w:space="0" w:color="E7EAF0"/>
        </w:tblBorders>
      </w:tblPr>
      <w:tblGrid>
        <w:gridCol w:w="2268"/>
        <w:gridCol w:w="4535"/>
      </w:tblGrid>
      <w:tr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  <w:shd w:fill="EEF4F8"/>
          </w:tcPr>
          <w:p>
            <w:r>
              <w:rPr>
                <w:rFonts w:ascii="Arial" w:hAnsi="Arial" w:eastAsia="Microsoft YaHei"/>
                <w:b/>
                <w:color w:val="1F4E78"/>
              </w:rPr>
              <w:t>报告期</w:t>
            </w:r>
          </w:p>
        </w:tc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 w:eastAsia="Microsoft YaHei"/>
              </w:rPr>
              <w:t>2025年</w:t>
            </w:r>
          </w:p>
        </w:tc>
      </w:tr>
      <w:tr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  <w:shd w:fill="EEF4F8"/>
          </w:tcPr>
          <w:p>
            <w:r>
              <w:rPr>
                <w:rFonts w:ascii="Arial" w:hAnsi="Arial" w:eastAsia="Microsoft YaHei"/>
                <w:b/>
                <w:color w:val="1F4E78"/>
              </w:rPr>
              <w:t>目标受众</w:t>
            </w:r>
          </w:p>
        </w:tc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 w:eastAsia="Microsoft YaHei"/>
              </w:rPr>
              <w:t>证券公司总经理</w:t>
            </w:r>
          </w:p>
        </w:tc>
      </w:tr>
      <w:tr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  <w:shd w:fill="EEF4F8"/>
          </w:tcPr>
          <w:p>
            <w:r>
              <w:rPr>
                <w:rFonts w:ascii="Arial" w:hAnsi="Arial" w:eastAsia="Microsoft YaHei"/>
                <w:b/>
                <w:color w:val="1F4E78"/>
              </w:rPr>
              <w:t>编制部门</w:t>
            </w:r>
          </w:p>
        </w:tc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 w:eastAsia="Microsoft YaHei"/>
              </w:rPr>
              <w:t>战略发展部</w:t>
            </w:r>
          </w:p>
        </w:tc>
      </w:tr>
      <w:tr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  <w:shd w:fill="EEF4F8"/>
          </w:tcPr>
          <w:p>
            <w:r>
              <w:rPr>
                <w:rFonts w:ascii="Arial" w:hAnsi="Arial" w:eastAsia="Microsoft YaHei"/>
                <w:b/>
                <w:color w:val="1F4E78"/>
              </w:rPr>
              <w:t>版本状态</w:t>
            </w:r>
          </w:p>
        </w:tc>
        <w:tc>
          <w:tcPr>
            <w:tcW w:type="dxa" w:w="4513"/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r>
              <w:rPr>
                <w:rFonts w:ascii="Arial" w:hAnsi="Arial" w:eastAsia="Microsoft YaHei"/>
              </w:rPr>
              <w:t>供任务委派人评审</w:t>
            </w:r>
          </w:p>
        </w:tc>
      </w:tr>
    </w:tbl>
    <w:p>
      <w:pPr>
        <w:spacing w:before="1360"/>
        <w:jc w:val="center"/>
      </w:pPr>
      <w:r>
        <w:rPr>
          <w:rFonts w:ascii="Arial" w:hAnsi="Arial" w:eastAsia="Microsoft YaHei"/>
          <w:color w:val="667085"/>
          <w:sz w:val="18"/>
        </w:rPr>
        <w:t>内部资料｜仅向任务委派人交付</w:t>
      </w:r>
      <w:r>
        <w:br w:type="page"/>
      </w:r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S01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执行摘要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S02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行业发展概况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S03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证券公司经营差异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S04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五矿证券业务线对标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S05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借鉴点与行动建议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S06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风险与不确定性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7722"/>
      </w:tblGrid>
      <w:tr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b/>
                <w:color w:val="2F75B5"/>
              </w:rPr>
              <w:t>A01</w:t>
            </w:r>
          </w:p>
        </w:tc>
        <w:tc>
          <w:tcPr>
            <w:tcW w:type="dxa" w:w="4513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rFonts w:ascii="Arial" w:hAnsi="Arial" w:eastAsia="Microsoft YaHei"/>
                <w:color w:val="17365D"/>
                <w:sz w:val="22"/>
              </w:rPr>
              <w:t>来源与证据附录</w:t>
            </w:r>
          </w:p>
        </w:tc>
      </w:tr>
    </w:tbl>
    <w:p>
      <w:pPr>
        <w:spacing w:before="320"/>
      </w:pPr>
      <w:r>
        <w:t>正式生成器依据稳定 section_id 生成目录和页码；章节重排不改变评审锚点。</w:t>
      </w:r>
    </w:p>
    <w:p>
      <w:r>
        <w:br w:type="page"/>
      </w:r>
    </w:p>
    <w:p>
      <w:pPr>
        <w:pStyle w:val="Heading1"/>
      </w:pPr>
      <w:r>
        <w:t>模板使用说明</w:t>
      </w:r>
    </w:p>
    <w:p>
      <w:r>
        <w:t>本模板用于 v0.1.0 首个行业报告 Playbook 的 DOCX 生成与验收。它定义中性版式和章节骨架，不代表公司品牌规范；正式公司模板接入时应创建新的 asset_version。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27"/>
      </w:tblGrid>
      <w:tr>
        <w:tc>
          <w:tcPr>
            <w:tcW w:type="dxa" w:w="4513"/>
            <w:shd w:fill="2F75B5"/>
          </w:tcPr>
          <w:p/>
        </w:tc>
        <w:tc>
          <w:tcPr>
            <w:tcW w:type="dxa" w:w="4513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F4E78"/>
                <w:sz w:val="21"/>
              </w:rPr>
              <w:t>正式产物规则</w:t>
            </w:r>
            <w:r>
              <w:br/>
            </w:r>
            <w:r>
              <w:rPr>
                <w:rFonts w:ascii="Arial" w:hAnsi="Arial" w:eastAsia="Microsoft YaHei"/>
                <w:sz w:val="19"/>
              </w:rPr>
              <w:t>文件名包含报告名、报告期、artifact version 与批准状态；报告正文、来源清单和证据清单必须绑定同一 WorkItem。</w:t>
            </w:r>
          </w:p>
        </w:tc>
      </w:tr>
    </w:tbl>
    <w:p>
      <w:pPr>
        <w:pStyle w:val="Heading2"/>
      </w:pPr>
      <w:r>
        <w:t>推荐目录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执行摘要：结论先行，列出关键数字、主要变化、五矿证券可行动建议和重大不确定性。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行业发展概况：规模、监管、市场结构、盈利驱动和 2025 年关键变化。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证券公司经营差异：统一口径比较收入、利润、资本效率、业务结构和风险。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五矿证券业务线对标：财富、投行、自营权益、自营固收、资管逐线分析。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借鉴点与行动建议：明确优先级、适用条件、依赖、风险和验证指标。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来源与证据附录：记录来源定位、检索时间、许可、快照状态和关键 Claim 绑定。</w:t>
      </w:r>
    </w:p>
    <w:p>
      <w:pPr>
        <w:pStyle w:val="Heading2"/>
      </w:pPr>
      <w:r>
        <w:t>版式合同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124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要素</w:t>
            </w:r>
          </w:p>
        </w:tc>
        <w:tc>
          <w:tcPr>
            <w:tcW w:type="dxa" w:w="29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冻结候选值</w:t>
            </w:r>
          </w:p>
        </w:tc>
        <w:tc>
          <w:tcPr>
            <w:tcW w:type="dxa" w:w="481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生成要求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页面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A4 纵向；四边 2.54 cm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正文可用宽度 15.92 cm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字体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中文 Microsoft YaHei；西文 Arial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缺失时由 Word 做平台字体替代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标题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18 / 13.5 / 11.5 pt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稳定 section_id 不写入可变章节序号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正文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10.5 pt；1.12 倍行距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段后 6 pt；避免超密排版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页眉页脚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中性角色名、内部资料、页码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封面隐藏常规页眉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颜色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深蓝、蓝、浅蓝、灰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不使用公司 Logo 或未批准品牌色</w:t>
            </w:r>
          </w:p>
        </w:tc>
      </w:tr>
    </w:tbl>
    <w:p>
      <w:r>
        <w:br w:type="page"/>
      </w:r>
    </w:p>
    <w:p>
      <w:pPr>
        <w:pStyle w:val="Heading1"/>
      </w:pPr>
      <w:r>
        <w:t>执行摘要</w:t>
      </w:r>
    </w:p>
    <w:p>
      <w:r>
        <w:t>执行摘要应在两页以内回答四件事：行业发生了什么、同业差异在哪里、五矿证券各业务线可以借鉴什么、哪些结论仍需人工判断。关键数字必须可追溯到证据。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27"/>
      </w:tblGrid>
      <w:tr>
        <w:tc>
          <w:tcPr>
            <w:tcW w:type="dxa" w:w="4513"/>
            <w:shd w:fill="2F75B5"/>
          </w:tcPr>
          <w:p/>
        </w:tc>
        <w:tc>
          <w:tcPr>
            <w:tcW w:type="dxa" w:w="4513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F4E78"/>
                <w:sz w:val="21"/>
              </w:rPr>
              <w:t>总经理阅读视角</w:t>
            </w:r>
            <w:r>
              <w:br/>
            </w:r>
            <w:r>
              <w:rPr>
                <w:rFonts w:ascii="Arial" w:hAnsi="Arial" w:eastAsia="Microsoft YaHei"/>
                <w:sz w:val="19"/>
              </w:rPr>
              <w:t>先给结论和行动含义，再给支撑事实；区分事实、推断、建议与待验证假设。</w:t>
            </w:r>
          </w:p>
        </w:tc>
      </w:tr>
    </w:tbl>
    <w:p>
      <w:pPr>
        <w:pStyle w:val="Heading2"/>
      </w:pPr>
      <w:r>
        <w:t>关键结论呈现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36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结论主题</w:t>
            </w:r>
          </w:p>
        </w:tc>
        <w:tc>
          <w:tcPr>
            <w:tcW w:type="dxa" w:w="238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应回答的问题</w:t>
            </w:r>
          </w:p>
        </w:tc>
        <w:tc>
          <w:tcPr>
            <w:tcW w:type="dxa" w:w="209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证据要求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对五矿证券的意义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行业概况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规模、结构和盈利驱动如何变化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至少两类独立来源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判断资源配置方向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同业差异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领先与承压机构差异来自哪里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统一口径公司数据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识别可复制能力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业务对标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五条业务线分别处于什么位置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分业务可比指标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形成逐线行动建议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风险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哪些数字或判断存在冲突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保留冲突证据</w:t>
            </w:r>
          </w:p>
        </w:tc>
        <w:tc>
          <w:tcPr>
            <w:tcW w:type="dxa" w:w="3175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设置决策边界</w:t>
            </w:r>
          </w:p>
        </w:tc>
      </w:tr>
    </w:tbl>
    <w:p>
      <w:pPr>
        <w:pStyle w:val="Heading1"/>
      </w:pPr>
      <w:r>
        <w:t>行业发展概况</w:t>
      </w:r>
    </w:p>
    <w:p>
      <w:r>
        <w:t>本章使用统一报告期和统计口径描述市场规模、监管政策、竞争格局、收入利润、资本约束及技术趋势。同比、排名和份额必须注明分母、币种、单位和时间点。</w:t>
      </w:r>
    </w:p>
    <w:p>
      <w:pPr>
        <w:pStyle w:val="Heading2"/>
      </w:pPr>
      <w:r>
        <w:t>指标示例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147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7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2025</w:t>
            </w:r>
          </w:p>
        </w:tc>
        <w:tc>
          <w:tcPr>
            <w:tcW w:type="dxa" w:w="226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187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来源编号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行业营业收入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按来源口径填列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按来源口径填列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同比与驱动拆解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SRC-001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行业净利润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按来源口径填列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按来源口径填列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同比与集中度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SRC-002</w:t>
            </w:r>
          </w:p>
        </w:tc>
      </w:tr>
      <w:tr>
        <w:trPr>
          <w:cantSplit/>
        </w:trPr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净资本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期末口径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期末口径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资本效率变化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SRC-003</w:t>
            </w:r>
          </w:p>
        </w:tc>
      </w:tr>
    </w:tbl>
    <w:p>
      <w:r>
        <w:br w:type="page"/>
      </w:r>
    </w:p>
    <w:p>
      <w:pPr>
        <w:pStyle w:val="Heading1"/>
      </w:pPr>
      <w:r>
        <w:t>证券公司经营差异</w:t>
      </w:r>
    </w:p>
    <w:p>
      <w:r>
        <w:t>比较必须先建立可比公司集、数据版本和口径映射。对绝对规模、增长、盈利质量、资本效率和业务结构分别排序，避免用单一指标定义领先。</w:t>
      </w:r>
    </w:p>
    <w:p>
      <w:pPr>
        <w:pStyle w:val="Heading2"/>
      </w:pPr>
      <w:r>
        <w:t>同业比较表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36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机构</w:t>
            </w:r>
          </w:p>
        </w:tc>
        <w:tc>
          <w:tcPr>
            <w:tcW w:type="dxa" w:w="147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收入/利润</w:t>
            </w:r>
          </w:p>
        </w:tc>
        <w:tc>
          <w:tcPr>
            <w:tcW w:type="dxa" w:w="158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ROE/资本效率</w:t>
            </w:r>
          </w:p>
        </w:tc>
        <w:tc>
          <w:tcPr>
            <w:tcW w:type="dxa" w:w="170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业务结构</w:t>
            </w:r>
          </w:p>
        </w:tc>
        <w:tc>
          <w:tcPr>
            <w:tcW w:type="dxa" w:w="19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主要差异</w:t>
            </w:r>
          </w:p>
        </w:tc>
        <w:tc>
          <w:tcPr>
            <w:tcW w:type="dxa" w:w="90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可比机构 A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统一单位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统一年度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分业务占比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事实与解释分列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CLM-001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可比机构 B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统一单位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统一年度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分业务占比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事实与解释分列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CLM-002</w:t>
            </w:r>
          </w:p>
        </w:tc>
      </w:tr>
      <w:tr>
        <w:trPr>
          <w:cantSplit/>
        </w:trPr>
        <w:tc>
          <w:tcPr>
            <w:tcW w:type="dxa" w:w="136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五矿证券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统一单位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统一年度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分业务占比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对标差距与优势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CLM-003</w:t>
            </w:r>
          </w:p>
        </w:tc>
      </w:tr>
    </w:tbl>
    <w:p>
      <w:pPr>
        <w:pStyle w:val="Heading1"/>
      </w:pPr>
      <w:r>
        <w:t>五矿证券业务线对标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19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业务线</w:t>
            </w:r>
          </w:p>
        </w:tc>
        <w:tc>
          <w:tcPr>
            <w:tcW w:type="dxa" w:w="17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对标维度</w:t>
            </w:r>
          </w:p>
        </w:tc>
        <w:tc>
          <w:tcPr>
            <w:tcW w:type="dxa" w:w="238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可借鉴做法</w:t>
            </w:r>
          </w:p>
        </w:tc>
        <w:tc>
          <w:tcPr>
            <w:tcW w:type="dxa" w:w="175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适用前提</w:t>
            </w:r>
          </w:p>
        </w:tc>
        <w:tc>
          <w:tcPr>
            <w:tcW w:type="dxa" w:w="19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建议指标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财富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客户、产品、渠道、投顾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说明能力机制而非只列案例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客群与渠道匹配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AUM、客户活跃、产品保有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投行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行业覆盖、项目质量、协同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识别专业化和区域化打法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人员与项目储备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收入、项目数、承销质量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自营权益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策略、回撤、资本占用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区分方向与策略收益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风险预算明确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收益率、回撤、资本回报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自营固收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交易、做市、信用研究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比较资金与风险效率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授信与限额完备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久期、利差、资本回报</w:t>
            </w:r>
          </w:p>
        </w:tc>
      </w:tr>
      <w:tr>
        <w:trPr>
          <w:cantSplit/>
        </w:trPr>
        <w:tc>
          <w:tcPr>
            <w:tcW w:type="dxa" w:w="119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资管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产品、投研、渠道、规模质量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识别主动管理优势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牌照与渠道协同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净流入、业绩、留存</w:t>
            </w:r>
          </w:p>
        </w:tc>
      </w:tr>
    </w:tbl>
    <w:p>
      <w:r>
        <w:br w:type="page"/>
      </w:r>
    </w:p>
    <w:p>
      <w:pPr>
        <w:pStyle w:val="Heading1"/>
      </w:pPr>
      <w:r>
        <w:t>借鉴点与行动建议</w:t>
      </w:r>
    </w:p>
    <w:p>
      <w:r>
        <w:t>每项建议必须说明业务价值、执行动作、责任边界、依赖条件、风险和验证指标。数字员工可以生成候选建议，但重大资源配置结论必须由委派人批准。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13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215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依据</w:t>
            </w:r>
          </w:p>
        </w:tc>
        <w:tc>
          <w:tcPr>
            <w:tcW w:type="dxa" w:w="209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依赖/风险</w:t>
            </w:r>
          </w:p>
        </w:tc>
        <w:tc>
          <w:tcPr>
            <w:tcW w:type="dxa" w:w="158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P0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近期可验证动作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关键 Claim 与 Evidence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列明数据与组织条件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30—90 天指标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P1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能力建设动作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同业机制与内部差距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列明投入与协同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季度里程碑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观察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尚不足以决策的方向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冲突或不完整证据</w:t>
            </w:r>
          </w:p>
        </w:tc>
        <w:tc>
          <w:tcPr>
            <w:tcW w:type="dxa" w:w="209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明确补充研究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下一次复核点</w:t>
            </w:r>
          </w:p>
        </w:tc>
      </w:tr>
    </w:tbl>
    <w:p>
      <w:pPr>
        <w:pStyle w:val="Heading2"/>
      </w:pPr>
      <w:r>
        <w:t>风险与不确定性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口径风险：公司披露口径、合并范围或报告期不一致。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来源风险：商业数据库许可限制摘录或无法形成稳定快照。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推断风险：公开信息不足以支持因果判断，只能形成待验证假设。</w:t>
      </w:r>
    </w:p>
    <w:p>
      <w:pPr>
        <w:pStyle w:val="ListBullet"/>
        <w:spacing w:after="60"/>
      </w:pPr>
      <w:r>
        <w:rPr>
          <w:rFonts w:ascii="Arial" w:hAnsi="Arial" w:eastAsia="Microsoft YaHei"/>
        </w:rPr>
        <w:t>时效风险：报告生成后市场、监管或公司数据发生变化。</w:t>
      </w:r>
    </w:p>
    <w:p>
      <w:pPr>
        <w:pStyle w:val="Heading1"/>
      </w:pPr>
      <w:r>
        <w:t>来源与证据附录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247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来源编号</w:t>
            </w:r>
          </w:p>
        </w:tc>
        <w:tc>
          <w:tcPr>
            <w:tcW w:type="dxa" w:w="272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来源与定位</w:t>
            </w:r>
          </w:p>
        </w:tc>
        <w:tc>
          <w:tcPr>
            <w:tcW w:type="dxa" w:w="153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检索时间</w:t>
            </w:r>
          </w:p>
        </w:tc>
        <w:tc>
          <w:tcPr>
            <w:tcW w:type="dxa" w:w="2041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许可/快照</w:t>
            </w:r>
          </w:p>
        </w:tc>
        <w:tc>
          <w:tcPr>
            <w:tcW w:type="dxa" w:w="147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/>
                <w:color w:val="FFFFFF"/>
                <w:sz w:val="17"/>
              </w:rPr>
              <w:t>支持的 Claim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SRC-001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公开或授权来源的稳定 locator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ISO 8601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许可说明与 digest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CLM-001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SRC-002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Gildata MCP 查询摘要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ISO 8601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数据版本与 digest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shd w:fill="F7F9FB"/>
          </w:tcPr>
          <w:p>
            <w:r>
              <w:rPr>
                <w:rFonts w:ascii="Arial" w:hAnsi="Arial" w:eastAsia="Microsoft YaHei"/>
                <w:sz w:val="17"/>
              </w:rPr>
              <w:t>CLM-002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SRC-003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委派人授权的内部材料</w:t>
            </w:r>
          </w:p>
        </w:tc>
        <w:tc>
          <w:tcPr>
            <w:tcW w:type="dxa" w:w="153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ISO 8601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受控快照与等级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Microsoft YaHei"/>
                <w:sz w:val="17"/>
              </w:rPr>
              <w:t>CLM-003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8827"/>
      </w:tblGrid>
      <w:tr>
        <w:tc>
          <w:tcPr>
            <w:tcW w:type="dxa" w:w="4513"/>
            <w:shd w:fill="2F75B5"/>
          </w:tcPr>
          <w:p/>
        </w:tc>
        <w:tc>
          <w:tcPr>
            <w:tcW w:type="dxa" w:w="4513"/>
            <w:shd w:fill="EEF4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b/>
                <w:color w:val="1F4E78"/>
                <w:sz w:val="21"/>
              </w:rPr>
              <w:t>引用规则</w:t>
            </w:r>
            <w:r>
              <w:br/>
            </w:r>
            <w:r>
              <w:rPr>
                <w:rFonts w:ascii="Arial" w:hAnsi="Arial" w:eastAsia="Microsoft YaHei"/>
                <w:sz w:val="19"/>
              </w:rPr>
              <w:t>正文使用稳定来源编号；来源清单记录 locator、retrieved_at、许可、snapshot status 与 digest。禁止把 token、签名 URL 或宿主路径写入产物。</w:t>
            </w:r>
          </w:p>
        </w:tc>
      </w:tr>
    </w:tbl>
    <w:sectPr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520"/>
      <w:gridCol w:w="2506"/>
    </w:tblGrid>
    <w:tr>
      <w:tc>
        <w:tcPr>
          <w:tcW w:type="dxa" w:w="4513"/>
        </w:tcPr>
        <w:p>
          <w:r>
            <w:rPr>
              <w:rFonts w:ascii="Arial" w:hAnsi="Arial" w:eastAsia="Microsoft YaHei"/>
              <w:color w:val="667085"/>
              <w:sz w:val="17"/>
            </w:rPr>
            <w:t>内部资料｜仅向任务委派人交付</w:t>
          </w:r>
        </w:p>
      </w:tc>
      <w:tc>
        <w:tcPr>
          <w:tcW w:type="dxa" w:w="4513"/>
        </w:tcPr>
        <w:p>
          <w:pPr>
            <w:jc w:val="right"/>
          </w:pPr>
          <w:r>
            <w:rPr>
              <w:rFonts w:ascii="Arial" w:hAnsi="Arial" w:eastAsia="Microsoft YaHei"/>
              <w:color w:val="66708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8" w:space="4" w:color="2F75B5"/>
      </w:pBdr>
    </w:pPr>
    <w:r>
      <w:rPr>
        <w:rFonts w:ascii="Arial" w:hAnsi="Arial" w:eastAsia="Microsoft YaHei"/>
        <w:color w:val="667085"/>
        <w:sz w:val="17"/>
      </w:rPr>
      <w:t>行业报告编写数字员工  /  临时中性模板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Microsoft YaHei"/>
      <w:color w:val="2026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行业报告编写数字员工临时中性模板</dc:title>
  <dc:subject>v0.1.0 M0 Word asset candidate</dc:subject>
  <dc:creator/>
  <cp:keywords/>
  <dc:description>Neutral template; no company branding.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