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p>
    <w:p>
      <w:pPr>
        <w:spacing w:after="120"/>
        <w:jc w:val="center"/>
      </w:pPr>
      <w:r>
        <w:rPr>
          <w:rFonts w:ascii="PingFang SC" w:hAnsi="PingFang SC"/>
          <w:b/>
          <w:i w:val="0"/>
          <w:color w:val="1F4E79"/>
          <w:sz w:val="48"/>
          <w:rFonts w:eastAsia="PingFang SC" w:ascii="PingFang SC" w:hAnsi="PingFang SC"/>
        </w:rPr>
        <w:t>A股量化多因子特征工程系统</w:t>
        <w:br/>
        <w:t>因子加工与策略逻辑业务说明书</w:t>
      </w:r>
    </w:p>
    <w:p>
      <w:pPr>
        <w:spacing w:after="400"/>
        <w:jc w:val="center"/>
      </w:pPr>
      <w:r>
        <w:rPr>
          <w:rFonts w:ascii="PingFang SC" w:hAnsi="PingFang SC"/>
          <w:b w:val="0"/>
          <w:i w:val="0"/>
          <w:color w:val="006699"/>
          <w:sz w:val="24"/>
          <w:rFonts w:eastAsia="PingFang SC" w:ascii="PingFang SC" w:hAnsi="PingFang SC"/>
        </w:rPr>
        <w:t>核心因子定义 · 技术形态识别 · 触发门槛口径 · 质控避坑指南</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4680"/>
        <w:gridCol w:w="4680"/>
      </w:tblGrid>
      <w:tr>
        <w:tc>
          <w:tcPr>
            <w:tcW w:type="dxa" w:w="259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文档属性</w:t>
            </w:r>
          </w:p>
        </w:tc>
        <w:tc>
          <w:tcPr>
            <w:tcW w:type="dxa" w:w="6768"/>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详细内容与规格说明</w:t>
            </w:r>
          </w:p>
        </w:tc>
      </w:tr>
      <w:tr>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编制部门</w:t>
            </w:r>
          </w:p>
        </w:tc>
        <w:tc>
          <w:tcPr>
            <w:tcW w:type="dxa" w:w="676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五矿证券信息技术部 / 数智产品研发团队 &amp; 量化工程组</w:t>
            </w:r>
          </w:p>
        </w:tc>
      </w:tr>
      <w:tr>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体系版本</w:t>
            </w:r>
          </w:p>
        </w:tc>
        <w:tc>
          <w:tcPr>
            <w:tcW w:type="dxa" w:w="676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v2.4 全景正式版 (生产对齐)</w:t>
            </w:r>
          </w:p>
        </w:tc>
      </w:tr>
      <w:tr>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覆盖标的</w:t>
            </w:r>
          </w:p>
        </w:tc>
        <w:tc>
          <w:tcPr>
            <w:tcW w:type="dxa" w:w="676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全A股主板、科创板、创业板有效权益类股票 (全市场 5300+ 标的)</w:t>
            </w:r>
          </w:p>
        </w:tc>
      </w:tr>
      <w:tr>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数据底座</w:t>
            </w:r>
          </w:p>
        </w:tc>
        <w:tc>
          <w:tcPr>
            <w:tcW w:type="dxa" w:w="676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聚源量化金融数据库 (Gildata JYDBTEST) + 毫秒级紧凑切片架构</w:t>
            </w:r>
          </w:p>
        </w:tc>
      </w:tr>
      <w:tr>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编制原则</w:t>
            </w:r>
          </w:p>
        </w:tc>
        <w:tc>
          <w:tcPr>
            <w:tcW w:type="dxa" w:w="676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业务逻辑严密、无未来函数泄露、交易日连续性强校验、包含口径真实呈现</w:t>
            </w:r>
          </w:p>
        </w:tc>
      </w:tr>
      <w:tr>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生效时间</w:t>
            </w:r>
          </w:p>
        </w:tc>
        <w:tc>
          <w:tcPr>
            <w:tcW w:type="dxa" w:w="676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2026年9月 (覆盖日切全天候流水线与实时流式投研诊断)</w:t>
            </w:r>
          </w:p>
        </w:tc>
      </w:tr>
    </w:tbl>
    <w:p>
      <w:pPr>
        <w:spacing w:before="0" w:after="120"/>
      </w:pPr>
    </w:p>
    <w:p>
      <w:r>
        <w:br w:type="page"/>
      </w:r>
    </w:p>
    <w:p>
      <w:pPr>
        <w:keepNext/>
        <w:spacing w:before="360" w:after="160"/>
      </w:pPr>
      <w:r>
        <w:rPr>
          <w:rFonts w:ascii="PingFang SC" w:hAnsi="PingFang SC"/>
          <w:b/>
          <w:i w:val="0"/>
          <w:color w:val="1F4E79"/>
          <w:sz w:val="32"/>
          <w:rFonts w:eastAsia="PingFang SC" w:ascii="PingFang SC" w:hAnsi="PingFang SC"/>
        </w:rPr>
        <w:t>第一章 系统架构与数据底座规范</w:t>
      </w:r>
    </w:p>
    <w:p>
      <w:pPr>
        <w:spacing w:before="40" w:after="120" w:line="324" w:lineRule="auto"/>
        <w:jc w:val="left"/>
      </w:pPr>
      <w:r>
        <w:rPr>
          <w:rFonts w:ascii="PingFang SC" w:hAnsi="PingFang SC"/>
          <w:b w:val="0"/>
          <w:i w:val="0"/>
          <w:color w:val="262626"/>
          <w:sz w:val="21"/>
          <w:rFonts w:eastAsia="PingFang SC" w:ascii="PingFang SC" w:hAnsi="PingFang SC"/>
        </w:rPr>
        <w:t>本量化特征工程系统旨在为高净值客群与专业投研团队提供毫秒级多因子扫描与 AI 辅助诊断服务。为确保因子在全市场数千只股票、横跨数十年的历史回溯中保持计算的一致性、真实性与抗噪能力，系统底层构建了严格的数据清洗与标准化底座。</w:t>
      </w:r>
    </w:p>
    <w:p>
      <w:pPr>
        <w:keepNext/>
        <w:spacing w:before="280" w:after="120"/>
      </w:pPr>
      <w:r>
        <w:rPr>
          <w:rFonts w:ascii="PingFang SC" w:hAnsi="PingFang SC"/>
          <w:b/>
          <w:i w:val="0"/>
          <w:color w:val="006699"/>
          <w:sz w:val="26"/>
          <w:rFonts w:eastAsia="PingFang SC" w:ascii="PingFang SC" w:hAnsi="PingFang SC"/>
        </w:rPr>
        <w:t>1.1 股票标的池筛选与有效性约束</w:t>
      </w:r>
    </w:p>
    <w:p>
      <w:pPr>
        <w:spacing w:before="40" w:after="120" w:line="324" w:lineRule="auto"/>
        <w:jc w:val="left"/>
      </w:pPr>
      <w:r>
        <w:rPr>
          <w:rFonts w:ascii="PingFang SC" w:hAnsi="PingFang SC"/>
          <w:b w:val="0"/>
          <w:i w:val="0"/>
          <w:color w:val="262626"/>
          <w:sz w:val="21"/>
          <w:rFonts w:eastAsia="PingFang SC" w:ascii="PingFang SC" w:hAnsi="PingFang SC"/>
        </w:rPr>
        <w:t>系统从源头建立严谨的标的准入黑白名单机制，覆盖上海证券交易所与深圳证券交易所挂牌的所有正常权益类A股标的：</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筛选维度</w:t>
            </w:r>
          </w:p>
        </w:tc>
        <w:tc>
          <w:tcPr>
            <w:tcW w:type="dxa" w:w="331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准入/排除规则</w:t>
            </w:r>
          </w:p>
        </w:tc>
        <w:tc>
          <w:tcPr>
            <w:tcW w:type="dxa" w:w="3888"/>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业务意图与风控考虑</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证券代码范围</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主板 (60/00开头)、科创板 (68开头)、创业板 (30开头)</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聚焦全市场核心流通权益资产，兼顾大盘蓝筹与硬科技成长股</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证券类别限定</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严格限定证券大类代码为A股权益 (排除 B股、优先股、存托凭证等)</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消除跨币种、流动性失真及非普通股结构对量价因子的扰动</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非流通与退市</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剔除已退市整理期、暂停上市且无复牌预期的退市摘牌标的</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杜绝不可交易标的污染选股池，降低无效回测风险</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上市存续要求</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针对不同因子的回测窗口，设置自适应历史K线长度门槛</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确保长周期均线与新高统计具备充沛的样本深度</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1.2 价格复权机制：前复权主口径（无感平滑真实收益）</w:t>
      </w:r>
    </w:p>
    <w:p>
      <w:pPr>
        <w:spacing w:before="40" w:after="120" w:line="324" w:lineRule="auto"/>
        <w:jc w:val="left"/>
      </w:pPr>
      <w:r>
        <w:rPr>
          <w:rFonts w:ascii="PingFang SC" w:hAnsi="PingFang SC"/>
          <w:b w:val="0"/>
          <w:i w:val="0"/>
          <w:color w:val="262626"/>
          <w:sz w:val="21"/>
          <w:rFonts w:eastAsia="PingFang SC" w:ascii="PingFang SC" w:hAnsi="PingFang SC"/>
        </w:rPr>
        <w:t>由于A股上市公司频繁实施分红派息、送转增股、配股及定向增发，原始未复权价格会在除权除息日产生不自然的断崖式跳空缺口。若直接基于原始价格计算移动平均线（MA）或历史新高，将导致大量由分红引发的「虚假破位」或「虚假新高」。</w:t>
      </w:r>
    </w:p>
    <w:p>
      <w:pPr>
        <w:spacing w:before="40" w:after="120" w:line="324" w:lineRule="auto"/>
        <w:jc w:val="left"/>
      </w:pPr>
      <w:r>
        <w:rPr>
          <w:rFonts w:ascii="PingFang SC" w:hAnsi="PingFang SC"/>
          <w:b w:val="0"/>
          <w:i w:val="0"/>
          <w:color w:val="262626"/>
          <w:sz w:val="21"/>
          <w:rFonts w:eastAsia="PingFang SC" w:ascii="PingFang SC" w:hAnsi="PingFang SC"/>
        </w:rPr>
        <w:t>本系统全面采纳「精确前复权（Forward-Adjusted）」作为核心量价计算的绝对主口径：以当前最新收盘日为基准日（复权因子归一化为1.0），将历史各交易日的开、高、低、收价格按照分红派息与股本变动进行等比回溯调整。该口径具备三大业务优势：</w:t>
        <w:br/>
        <w:t>1. 真实收益贴现：每一根历史K线折射出的涨跌幅，与投资者实际持仓收益率完全吻合；</w:t>
        <w:br/>
        <w:t>2. 均线平滑无缝：均线指标在除权除息日平滑过渡，不会产生伪金叉或伪死叉；</w:t>
        <w:br/>
        <w:t>3. 新高历史对齐：新高计算所对比的历史峰值，均已折算为当前市值同权基准，真实反映长期筹码解套与真空状态。</w:t>
      </w:r>
    </w:p>
    <w:p>
      <w:pPr>
        <w:keepNext/>
        <w:spacing w:before="280" w:after="120"/>
      </w:pPr>
      <w:r>
        <w:rPr>
          <w:rFonts w:ascii="PingFang SC" w:hAnsi="PingFang SC"/>
          <w:b/>
          <w:i w:val="0"/>
          <w:color w:val="006699"/>
          <w:sz w:val="26"/>
          <w:rFonts w:eastAsia="PingFang SC" w:ascii="PingFang SC" w:hAnsi="PingFang SC"/>
        </w:rPr>
        <w:t>1.3 停牌处理与交易日连续性防污染规范</w:t>
      </w:r>
    </w:p>
    <w:p>
      <w:pPr>
        <w:spacing w:before="40" w:after="120" w:line="324" w:lineRule="auto"/>
        <w:jc w:val="left"/>
      </w:pPr>
      <w:r>
        <w:rPr>
          <w:rFonts w:ascii="PingFang SC" w:hAnsi="PingFang SC"/>
          <w:b w:val="0"/>
          <w:i w:val="0"/>
          <w:color w:val="262626"/>
          <w:sz w:val="21"/>
          <w:rFonts w:eastAsia="PingFang SC" w:ascii="PingFang SC" w:hAnsi="PingFang SC"/>
        </w:rPr>
        <w:t>在长期数据加工中，停牌是诱发量化逻辑畸变的最大隐患。传统数据流水线常将停牌日的价格沿用上一交易日（填充占位行），成交量记为零。若不加以严密识别，会产生两大致命业务缺陷：</w:t>
        <w:br/>
        <w:t>• 均线冻结误判：股票停牌期间所有均线数值完全静止，复牌首日均线排列依然保持停牌前的状态，易被系统误判为「多头趋势完好」；</w:t>
        <w:br/>
        <w:t>• 周期跨度拉长：若某标的在近180个日历日内停牌了100天，其实际有效交易仅80天，回撤幅度被严重失真稀释。</w:t>
      </w:r>
    </w:p>
    <w:tbl>
      <w:tblPr>
        <w:tblW w:type="auto" w:w="0"/>
        <w:jc w:val="center"/>
        <w:tblLayout w:type="fixed"/>
        <w:tblLook w:firstColumn="1" w:firstRow="1" w:lastColumn="0" w:lastRow="0" w:noHBand="0" w:noVBand="1" w:val="04A0"/>
      </w:tblPr>
      <w:tblGrid>
        <w:gridCol w:w="9360"/>
      </w:tblGrid>
      <w:tr>
        <w:tc>
          <w:tcPr>
            <w:tcW w:type="dxa" w:w="9360"/>
            <w:shd w:fill="FDF2F2"/>
            <w:tcMar>
              <w:top w:w="160" w:type="dxa"/>
              <w:bottom w:w="160" w:type="dxa"/>
              <w:left w:w="240" w:type="dxa"/>
              <w:right w:w="200" w:type="dxa"/>
            </w:tcMar>
            <w:tcBorders>
              <w:left w:val="single" w:sz="28" w:space="0" w:color="C00000"/>
              <w:top w:val="none"/>
              <w:right w:val="none"/>
              <w:bottom w:val="none"/>
            </w:tcBorders>
          </w:tcPr>
          <w:p>
            <w:pPr>
              <w:spacing w:before="40" w:after="80" w:line="288" w:lineRule="auto"/>
            </w:pPr>
            <w:r>
              <w:rPr>
                <w:rFonts w:ascii="PingFang SC" w:hAnsi="PingFang SC"/>
                <w:b/>
                <w:color w:val="C00000"/>
                <w:sz w:val="21"/>
              </w:rPr>
              <w:t>⚠️ 数据底座核心风控：防停牌行情穿透与假信号过滤</w:t>
              <w:br/>
            </w:r>
            <w:r>
              <w:rPr>
                <w:rFonts w:ascii="PingFang SC" w:hAnsi="PingFang SC"/>
                <w:color w:val="262626"/>
                <w:sz w:val="19"/>
              </w:rPr>
              <w:t>本系统的底层硬约束：</w:t>
              <w:br/>
              <w:t>1. 活跃交易日判据：必须满足当日成交额严格大于零，才认定为有效正常交易日（IS_TRADING = 1）；</w:t>
              <w:br/>
              <w:t>2. 窗口内零停牌刚性校验：所有涉及连续交易窗口的因子（如连续5日红盘、4日均线支撑、连续双日均线发散），必须进行「交易日历等差校验」及「有效交易日求和校验」，必须确保统计窗口内无任何停牌占位行；</w:t>
              <w:br/>
              <w:t>3. 停牌复牌隔离：股票复牌首日，由于前一交易日非有效正常交易，系统强行冻结当期均线多头判定，必须待复牌后连续走出正常交易方可参与趋势判定。</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1.4 无未来函数泄露原则（零后视偏差）</w:t>
      </w:r>
    </w:p>
    <w:p>
      <w:pPr>
        <w:spacing w:before="40" w:after="120" w:line="324" w:lineRule="auto"/>
        <w:jc w:val="left"/>
      </w:pPr>
      <w:r>
        <w:rPr>
          <w:rFonts w:ascii="PingFang SC" w:hAnsi="PingFang SC"/>
          <w:b w:val="0"/>
          <w:i w:val="0"/>
          <w:color w:val="262626"/>
          <w:sz w:val="21"/>
          <w:rFonts w:eastAsia="PingFang SC" w:ascii="PingFang SC" w:hAnsi="PingFang SC"/>
        </w:rPr>
        <w:t>系统在所有因子的加工与切片生成中，严格遵循无未来函数规范：在对某历史交易日 T0 进行因子加工时，仅且仅能使用截止 T0 当日收盘时已经公布并可获取的市场信息，严禁使用 T+1 日及后续任何价格、财务披露或宏观指标。无论进行单日选股还是回测，均保证决策时点与真实投资场景 100% 同步。</w:t>
      </w:r>
    </w:p>
    <w:p>
      <w:r>
        <w:br w:type="page"/>
      </w:r>
    </w:p>
    <w:p>
      <w:pPr>
        <w:keepNext/>
        <w:spacing w:before="360" w:after="160"/>
      </w:pPr>
      <w:r>
        <w:rPr>
          <w:rFonts w:ascii="PingFang SC" w:hAnsi="PingFang SC"/>
          <w:b/>
          <w:i w:val="0"/>
          <w:color w:val="1F4E79"/>
          <w:sz w:val="32"/>
          <w:rFonts w:eastAsia="PingFang SC" w:ascii="PingFang SC" w:hAnsi="PingFang SC"/>
        </w:rPr>
        <w:t>第二章 核心策略因子业务逻辑详解</w:t>
      </w:r>
    </w:p>
    <w:p>
      <w:pPr>
        <w:spacing w:before="40" w:after="120" w:line="324" w:lineRule="auto"/>
        <w:jc w:val="left"/>
      </w:pPr>
      <w:r>
        <w:rPr>
          <w:rFonts w:ascii="PingFang SC" w:hAnsi="PingFang SC"/>
          <w:b w:val="0"/>
          <w:i w:val="0"/>
          <w:color w:val="262626"/>
          <w:sz w:val="21"/>
          <w:rFonts w:eastAsia="PingFang SC" w:ascii="PingFang SC" w:hAnsi="PingFang SC"/>
        </w:rPr>
        <w:t>系统提炼了 9 大覆盖「右侧主升浪」、「大周期新高突破」、「低位底部反转」、「巨量异动吸筹」以及「长期均线支撑」的经典多空策略因子。以下按照量化投研标准规格卡片逐一深度拆解。</w:t>
      </w:r>
    </w:p>
    <w:p>
      <w:pPr>
        <w:keepNext/>
        <w:spacing w:before="280" w:after="120"/>
      </w:pPr>
      <w:r>
        <w:rPr>
          <w:rFonts w:ascii="PingFang SC" w:hAnsi="PingFang SC"/>
          <w:b/>
          <w:i w:val="0"/>
          <w:color w:val="006699"/>
          <w:sz w:val="26"/>
          <w:rFonts w:eastAsia="PingFang SC" w:ascii="PingFang SC" w:hAnsi="PingFang SC"/>
        </w:rPr>
        <w:t>2.1 均线超级多头排列（LABEL / MA_BULLISH）</w:t>
      </w:r>
    </w:p>
    <w:p>
      <w:pPr>
        <w:spacing w:before="40" w:after="120" w:line="324" w:lineRule="auto"/>
        <w:jc w:val="left"/>
      </w:pPr>
      <w:r>
        <w:rPr>
          <w:rFonts w:ascii="PingFang SC" w:hAnsi="PingFang SC"/>
          <w:b w:val="0"/>
          <w:i w:val="0"/>
          <w:color w:val="262626"/>
          <w:sz w:val="21"/>
          <w:rFonts w:eastAsia="PingFang SC" w:ascii="PingFang SC" w:hAnsi="PingFang SC"/>
        </w:rPr>
        <w:t>【因子标签代码】：LABEL / MA_BULLISH</w:t>
        <w:br/>
        <w:t>【因子定位分类】：中长期右侧趋势跟踪 · 机构主升浪共振</w:t>
        <w:br/>
        <w:t>【投资逻辑直觉】：移动平均线本质是不同时间跨度投资者的平均持仓成本线。当短、中、长期 6 条均线从上至下呈阶梯状整齐发散，且均线系统斜率全部陡峭向上时，意味着全市场无论短线散户、中线游资还是长线机构投资者的持仓均处于全员盈利状态。此时上方毫无解套抛压，资金做多合力最强，是 A 股最具爆发力的大牛股典型形态。</w:t>
      </w:r>
    </w:p>
    <w:p>
      <w:pPr>
        <w:keepNext/>
        <w:spacing w:before="200" w:after="80"/>
      </w:pPr>
      <w:r>
        <w:rPr>
          <w:rFonts w:ascii="PingFang SC" w:hAnsi="PingFang SC"/>
          <w:b/>
          <w:i w:val="0"/>
          <w:color w:val="262626"/>
          <w:sz w:val="22"/>
          <w:rFonts w:eastAsia="PingFang SC" w:ascii="PingFang SC" w:hAnsi="PingFang SC"/>
        </w:rPr>
        <w:t>（1）均线矩阵体系构成</w:t>
      </w:r>
    </w:p>
    <w:p>
      <w:pPr>
        <w:spacing w:before="40" w:after="120" w:line="324" w:lineRule="auto"/>
        <w:jc w:val="left"/>
      </w:pPr>
      <w:r>
        <w:rPr>
          <w:rFonts w:ascii="PingFang SC" w:hAnsi="PingFang SC"/>
          <w:b w:val="0"/>
          <w:i w:val="0"/>
          <w:color w:val="262626"/>
          <w:sz w:val="21"/>
          <w:rFonts w:eastAsia="PingFang SC" w:ascii="PingFang SC" w:hAnsi="PingFang SC"/>
        </w:rPr>
        <w:t>系统采用 6 条基于前复权收盘价计算的时间周期均线：</w:t>
        <w:br/>
        <w:t>• 超短期均线：MA5（5日周线，反映周度交易情绪与短线动能）</w:t>
        <w:br/>
        <w:t>• 短期均线：MA10（半月线，短线持仓成本生命线）</w:t>
        <w:br/>
        <w:t>• 中短期均线：MA20（月线，波段趋势基准）</w:t>
        <w:br/>
        <w:t>• 中期均线：MA60（季线，主力资金建仓成本线）</w:t>
        <w:br/>
        <w:t>• 中长期均线：MA120（半年线，牛熊过渡分水岭）</w:t>
        <w:br/>
        <w:t>• 长期均线：MA250（年线，大周期牛市基石）</w:t>
      </w:r>
    </w:p>
    <w:p>
      <w:pPr>
        <w:keepNext/>
        <w:spacing w:before="200" w:after="80"/>
      </w:pPr>
      <w:r>
        <w:rPr>
          <w:rFonts w:ascii="PingFang SC" w:hAnsi="PingFang SC"/>
          <w:b/>
          <w:i w:val="0"/>
          <w:color w:val="262626"/>
          <w:sz w:val="22"/>
          <w:rFonts w:eastAsia="PingFang SC" w:ascii="PingFang SC" w:hAnsi="PingFang SC"/>
        </w:rPr>
        <w:t>（2）业务触发条件与量化门槛</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业务判定维度</w:t>
            </w:r>
          </w:p>
        </w:tc>
        <w:tc>
          <w:tcPr>
            <w:tcW w:type="dxa" w:w="3888"/>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具体量化触发标准</w:t>
            </w:r>
          </w:p>
        </w:tc>
        <w:tc>
          <w:tcPr>
            <w:tcW w:type="dxa" w:w="331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业务逻辑与过滤意图</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空间静态排列</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MA5 &gt; MA10 &gt; MA20 &gt; MA60 &gt; MA120 &gt; MA250</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各周期成本从短到长严格由高到低阶梯排列，持仓全线盈利</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动态斜率向上</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所有 6 条均线今日数值均大于昨日对应数值</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确保所有均线均呈现严格向上翘头正斜率，排除高位震荡走平</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连续双日确认</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昨日与今日均必须满足上述完整多头形态</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杜绝因单日偶发性暴涨导致的单日假多头毛刺，确认趋势稳固</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上市时间门槛</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标的上市交易天数必须达到 251 个交易日以上</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必须拥有完整的年线样本深度，次新股均线不健全直接排除</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正常交易约束</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当日与昨日必须均为有效正常交易（非停牌）</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杜绝停牌多日后复牌首日因均线数据冻结产生的伪多头信号</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DF2F2"/>
            <w:tcMar>
              <w:top w:w="160" w:type="dxa"/>
              <w:bottom w:w="160" w:type="dxa"/>
              <w:left w:w="240" w:type="dxa"/>
              <w:right w:w="200" w:type="dxa"/>
            </w:tcMar>
            <w:tcBorders>
              <w:left w:val="single" w:sz="28" w:space="0" w:color="C00000"/>
              <w:top w:val="none"/>
              <w:right w:val="none"/>
              <w:bottom w:val="none"/>
            </w:tcBorders>
          </w:tcPr>
          <w:p>
            <w:pPr>
              <w:spacing w:before="40" w:after="80" w:line="288" w:lineRule="auto"/>
            </w:pPr>
            <w:r>
              <w:rPr>
                <w:rFonts w:ascii="PingFang SC" w:hAnsi="PingFang SC"/>
                <w:b/>
                <w:color w:val="C00000"/>
                <w:sz w:val="21"/>
              </w:rPr>
              <w:t>⚠️ 投研业务避坑：停牌复牌首日的均线冻结风险</w:t>
              <w:br/>
            </w:r>
            <w:r>
              <w:rPr>
                <w:rFonts w:ascii="PingFang SC" w:hAnsi="PingFang SC"/>
                <w:color w:val="262626"/>
                <w:sz w:val="19"/>
              </w:rPr>
              <w:t>均线多头超级排列对于交易日连续性具备极度敏感性。若某股票此前处于多头排列，随后停牌两周，复牌当日由于历史K线价格静态保留，其算出的均线依然是发散向上的。但停牌期间累积了未知的外部宏观与个股风险，复牌首日往往面临剧烈补跌或筹码踩踏。因此系统在底层通过有效双日交易校验与日历交易日连续性校验，彻底切断了停牌复牌首日触发多头的漏洞。</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2.2 底部五连阳反转（HL+5R）</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【因子标签代码】：FACTOR_HL_5R / HL_5R</w:t>
        <w:br/>
        <w:t>【因子定位分类】：左侧超跌企稳 · 底部反转第一波启动点</w:t>
        <w:br/>
        <w:t>【投资逻辑直觉】：在经历了长达数月的大幅单边下挫之后，空头抛压衰竭，做空动能几乎耗尽。在极低估值或关键技术底部，主力资金开始悄然进场吸收带血筹码。其在盘口上最典型的特征就是走出温和但极具持续性的「五根连阳K线」，且每根阳线涨幅克制、不急于拉板，展现出长线控盘资金典型的低位吸筹节奏。</w:t>
      </w:r>
    </w:p>
    <w:p>
      <w:pPr>
        <w:keepNext/>
        <w:spacing w:before="200" w:after="80"/>
      </w:pPr>
      <w:r>
        <w:rPr>
          <w:rFonts w:ascii="PingFang SC" w:hAnsi="PingFang SC"/>
          <w:b/>
          <w:i w:val="0"/>
          <w:color w:val="262626"/>
          <w:sz w:val="22"/>
          <w:rFonts w:eastAsia="PingFang SC" w:ascii="PingFang SC" w:hAnsi="PingFang SC"/>
        </w:rPr>
        <w:t>（1）业务触发条件与量化门槛拆解</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判定维度</w:t>
            </w:r>
          </w:p>
        </w:tc>
        <w:tc>
          <w:tcPr>
            <w:tcW w:type="dxa" w:w="3744"/>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参数阈值与业务口径</w:t>
            </w:r>
          </w:p>
        </w:tc>
        <w:tc>
          <w:tcPr>
            <w:tcW w:type="dxa" w:w="3456"/>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详细业务含义</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前序大周期回撤</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过去 10 日最低价相比近 180 日最高价回撤 &gt; 25%</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确认标的此前经历过深度单边大跌，处于明确的超跌区间</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底部箱体企稳</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近 10 日最低价相比近 40 日最低价反弹 &lt; 10%</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确认股票处于真正的底部箱体震荡吸筹阶段，未发生大幅脱离</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连续五连阳</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连续 5 个交易日收盘价严格大于开盘价 (K线实体收红)</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主力资金连续 5 天在盘中托底买入，买盘具有极强持续性</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序列起点反转</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五连阳发生前的第 5 个交易日 (T-5) 必须收阴线</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确认这 5 根阳线是一个全新发起的拐点序列，而非震荡夹杂</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温和起步约束</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5 个交易日累计涨幅严格小于 13%</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防止短线已被游资情绪化连续拉板暴涨，专捕温和蓄势起步点</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样本历史约束</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标的至少具备 180 根有效 K 线且无停牌中断</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确保前序 180 日最大回撤指标具备完整且连续的统计基准</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2.3 五连阳启动（5R）</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【因子标签代码】：FACTOR_5R / 5R</w:t>
        <w:br/>
        <w:t>【因子定位分类】：右侧趋势中继 · 强势动能连续推升</w:t>
        <w:br/>
        <w:t>【投资逻辑直觉】：与底部的 HL+5R 不同，纯 5R 因子定位于中高位或趋势途中的强势上攻。连续 5 天收出阳线，展现出强大的买方主动推升力量与情绪共振。</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判定维度</w:t>
            </w:r>
          </w:p>
        </w:tc>
        <w:tc>
          <w:tcPr>
            <w:tcW w:type="dxa" w:w="360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量化触发标准</w:t>
            </w:r>
          </w:p>
        </w:tc>
        <w:tc>
          <w:tcPr>
            <w:tcW w:type="dxa" w:w="360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业务逻辑说明</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连续实体收红</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连续 5 个交易日收盘价 &gt; 开盘价</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买方力量主导，日内买盘推升意愿强烈</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序列起始标志</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T-5 日必须收出阴线</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作为连续上攻序列的起始分界点</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互斥继承约束</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当该形态同时满足 HL+5R 时，归入 HL+5R</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优先保留具备超跌底蕴的高价值标签，5R 专用于趋势途中标的</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数据窗口约束</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至少连续 6 个交易日无停牌正常交易</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保证 5 阳 + 1 阴结构的完整性与有效性</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2.4 覆盖期历史新高（FACTOR_HIGH_ALL / HIGH_ALL）</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【因子标签代码】：FACTOR_HIGH_ALL / HIGH_ALL</w:t>
        <w:br/>
        <w:t>【因子定位分类】：大周期真空突破 · 最强主升浪龙头</w:t>
        <w:br/>
        <w:t>【投资逻辑直觉】：股票价格突破该标的覆盖期内（或自上市以来）所有的前序历史最高价。由于超越了历史上所有人买入的成本，该股票上方完全没有任何被套牢的套牢盘，解套抛压为零。在基本面反转或行业超级高景气周期驱动下，历史新高往往是十倍大牛股主升浪的核心技术特征。</w:t>
      </w:r>
    </w:p>
    <w:tbl>
      <w:tblPr>
        <w:tblW w:type="auto" w:w="0"/>
        <w:jc w:val="center"/>
        <w:tblLayout w:type="fixed"/>
        <w:tblLook w:firstColumn="1" w:firstRow="1" w:lastColumn="0" w:lastRow="0" w:noHBand="0" w:noVBand="1" w:val="04A0"/>
      </w:tblPr>
      <w:tblGrid>
        <w:gridCol w:w="9360"/>
      </w:tblGrid>
      <w:tr>
        <w:tc>
          <w:tcPr>
            <w:tcW w:type="dxa" w:w="9360"/>
            <w:shd w:fill="FDF2F2"/>
            <w:tcMar>
              <w:top w:w="160" w:type="dxa"/>
              <w:bottom w:w="160" w:type="dxa"/>
              <w:left w:w="240" w:type="dxa"/>
              <w:right w:w="200" w:type="dxa"/>
            </w:tcMar>
            <w:tcBorders>
              <w:left w:val="single" w:sz="28" w:space="0" w:color="C00000"/>
              <w:top w:val="none"/>
              <w:right w:val="none"/>
              <w:bottom w:val="none"/>
            </w:tcBorders>
          </w:tcPr>
          <w:p>
            <w:pPr>
              <w:spacing w:before="40" w:after="80" w:line="288" w:lineRule="auto"/>
            </w:pPr>
            <w:r>
              <w:rPr>
                <w:rFonts w:ascii="PingFang SC" w:hAnsi="PingFang SC"/>
                <w:b/>
                <w:color w:val="C00000"/>
                <w:sz w:val="21"/>
              </w:rPr>
              <w:t>⚠️ 核心风控：杜绝次新股基数不足引发的虚假历史新高</w:t>
              <w:br/>
            </w:r>
            <w:r>
              <w:rPr>
                <w:rFonts w:ascii="PingFang SC" w:hAnsi="PingFang SC"/>
                <w:color w:val="262626"/>
                <w:sz w:val="19"/>
              </w:rPr>
              <w:t>次新股历史新高假象风控：</w:t>
              <w:br/>
              <w:t>刚上市几天或数十天的次新股，由于历史交易天数极少，往往稍微上涨即可突破开盘首日最高价，但这绝非成熟投资意义上的「历史新高」。</w:t>
              <w:br/>
              <w:t>系统制定了极其严格的成熟度门槛：</w:t>
              <w:br/>
              <w:t>• 标的上市交易天数必须严格大于 500 个交易日（约两年以上成熟老股）；</w:t>
              <w:br/>
              <w:t>• 数据库前序有效交易日深度必须达到 500 天以上。</w:t>
              <w:br/>
              <w:t>上市不足 500 天的次新股即便突破上市以来高点，HIGH_ALL 亦绝对不予触发，彻底消除样本不足导致的指标失真。</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2.5 500日周期新高（FACTOR_HIGH_500 / HIGH_500）</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【因子标签代码】：FACTOR_HIGH_500 / HIGH_500</w:t>
        <w:br/>
        <w:t>【因子定位分类】：中期牛熊跨越 · 两年大周期筹码出清</w:t>
        <w:br/>
        <w:t>【投资逻辑直觉】：500 个交易日约对应两年的完整自然周期。在 A 股通常 3-4 年一轮的朱格拉库存与估值周期中，股价创出近两年的最高价，标志着标的已经完全消化了过去两年来堆积的所有套牢盘与中期顶部，属于典型的中期右侧反转与大波段行情启动信号。</w:t>
      </w:r>
    </w:p>
    <w:p>
      <w:pPr>
        <w:spacing w:before="40" w:after="120" w:line="324" w:lineRule="auto"/>
        <w:jc w:val="left"/>
      </w:pPr>
      <w:r>
        <w:rPr>
          <w:rFonts w:ascii="PingFang SC" w:hAnsi="PingFang SC"/>
          <w:b w:val="0"/>
          <w:i w:val="0"/>
          <w:color w:val="262626"/>
          <w:sz w:val="21"/>
          <w:rFonts w:eastAsia="PingFang SC" w:ascii="PingFang SC" w:hAnsi="PingFang SC"/>
        </w:rPr>
        <w:t>【量化门槛与口径】：</w:t>
        <w:br/>
        <w:t>1. 价格突破口径：当日最高价必须严格大于过去 500 个有效交易日的最高价；</w:t>
        <w:br/>
        <w:t>2. 深度门槛：标的上市交易天数必须 &gt; 500 天，且前序有效交易日天数 &gt;= 500 天；</w:t>
        <w:br/>
        <w:t>3. 包含口径继承：当标的创出历史新高（HIGH_ALL）时，在物理事实上必然突破了过去 500 日高点，因此系统同时将其标记为具备 HIGH_500 特征，真实记录其周期新高属性。</w:t>
      </w:r>
    </w:p>
    <w:p>
      <w:pPr>
        <w:keepNext/>
        <w:spacing w:before="280" w:after="120"/>
      </w:pPr>
      <w:r>
        <w:rPr>
          <w:rFonts w:ascii="PingFang SC" w:hAnsi="PingFang SC"/>
          <w:b/>
          <w:i w:val="0"/>
          <w:color w:val="006699"/>
          <w:sz w:val="26"/>
          <w:rFonts w:eastAsia="PingFang SC" w:ascii="PingFang SC" w:hAnsi="PingFang SC"/>
        </w:rPr>
        <w:t>2.6 250日年线新高（FACTOR_HIGH_250 / HIGH_250）</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【因子标签代码】：FACTOR_HIGH_250 / HIGH_250</w:t>
        <w:br/>
        <w:t>【因子定位分类】：年度中枢突破 · 一年震荡平台解放</w:t>
        <w:br/>
        <w:t>【投资逻辑直觉】：250 个交易日对应一年的自然交易周期（年线周期）。当标的突破近 250 日最高价时，意味着过去一年内买入的所有资金全部获利，年度套牢盘被全数解放。</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2340"/>
        <w:gridCol w:w="2340"/>
        <w:gridCol w:w="2340"/>
        <w:gridCol w:w="2340"/>
      </w:tblGrid>
      <w:tr>
        <w:tc>
          <w:tcPr>
            <w:tcW w:type="dxa" w:w="259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新高因子类别</w:t>
            </w:r>
          </w:p>
        </w:tc>
        <w:tc>
          <w:tcPr>
            <w:tcW w:type="dxa" w:w="259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周期深度门槛</w:t>
            </w:r>
          </w:p>
        </w:tc>
        <w:tc>
          <w:tcPr>
            <w:tcW w:type="dxa" w:w="2016"/>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上市交易日要求</w:t>
            </w:r>
          </w:p>
        </w:tc>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次新股自适应机制</w:t>
            </w:r>
          </w:p>
        </w:tc>
      </w:tr>
      <w:tr>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覆盖期历史新高 (HIGH_ALL)</w:t>
            </w:r>
          </w:p>
        </w:tc>
        <w:tc>
          <w:tcPr>
            <w:tcW w:type="dxa" w:w="2592"/>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全历史 (至少500天)</w:t>
            </w:r>
          </w:p>
        </w:tc>
        <w:tc>
          <w:tcPr>
            <w:tcW w:type="dxa" w:w="201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上市交易日 &gt; 500</w:t>
            </w:r>
          </w:p>
        </w:tc>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上市不足500天一票否决，不触发该因子</w:t>
            </w:r>
          </w:p>
        </w:tc>
      </w:tr>
      <w:tr>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500日周期新高 (HIGH_500)</w:t>
            </w:r>
          </w:p>
        </w:tc>
        <w:tc>
          <w:tcPr>
            <w:tcW w:type="dxa" w:w="2592"/>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过去 500 个有效交易日</w:t>
            </w:r>
          </w:p>
        </w:tc>
        <w:tc>
          <w:tcPr>
            <w:tcW w:type="dxa" w:w="201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上市交易日 &gt; 500</w:t>
            </w:r>
          </w:p>
        </w:tc>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上市不足500天一票否决，不触发该因子</w:t>
            </w:r>
          </w:p>
        </w:tc>
      </w:tr>
      <w:tr>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250日年线新高 (HIGH_250)</w:t>
            </w:r>
          </w:p>
        </w:tc>
        <w:tc>
          <w:tcPr>
            <w:tcW w:type="dxa" w:w="2592"/>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过去 250 个有效交易日</w:t>
            </w:r>
          </w:p>
        </w:tc>
        <w:tc>
          <w:tcPr>
            <w:tcW w:type="dxa" w:w="201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上市交易日 &gt; 250</w:t>
            </w:r>
          </w:p>
        </w:tc>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上市满250天但不足500天的成熟次新股突破前高时，成功在此捕获</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2.7 低位放量突破（HL+AMO）</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【因子标签代码】：FACTOR_HL_AMO / HL_AMO</w:t>
        <w:br/>
        <w:t>【因子定位分类】：底部量能异动 · 机构抢筹关键拐点</w:t>
        <w:br/>
        <w:t>【投资逻辑直觉】：「股市在最寂静处爆发，在最热烈处消亡」。长期经历大跌的股票，成交量往往长期极度萎缩，盘口死水微澜。当在超跌的底部区域，某日突然爆发出数倍于平时的巨量并收出大阳线，这绝对不是散户跟风所为，而是敏锐的超级机构资金借助利好或认知差实施的凶猛扫货抢筹行为。</w:t>
      </w:r>
    </w:p>
    <w:p>
      <w:pPr>
        <w:keepNext/>
        <w:spacing w:before="200" w:after="80"/>
      </w:pPr>
      <w:r>
        <w:rPr>
          <w:rFonts w:ascii="PingFang SC" w:hAnsi="PingFang SC"/>
          <w:b/>
          <w:i w:val="0"/>
          <w:color w:val="262626"/>
          <w:sz w:val="22"/>
          <w:rFonts w:eastAsia="PingFang SC" w:ascii="PingFang SC" w:hAnsi="PingFang SC"/>
        </w:rPr>
        <w:t>（1）业务触发条件与双重门槛</w:t>
      </w:r>
    </w:p>
    <w:p>
      <w:pPr>
        <w:spacing w:before="40" w:after="120" w:line="324" w:lineRule="auto"/>
        <w:jc w:val="left"/>
      </w:pPr>
      <w:r>
        <w:rPr>
          <w:rFonts w:ascii="PingFang SC" w:hAnsi="PingFang SC"/>
          <w:b w:val="0"/>
          <w:i w:val="0"/>
          <w:color w:val="262626"/>
          <w:sz w:val="21"/>
          <w:rFonts w:eastAsia="PingFang SC" w:ascii="PingFang SC" w:hAnsi="PingFang SC"/>
        </w:rPr>
        <w:t>该因子是由「低位深度回撤门槛」与「放量突破（AMO）量能爆量标准」组合而成的复合硬核因子：</w:t>
        <w:br/>
        <w:t>1. 必须完全满足下述放量突破（AMO）的全部 8 大成交额暴增与红盘约束；</w:t>
        <w:br/>
        <w:t>2. 叠加前序 180 日超跌回撤门槛：股票在 T-1 交易日的收盘价，相较于过去 180 个交易日内（T-2 至 T-181）的最高价，回撤幅度必须严格大于 25%：</w:t>
        <w:br/>
        <w:t xml:space="preserve">   回撤幅度 = 1 - (昨日收盘价 / 近180日最高价) &gt; 25%</w:t>
        <w:br/>
        <w:t>该条件确保标的必须处于明确的历史相对低位，彻底剔除处于中高位或盘头阶段的放量诱多。</w:t>
      </w:r>
    </w:p>
    <w:p>
      <w:pPr>
        <w:keepNext/>
        <w:spacing w:before="280" w:after="120"/>
      </w:pPr>
      <w:r>
        <w:rPr>
          <w:rFonts w:ascii="PingFang SC" w:hAnsi="PingFang SC"/>
          <w:b/>
          <w:i w:val="0"/>
          <w:color w:val="006699"/>
          <w:sz w:val="26"/>
          <w:rFonts w:eastAsia="PingFang SC" w:ascii="PingFang SC" w:hAnsi="PingFang SC"/>
        </w:rPr>
        <w:t>2.8 放量突破（AMO）</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【因子标签代码】：FACTOR_AMO / AMO</w:t>
        <w:br/>
        <w:t>【因子定位分类】：动量脉冲 · 市场关注度与换手爆量</w:t>
        <w:br/>
        <w:t>【投资逻辑直觉】：成交额是推动股价上涨的根本燃料。无论处于何种技术形态，资金突然集中爆发性涌入，意味着该标的发生了强烈的预期差变化或催化剂爆发。</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判定维度</w:t>
            </w:r>
          </w:p>
        </w:tc>
        <w:tc>
          <w:tcPr>
            <w:tcW w:type="dxa" w:w="3744"/>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量化阈值标准</w:t>
            </w:r>
          </w:p>
        </w:tc>
        <w:tc>
          <w:tcPr>
            <w:tcW w:type="dxa" w:w="3456"/>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业务过滤逻辑</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绝对资金门槛</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当日成交额严格 &gt; 1 亿元人民币</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剔除流动性匮乏、每日仅几千万元成交的僵尸股和小微盘股</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昨日量能倍数</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当日成交额 &gt; 昨日成交额的 1.8 倍</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成交额较前一日产生近翻倍的爆发性倍增</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短期均量倍数</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当日成交额 &gt; 过去 5 日日均成交额的 1.8 倍</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大幅超越近一周的平均换手水平</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中期均量倍数</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当日成交额 &gt; 过去 10 日及 15 日日均成交额的 1.8 倍</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超越半月至三周的中期换手中枢，确认为实质性放量</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峰值量能压制</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当日成交额 &gt; 过去 15 日单日最大成交额的 1.2 倍</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打破近 15 天内任何单日的成交峰值，创出阶段量能新高</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实体必须收红</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当日收盘价 &gt; 当日开盘价 (K线收红)</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放量必须伴随买方主动推高价格，放量大阴线属于出货归零</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短期涨幅防追高</w:t>
            </w:r>
          </w:p>
        </w:tc>
        <w:tc>
          <w:tcPr>
            <w:tcW w:type="dxa" w:w="3744"/>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近 10 个交易日累计涨幅 &lt; 50%</w:t>
            </w:r>
          </w:p>
        </w:tc>
        <w:tc>
          <w:tcPr>
            <w:tcW w:type="dxa" w:w="3456"/>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防止短线已翻倍或连板加速透支，规避追高接盘风险</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无停牌连续窗口</w:t>
            </w:r>
          </w:p>
        </w:tc>
        <w:tc>
          <w:tcPr>
            <w:tcW w:type="dxa" w:w="3744"/>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过去 15 个交易日必须连续无停牌</w:t>
            </w:r>
          </w:p>
        </w:tc>
        <w:tc>
          <w:tcPr>
            <w:tcW w:type="dxa" w:w="3456"/>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保证均量指标计算的分母不被缩水干扰</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2.9 关键均线支撑因子（FACTOR_MA250_SUPPORT / FACTOR_MA377_SUPPORT）</w:t>
      </w:r>
    </w:p>
    <w:p>
      <w:pPr>
        <w:spacing w:before="40" w:after="120" w:line="324" w:lineRule="auto"/>
        <w:jc w:val="left"/>
      </w:pPr>
      <w:r>
        <w:rPr>
          <w:rFonts w:ascii="PingFang SC" w:hAnsi="PingFang SC"/>
          <w:b w:val="0"/>
          <w:i w:val="0"/>
          <w:color w:val="262626"/>
          <w:sz w:val="21"/>
          <w:rFonts w:eastAsia="PingFang SC" w:ascii="PingFang SC" w:hAnsi="PingFang SC"/>
        </w:rPr>
        <w:t>【因子标签代码】：FACTOR_MA250_SUPPORT / FACTOR_MA377_SUPPORT</w:t>
        <w:br/>
        <w:t>【因子定位分类】：大周期均线防守 · 生命线技术回踩企稳</w:t>
        <w:br/>
        <w:t>【投资逻辑直觉】：在技术分析中，MA250（年线）被誉为股票的中长期「牛熊分界线」；而 MA377 则是斐波那契数列（5, 8, 13, ..., 144, 233, 377）中的高阶神秘周期均线，在 A 股大波段运作中常充当超大级别的中流砥柱生命线。当上升趋势中的股票良性回踩这些长期均线，并在均线附近止跌企稳获得强劲买盘支撑时，是胜率极高的二次右侧低吸点位。</w:t>
      </w:r>
    </w:p>
    <w:p>
      <w:pPr>
        <w:keepNext/>
        <w:spacing w:before="200" w:after="80"/>
      </w:pPr>
      <w:r>
        <w:rPr>
          <w:rFonts w:ascii="PingFang SC" w:hAnsi="PingFang SC"/>
          <w:b/>
          <w:i w:val="0"/>
          <w:color w:val="262626"/>
          <w:sz w:val="22"/>
          <w:rFonts w:eastAsia="PingFang SC" w:ascii="PingFang SC" w:hAnsi="PingFang SC"/>
        </w:rPr>
        <w:t>（1）业务触发条件与量化门槛</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判定维度</w:t>
            </w:r>
          </w:p>
        </w:tc>
        <w:tc>
          <w:tcPr>
            <w:tcW w:type="dxa" w:w="3888"/>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量化规则</w:t>
            </w:r>
          </w:p>
        </w:tc>
        <w:tc>
          <w:tcPr>
            <w:tcW w:type="dxa" w:w="331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详细业务含义</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连续4日支撑带</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连续 4 个交易日，收盘价相对对应均线的偏离度处于 [-2%, +7%]</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股价连续 4 天紧贴均线轻微徘徊，既未跌破支撑带下轨(-2%)，亦未大幅拉离(+7%)</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多头承接确认</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该 4 个交易日内必须至少出现 1 根实体收红阳线</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确认有买盘在均线附近主动托市承接，杜绝无抵抗单边阴跌击穿</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周期深度约束</w:t>
            </w:r>
          </w:p>
        </w:tc>
        <w:tc>
          <w:tcPr>
            <w:tcW w:type="dxa" w:w="3888"/>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MA250 需历史数据 &gt;= 253 根；MA377 需历史数据 &gt;= 380 根</w:t>
            </w:r>
          </w:p>
        </w:tc>
        <w:tc>
          <w:tcPr>
            <w:tcW w:type="dxa" w:w="331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确保长期均线能够完整算出连续 4 天的准确数值</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停牌隔离约束</w:t>
            </w:r>
          </w:p>
        </w:tc>
        <w:tc>
          <w:tcPr>
            <w:tcW w:type="dxa" w:w="3888"/>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该 4 个交易日必须严格连续无停牌</w:t>
            </w:r>
          </w:p>
        </w:tc>
        <w:tc>
          <w:tcPr>
            <w:tcW w:type="dxa" w:w="331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杜绝停牌冻结产生的伪支撑判断</w:t>
            </w:r>
          </w:p>
        </w:tc>
      </w:tr>
    </w:tbl>
    <w:p>
      <w:pPr>
        <w:spacing w:before="0" w:after="120"/>
      </w:pPr>
    </w:p>
    <w:p>
      <w:r>
        <w:br w:type="page"/>
      </w:r>
    </w:p>
    <w:p>
      <w:pPr>
        <w:keepNext/>
        <w:spacing w:before="360" w:after="160"/>
      </w:pPr>
      <w:r>
        <w:rPr>
          <w:rFonts w:ascii="PingFang SC" w:hAnsi="PingFang SC"/>
          <w:b/>
          <w:i w:val="0"/>
          <w:color w:val="1F4E79"/>
          <w:sz w:val="32"/>
          <w:rFonts w:eastAsia="PingFang SC" w:ascii="PingFang SC" w:hAnsi="PingFang SC"/>
        </w:rPr>
        <w:t>第三章 多因子体系、位掩码与优先级仲裁</w:t>
      </w:r>
    </w:p>
    <w:p>
      <w:pPr>
        <w:keepNext/>
        <w:spacing w:before="280" w:after="120"/>
      </w:pPr>
      <w:r>
        <w:rPr>
          <w:rFonts w:ascii="PingFang SC" w:hAnsi="PingFang SC"/>
          <w:b/>
          <w:i w:val="0"/>
          <w:color w:val="006699"/>
          <w:sz w:val="26"/>
          <w:rFonts w:eastAsia="PingFang SC" w:ascii="PingFang SC" w:hAnsi="PingFang SC"/>
        </w:rPr>
        <w:t>3.1 主因子（Primary Factor）单一标签仲裁规则</w:t>
      </w:r>
    </w:p>
    <w:p>
      <w:pPr>
        <w:spacing w:before="40" w:after="120" w:line="324" w:lineRule="auto"/>
        <w:jc w:val="left"/>
      </w:pPr>
      <w:r>
        <w:rPr>
          <w:rFonts w:ascii="PingFang SC" w:hAnsi="PingFang SC"/>
          <w:b w:val="0"/>
          <w:i w:val="0"/>
          <w:color w:val="262626"/>
          <w:sz w:val="21"/>
          <w:rFonts w:eastAsia="PingFang SC" w:ascii="PingFang SC" w:hAnsi="PingFang SC"/>
        </w:rPr>
        <w:t>在实际选股与看板列表呈现中，一只股票往往在同一交易日同时触发多个因子（例如既满足 500日新高，又属于放量突破，同时均线超级多头）。为了让交易员一眼看清当前个股最核心、最具稀缺性的主导驱动逻辑，系统设立了严格的「单一主因子仲裁优先级」机制：</w:t>
      </w:r>
    </w:p>
    <w:p>
      <w:pPr>
        <w:jc w:val="center"/>
      </w:pPr>
      <w:r>
        <w:rPr>
          <w:rFonts w:ascii="PingFang SC" w:hAnsi="PingFang SC"/>
          <w:b/>
          <w:i w:val="0"/>
          <w:color w:val="1F4E79"/>
          <w:sz w:val="20"/>
          <w:rFonts w:eastAsia="PingFang SC" w:ascii="PingFang SC" w:hAnsi="PingFang SC"/>
        </w:rPr>
        <w:t>HL+5R (底部五连阳反转)  [最高优先级]</w:t>
        <w:br/>
        <w:t xml:space="preserve">  ↓</w:t>
        <w:br/>
        <w:t>5R (五连阳启动)</w:t>
        <w:br/>
        <w:t xml:space="preserve">  ↓</w:t>
        <w:br/>
        <w:t>HIGH_ALL (覆盖期历史新高)</w:t>
        <w:br/>
        <w:t xml:space="preserve">  ↓</w:t>
        <w:br/>
        <w:t>HIGH_500 (500日周期新高)</w:t>
        <w:br/>
        <w:t xml:space="preserve">  ↓</w:t>
        <w:br/>
        <w:t>HIGH_250 (250日年线新高)</w:t>
        <w:br/>
        <w:t xml:space="preserve">  ↓</w:t>
        <w:br/>
        <w:t>HL+AMO (低位放量突破)</w:t>
        <w:br/>
        <w:t xml:space="preserve">  ↓</w:t>
        <w:br/>
        <w:t>AMO (放量突破)</w:t>
        <w:br/>
        <w:t xml:space="preserve">  ↓</w:t>
        <w:br/>
        <w:t>MA377_SUPPORT (MA377支撑)</w:t>
        <w:br/>
        <w:t xml:space="preserve">  ↓</w:t>
        <w:br/>
        <w:t>MA250_SUPPORT (MA250支撑)  [最低技术优先级]</w:t>
      </w:r>
    </w:p>
    <w:p>
      <w:pPr>
        <w:spacing w:before="40" w:after="120" w:line="324" w:lineRule="auto"/>
        <w:jc w:val="left"/>
      </w:pPr>
      <w:r>
        <w:rPr>
          <w:rFonts w:ascii="PingFang SC" w:hAnsi="PingFang SC"/>
          <w:b w:val="0"/>
          <w:i w:val="0"/>
          <w:color w:val="262626"/>
          <w:sz w:val="21"/>
          <w:rFonts w:eastAsia="PingFang SC" w:ascii="PingFang SC" w:hAnsi="PingFang SC"/>
        </w:rPr>
        <w:t>【仲裁逻辑说明】：</w:t>
        <w:br/>
        <w:t>1. 底部超跌反转（HL+5R）具备最高的赔率与安全边际，因此享有最高主因子优先权；</w:t>
        <w:br/>
        <w:t>2. 新高系列（HIGH_ALL &gt; HIGH_500 &gt; HIGH_250）依次降级，大周期新高优先于小周期；</w:t>
        <w:br/>
        <w:t>3. 包含关系自动降级：如某股票同时符合 HL+AMO 与 AMO，系统主标签自动赋予高阶的 HL+AMO；</w:t>
        <w:br/>
        <w:t>4. 均线超级多头（LABEL）作为独立的全局趋势背景标识，与上述事件型主因子完全并行共存，不参与互斥抢占。</w:t>
      </w:r>
    </w:p>
    <w:p>
      <w:pPr>
        <w:keepNext/>
        <w:spacing w:before="280" w:after="120"/>
      </w:pPr>
      <w:r>
        <w:rPr>
          <w:rFonts w:ascii="PingFang SC" w:hAnsi="PingFang SC"/>
          <w:b/>
          <w:i w:val="0"/>
          <w:color w:val="006699"/>
          <w:sz w:val="26"/>
          <w:rFonts w:eastAsia="PingFang SC" w:ascii="PingFang SC" w:hAnsi="PingFang SC"/>
        </w:rPr>
        <w:t>3.2 包含口径新高（Inclusive Highs）的量化哲学</w:t>
      </w:r>
    </w:p>
    <w:p>
      <w:pPr>
        <w:spacing w:before="40" w:after="120" w:line="324" w:lineRule="auto"/>
        <w:jc w:val="left"/>
      </w:pPr>
      <w:r>
        <w:rPr>
          <w:rFonts w:ascii="PingFang SC" w:hAnsi="PingFang SC"/>
          <w:b w:val="0"/>
          <w:i w:val="0"/>
          <w:color w:val="262626"/>
          <w:sz w:val="21"/>
          <w:rFonts w:eastAsia="PingFang SC" w:ascii="PingFang SC" w:hAnsi="PingFang SC"/>
        </w:rPr>
        <w:t>在量化投资逻辑中，「创新高」具有自然的向下包含性：</w:t>
        <w:br/>
        <w:t>• 如果一只股票突破了历史上所有的最高价（HIGH_ALL = 1），那么在物理逻辑上，它必然也打破了过去 500 天和过去 250 天的最高价；</w:t>
        <w:br/>
        <w:t>• 如果一只股票突破了过去 500 日最高价（HIGH_500 = 1），那么它必然也突破了过去 250 日最高价。</w:t>
        <w:br/>
        <w:br/>
        <w:t>系统坚决摒弃了人为割裂的「排他口径」，采用「真实包含口径」：各因子布尔值真实反映其物理事实。同时在前端看板行渲染时，采用自适应高亮规则：当用户激活「500日新高」筛选器时，即使该股同时创出历史新高，也会优先突出「🔥 500日新高」徽章，完美兼顾了宏观大周期与微观筛选体验。</w:t>
      </w:r>
    </w:p>
    <w:p>
      <w:pPr>
        <w:keepNext/>
        <w:spacing w:before="280" w:after="120"/>
      </w:pPr>
      <w:r>
        <w:rPr>
          <w:rFonts w:ascii="PingFang SC" w:hAnsi="PingFang SC"/>
          <w:b/>
          <w:i w:val="0"/>
          <w:color w:val="006699"/>
          <w:sz w:val="26"/>
          <w:rFonts w:eastAsia="PingFang SC" w:ascii="PingFang SC" w:hAnsi="PingFang SC"/>
        </w:rPr>
        <w:t>3.3 二进制位掩码（Tag Bitmask）编码体系</w:t>
      </w:r>
    </w:p>
    <w:p>
      <w:pPr>
        <w:spacing w:before="40" w:after="120" w:line="324" w:lineRule="auto"/>
        <w:jc w:val="left"/>
      </w:pPr>
      <w:r>
        <w:rPr>
          <w:rFonts w:ascii="PingFang SC" w:hAnsi="PingFang SC"/>
          <w:b w:val="0"/>
          <w:i w:val="0"/>
          <w:color w:val="262626"/>
          <w:sz w:val="21"/>
          <w:rFonts w:eastAsia="PingFang SC" w:ascii="PingFang SC" w:hAnsi="PingFang SC"/>
        </w:rPr>
        <w:t>为满足前端毫秒级快速筛选与内存紧凑存储，系统将 9 大策略因子与均线多头压缩为一个 16 位的紧凑二进制整型数值（tag_mask）：</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2340"/>
        <w:gridCol w:w="2340"/>
        <w:gridCol w:w="2340"/>
        <w:gridCol w:w="2340"/>
      </w:tblGrid>
      <w:tr>
        <w:tc>
          <w:tcPr>
            <w:tcW w:type="dxa" w:w="1728"/>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二进制位 (Bit)</w:t>
            </w:r>
          </w:p>
        </w:tc>
        <w:tc>
          <w:tcPr>
            <w:tcW w:type="dxa" w:w="144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十进制权值</w:t>
            </w:r>
          </w:p>
        </w:tc>
        <w:tc>
          <w:tcPr>
            <w:tcW w:type="dxa" w:w="2592"/>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对应策略因子代码</w:t>
            </w:r>
          </w:p>
        </w:tc>
        <w:tc>
          <w:tcPr>
            <w:tcW w:type="dxa" w:w="360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业务含义说明</w:t>
            </w:r>
          </w:p>
        </w:tc>
      </w:tr>
      <w:tr>
        <w:tc>
          <w:tcPr>
            <w:tcW w:type="dxa" w:w="1728"/>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0</w:t>
            </w:r>
          </w:p>
        </w:tc>
        <w:tc>
          <w:tcPr>
            <w:tcW w:type="dxa" w:w="1440"/>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1</w:t>
            </w:r>
          </w:p>
        </w:tc>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HL_5R</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底部五连阳反转 (满足超跌与反弹约束)</w:t>
            </w:r>
          </w:p>
        </w:tc>
      </w:tr>
      <w:tr>
        <w:tc>
          <w:tcPr>
            <w:tcW w:type="dxa" w:w="1728"/>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1</w:t>
            </w:r>
          </w:p>
        </w:tc>
        <w:tc>
          <w:tcPr>
            <w:tcW w:type="dxa" w:w="1440"/>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2</w:t>
            </w:r>
          </w:p>
        </w:tc>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5R</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普通五连阳启动 (非超跌区域)</w:t>
            </w:r>
          </w:p>
        </w:tc>
      </w:tr>
      <w:tr>
        <w:tc>
          <w:tcPr>
            <w:tcW w:type="dxa" w:w="1728"/>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2</w:t>
            </w:r>
          </w:p>
        </w:tc>
        <w:tc>
          <w:tcPr>
            <w:tcW w:type="dxa" w:w="1440"/>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4</w:t>
            </w:r>
          </w:p>
        </w:tc>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HIGH_ALL</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覆盖期历史新高 (突破上市所有前高且上市&gt;500天)</w:t>
            </w:r>
          </w:p>
        </w:tc>
      </w:tr>
      <w:tr>
        <w:tc>
          <w:tcPr>
            <w:tcW w:type="dxa" w:w="1728"/>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3</w:t>
            </w:r>
          </w:p>
        </w:tc>
        <w:tc>
          <w:tcPr>
            <w:tcW w:type="dxa" w:w="1440"/>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8</w:t>
            </w:r>
          </w:p>
        </w:tc>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HIGH_500</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500日周期新高 (突破2年高点且上市&gt;500天)</w:t>
            </w:r>
          </w:p>
        </w:tc>
      </w:tr>
      <w:tr>
        <w:tc>
          <w:tcPr>
            <w:tcW w:type="dxa" w:w="1728"/>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4</w:t>
            </w:r>
          </w:p>
        </w:tc>
        <w:tc>
          <w:tcPr>
            <w:tcW w:type="dxa" w:w="1440"/>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16</w:t>
            </w:r>
          </w:p>
        </w:tc>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HIGH_250</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250日年线新高 (突破1年高点且上市&gt;250天)</w:t>
            </w:r>
          </w:p>
        </w:tc>
      </w:tr>
      <w:tr>
        <w:tc>
          <w:tcPr>
            <w:tcW w:type="dxa" w:w="1728"/>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5</w:t>
            </w:r>
          </w:p>
        </w:tc>
        <w:tc>
          <w:tcPr>
            <w:tcW w:type="dxa" w:w="1440"/>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32</w:t>
            </w:r>
          </w:p>
        </w:tc>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HL_AMO</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低位放量突破 (满足前序180日回撤&gt;25%)</w:t>
            </w:r>
          </w:p>
        </w:tc>
      </w:tr>
      <w:tr>
        <w:tc>
          <w:tcPr>
            <w:tcW w:type="dxa" w:w="1728"/>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6</w:t>
            </w:r>
          </w:p>
        </w:tc>
        <w:tc>
          <w:tcPr>
            <w:tcW w:type="dxa" w:w="1440"/>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64</w:t>
            </w:r>
          </w:p>
        </w:tc>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AMO</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普通放量突破 (无回撤限制)</w:t>
            </w:r>
          </w:p>
        </w:tc>
      </w:tr>
      <w:tr>
        <w:tc>
          <w:tcPr>
            <w:tcW w:type="dxa" w:w="1728"/>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7</w:t>
            </w:r>
          </w:p>
        </w:tc>
        <w:tc>
          <w:tcPr>
            <w:tcW w:type="dxa" w:w="1440"/>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128</w:t>
            </w:r>
          </w:p>
        </w:tc>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MA377_SUPPORT</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MA377 斐波那契长周期均线支撑企稳</w:t>
            </w:r>
          </w:p>
        </w:tc>
      </w:tr>
      <w:tr>
        <w:tc>
          <w:tcPr>
            <w:tcW w:type="dxa" w:w="1728"/>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8</w:t>
            </w:r>
          </w:p>
        </w:tc>
        <w:tc>
          <w:tcPr>
            <w:tcW w:type="dxa" w:w="1440"/>
            <w:shd w:fill="FFFFFF"/>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256</w:t>
            </w:r>
          </w:p>
        </w:tc>
        <w:tc>
          <w:tcPr>
            <w:tcW w:type="dxa" w:w="2592"/>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MA250_SUPPORT</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MA250 年线牛熊分水岭支撑企稳</w:t>
            </w:r>
          </w:p>
        </w:tc>
      </w:tr>
      <w:tr>
        <w:tc>
          <w:tcPr>
            <w:tcW w:type="dxa" w:w="1728"/>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Bit 9</w:t>
            </w:r>
          </w:p>
        </w:tc>
        <w:tc>
          <w:tcPr>
            <w:tcW w:type="dxa" w:w="1440"/>
            <w:shd w:fill="F7F9FC"/>
            <w:tcMar>
              <w:top w:w="120" w:type="dxa"/>
              <w:bottom w:w="120" w:type="dxa"/>
              <w:left w:w="160" w:type="dxa"/>
              <w:right w:w="160" w:type="dxa"/>
            </w:tcMar>
            <w:vAlign w:val="center"/>
          </w:tcPr>
          <w:p>
            <w:pPr>
              <w:spacing w:before="0" w:after="0"/>
              <w:jc w:val="center"/>
            </w:pPr>
            <w:r>
              <w:rPr>
                <w:rFonts w:ascii="PingFang SC" w:hAnsi="PingFang SC"/>
                <w:b w:val="0"/>
                <w:i w:val="0"/>
                <w:color w:val="262626"/>
                <w:sz w:val="19"/>
                <w:rFonts w:eastAsia="PingFang SC" w:ascii="PingFang SC" w:hAnsi="PingFang SC"/>
              </w:rPr>
              <w:t>512</w:t>
            </w:r>
          </w:p>
        </w:tc>
        <w:tc>
          <w:tcPr>
            <w:tcW w:type="dxa" w:w="2592"/>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LABEL / MA_BULLISH</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均线超级多头排列 (双日六线向上发散)</w:t>
            </w:r>
          </w:p>
        </w:tc>
      </w:tr>
    </w:tbl>
    <w:p>
      <w:pPr>
        <w:spacing w:before="0" w:after="120"/>
      </w:pPr>
    </w:p>
    <w:p>
      <w:r>
        <w:br w:type="page"/>
      </w:r>
    </w:p>
    <w:p>
      <w:pPr>
        <w:keepNext/>
        <w:spacing w:before="360" w:after="160"/>
      </w:pPr>
      <w:r>
        <w:rPr>
          <w:rFonts w:ascii="PingFang SC" w:hAnsi="PingFang SC"/>
          <w:b/>
          <w:i w:val="0"/>
          <w:color w:val="1F4E79"/>
          <w:sz w:val="32"/>
          <w:rFonts w:eastAsia="PingFang SC" w:ascii="PingFang SC" w:hAnsi="PingFang SC"/>
        </w:rPr>
        <w:t>第四章 生产环境实施质控与业务避坑指南</w:t>
      </w:r>
    </w:p>
    <w:p>
      <w:pPr>
        <w:keepNext/>
        <w:spacing w:before="280" w:after="120"/>
      </w:pPr>
      <w:r>
        <w:rPr>
          <w:rFonts w:ascii="PingFang SC" w:hAnsi="PingFang SC"/>
          <w:b/>
          <w:i w:val="0"/>
          <w:color w:val="006699"/>
          <w:sz w:val="26"/>
          <w:rFonts w:eastAsia="PingFang SC" w:ascii="PingFang SC" w:hAnsi="PingFang SC"/>
        </w:rPr>
        <w:t>4.1 核心避坑点总结与量化对照</w:t>
      </w:r>
    </w:p>
    <w:tbl>
      <w:tblPr>
        <w:tblW w:type="auto" w:w="0"/>
        <w:jc w:val="center"/>
        <w:tblLayout w:type="fixed"/>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3120"/>
        <w:gridCol w:w="3120"/>
        <w:gridCol w:w="3120"/>
      </w:tblGrid>
      <w:tr>
        <w:tc>
          <w:tcPr>
            <w:tcW w:type="dxa" w:w="216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常见工程/业务陷阱</w:t>
            </w:r>
          </w:p>
        </w:tc>
        <w:tc>
          <w:tcPr>
            <w:tcW w:type="dxa" w:w="360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错误做法及引发后果</w:t>
            </w:r>
          </w:p>
        </w:tc>
        <w:tc>
          <w:tcPr>
            <w:tcW w:type="dxa" w:w="3600"/>
            <w:shd w:fill="1F4E79"/>
            <w:tcMar>
              <w:top w:w="140" w:type="dxa"/>
              <w:bottom w:w="140" w:type="dxa"/>
              <w:left w:w="160" w:type="dxa"/>
              <w:right w:w="160" w:type="dxa"/>
            </w:tcMar>
            <w:vAlign w:val="center"/>
          </w:tcPr>
          <w:p>
            <w:pPr>
              <w:spacing w:before="0" w:after="0"/>
              <w:jc w:val="center"/>
            </w:pPr>
            <w:r>
              <w:rPr>
                <w:rFonts w:ascii="PingFang SC" w:hAnsi="PingFang SC"/>
                <w:b/>
                <w:i w:val="0"/>
                <w:color w:val="FFFFFF"/>
                <w:sz w:val="20"/>
                <w:rFonts w:eastAsia="PingFang SC" w:ascii="PingFang SC" w:hAnsi="PingFang SC"/>
              </w:rPr>
              <w:t>本系统采取的标准防御措施</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均线除权跳空</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直接采用未复权价格计算移动均线，分红派息日均线骤降形成虚假破位死叉</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全流程强制基于前复权收盘价计算，平滑价格序列，杜绝虚假信号</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停牌行穿透污染</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停牌日价格沿用前日，均线静止；复牌首日均线多头未被打破引发误判买入</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强约束 IS_TRADING=1 且前序双日交易等差无缝校验，停牌复牌首日一票否决</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次新股基数陷阱</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上市仅数十天的次新股，因历史最高价极低而轻易触发历史新高</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引入 LISTING_TDAYS &gt; 500 且历史交易样本 &gt;= 500 天的刚性成熟度门槛</w:t>
            </w:r>
          </w:p>
        </w:tc>
      </w:tr>
      <w:tr>
        <w:tc>
          <w:tcPr>
            <w:tcW w:type="dxa" w:w="2160"/>
            <w:shd w:fill="F7F9FC"/>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假突破高位诱多</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放量大阴线出货或短期已暴涨翻倍后放量，被误判为强势启动</w:t>
            </w:r>
          </w:p>
        </w:tc>
        <w:tc>
          <w:tcPr>
            <w:tcW w:type="dxa" w:w="3600"/>
            <w:shd w:fill="F7F9FC"/>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AMO 严格要求当日收盘价大于开盘价(收红)，且近10日涨幅严格锁定在 50% 以内</w:t>
            </w:r>
          </w:p>
        </w:tc>
      </w:tr>
      <w:tr>
        <w:tc>
          <w:tcPr>
            <w:tcW w:type="dxa" w:w="2160"/>
            <w:shd w:fill="FFFFFF"/>
            <w:tcMar>
              <w:top w:w="120" w:type="dxa"/>
              <w:bottom w:w="120" w:type="dxa"/>
              <w:left w:w="160" w:type="dxa"/>
              <w:right w:w="160" w:type="dxa"/>
            </w:tcMar>
            <w:vAlign w:val="center"/>
          </w:tcPr>
          <w:p>
            <w:pPr>
              <w:spacing w:before="0" w:after="0"/>
              <w:jc w:val="left"/>
            </w:pPr>
            <w:r>
              <w:rPr>
                <w:rFonts w:ascii="PingFang SC" w:hAnsi="PingFang SC"/>
                <w:b/>
                <w:i w:val="0"/>
                <w:color w:val="262626"/>
                <w:sz w:val="19"/>
                <w:rFonts w:eastAsia="PingFang SC" w:ascii="PingFang SC" w:hAnsi="PingFang SC"/>
              </w:rPr>
              <w:t>假企稳阴跌穿透</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股价打到均线后连续走阴线贯穿均线，被误判为获得均线支撑</w:t>
            </w:r>
          </w:p>
        </w:tc>
        <w:tc>
          <w:tcPr>
            <w:tcW w:type="dxa" w:w="3600"/>
            <w:shd w:fill="FFFFFF"/>
            <w:tcMar>
              <w:top w:w="120" w:type="dxa"/>
              <w:bottom w:w="120" w:type="dxa"/>
              <w:left w:w="160" w:type="dxa"/>
              <w:right w:w="160" w:type="dxa"/>
            </w:tcMar>
            <w:vAlign w:val="center"/>
          </w:tcPr>
          <w:p>
            <w:pPr>
              <w:spacing w:before="0" w:after="0"/>
              <w:jc w:val="left"/>
            </w:pPr>
            <w:r>
              <w:rPr>
                <w:rFonts w:ascii="PingFang SC" w:hAnsi="PingFang SC"/>
                <w:b w:val="0"/>
                <w:i w:val="0"/>
                <w:color w:val="262626"/>
                <w:sz w:val="19"/>
                <w:rFonts w:eastAsia="PingFang SC" w:ascii="PingFang SC" w:hAnsi="PingFang SC"/>
              </w:rPr>
              <w:t>均线支撑因子要求 4 日内偏离度在 [-2%, +7%]，且必须至少出现 1 根红阳线</w:t>
            </w:r>
          </w:p>
        </w:tc>
      </w:tr>
    </w:tbl>
    <w:p>
      <w:pPr>
        <w:spacing w:before="0" w:after="120"/>
      </w:pPr>
    </w:p>
    <w:p>
      <w:pPr>
        <w:keepNext/>
        <w:spacing w:before="280" w:after="120"/>
      </w:pPr>
      <w:r>
        <w:rPr>
          <w:rFonts w:ascii="PingFang SC" w:hAnsi="PingFang SC"/>
          <w:b/>
          <w:i w:val="0"/>
          <w:color w:val="006699"/>
          <w:sz w:val="26"/>
          <w:rFonts w:eastAsia="PingFang SC" w:ascii="PingFang SC" w:hAnsi="PingFang SC"/>
        </w:rPr>
        <w:t>4.2 与 Vibe-Trading AI 大模型投研协同机制</w:t>
      </w:r>
    </w:p>
    <w:p>
      <w:pPr>
        <w:spacing w:before="40" w:after="120" w:line="324" w:lineRule="auto"/>
        <w:jc w:val="left"/>
      </w:pPr>
      <w:r>
        <w:rPr>
          <w:rFonts w:ascii="PingFang SC" w:hAnsi="PingFang SC"/>
          <w:b w:val="0"/>
          <w:i w:val="0"/>
          <w:color w:val="262626"/>
          <w:sz w:val="21"/>
          <w:rFonts w:eastAsia="PingFang SC" w:ascii="PingFang SC" w:hAnsi="PingFang SC"/>
        </w:rPr>
        <w:t>本系统构建的 9 大多因子特征工程与面板指标，并非仅用于静态看板展示，更是下游 Vibe-Trading 量化大模型（如 Qwen3.8-27B / DeepSeek 等）的核心输入特征基座。</w:t>
        <w:br/>
        <w:t>在实时投研诊断时，大模型 Agent 自动调取各股票在当日的均线矩阵斜率、放量倍率、前序回撤幅度及新高性质，结合申万三级行业景气周期，输出具备专业投资经理深度的量化研报，实现了「硬核量化因子」与「大语言模型深度推理」的无缝融合。</w:t>
      </w:r>
    </w:p>
    <w:p>
      <w:pPr>
        <w:spacing w:before="600"/>
        <w:jc w:val="right"/>
      </w:pPr>
      <w:r>
        <w:rPr>
          <w:rFonts w:ascii="PingFang SC" w:hAnsi="PingFang SC"/>
          <w:b w:val="0"/>
          <w:i w:val="0"/>
          <w:color w:val="595959"/>
          <w:sz w:val="20"/>
          <w:rFonts w:eastAsia="PingFang SC" w:ascii="PingFang SC" w:hAnsi="PingFang SC"/>
        </w:rPr>
        <w:t>五矿证券信息技术部 · 数智产品研发团队</w:t>
        <w:br/>
        <w:t>量化特征工程系统项目组 谨呈</w:t>
        <w:br/>
        <w:t>2026年9月</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b w:val="0"/>
        <w:i w:val="0"/>
        <w:color w:val="595959"/>
        <w:sz w:val="17"/>
        <w:rFonts w:eastAsia="PingFang SC" w:ascii="PingFang SC" w:hAnsi="PingFang SC"/>
      </w:rPr>
      <w:t>内部正式业务文档 · 请勿外传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b w:val="0"/>
        <w:i w:val="0"/>
        <w:color w:val="595959"/>
        <w:sz w:val="17"/>
        <w:rFonts w:eastAsia="PingFang SC" w:ascii="PingFang SC" w:hAnsi="PingFang SC"/>
      </w:rPr>
      <w:t>五矿证券 · A股量化特征工程系统 · 因子加工业务说明书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