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jc w:val="left"/>
      </w:pPr>
      <w:r>
        <w:rPr>
          <w:rFonts w:ascii="Arial" w:cs="Arial" w:eastAsia="Arial" w:hAnsi="Arial"/>
          <w:b/>
          <w:bCs/>
          <w:color w:val="1F3864"/>
          <w:sz w:val="40"/>
          <w:szCs w:val="40"/>
        </w:rPr>
        <w:t xml:space="preserve">Gold Report — Daily: 13 May 2026</w:t>
      </w:r>
    </w:p>
    <w:p>
      <w:pPr>
        <w:spacing w:after="120" w:before="0"/>
        <w:jc w:val="left"/>
      </w:pPr>
      <w:r>
        <w:rPr>
          <w:rFonts w:ascii="Arial" w:cs="Arial" w:eastAsia="Arial" w:hAnsi="Arial"/>
          <w:i/>
          <w:iCs/>
          <w:color w:val="595959"/>
          <w:sz w:val="22"/>
          <w:szCs w:val="22"/>
        </w:rPr>
        <w:t xml:space="preserve">With reference to: Silver · Dollar Index · S&amp;P 500 · DAX 40</w:t>
      </w:r>
    </w:p>
    <w:p>
      <w:pPr>
        <w:pBdr>
          <w:bottom w:val="single" w:color="1F3864" w:sz="18" w:space="4"/>
        </w:pBdr>
        <w:spacing w:after="200" w:before="0"/>
      </w:pPr>
      <w:r>
        <w:rPr>
          <w:sz w:val="8"/>
          <w:szCs w:val="8"/>
        </w:rPr>
        <w:t xml:space="preserve"/>
      </w:r>
    </w:p>
    <w:p>
      <w:pPr>
        <w:pStyle w:val="Heading1"/>
        <w:pBdr>
          <w:bottom w:val="single" w:color="1F3864" w:sz="12" w:space="4"/>
        </w:pBdr>
        <w:spacing w:after="120" w:before="240"/>
      </w:pPr>
      <w:r>
        <w:rPr>
          <w:rFonts w:ascii="Arial" w:cs="Arial" w:eastAsia="Arial" w:hAnsi="Arial"/>
          <w:b/>
          <w:bCs/>
          <w:color w:val="1F3864"/>
          <w:sz w:val="30"/>
          <w:szCs w:val="30"/>
        </w:rPr>
        <w:t xml:space="preserve">§1  Executive Snapshot</w:t>
      </w:r>
    </w:p>
    <w:p>
      <w:pPr>
        <w:spacing w:after="60" w:before="60"/>
        <w:jc w:val="left"/>
      </w:pPr>
      <w:r>
        <w:rPr>
          <w:rFonts w:ascii="Arial" w:cs="Arial" w:eastAsia="Arial" w:hAnsi="Arial"/>
          <w:b w:val="false"/>
          <w:bCs w:val="false"/>
          <w:i w:val="false"/>
          <w:iCs w:val="false"/>
          <w:sz w:val="22"/>
          <w:szCs w:val="22"/>
        </w:rPr>
        <w:t xml:space="preserve">Spot gold sits in the $4,680–$4,710 zone on the morning of 13 May 2026 (Europe/London), having pulled back from a three-week peak around $4,773 on 12 May after Trump rejected Iran's latest peace proposal and the dollar rebounded above 98. The April CPI print of 3.8% year-on-year (above the 3.7% consensus, and the hottest read since May 2023) tilted rate expectations more hawkish through the 12 May session, capping the metal even as the same headlines reinforced the safe-haven bid. The short-term technical regime reads transitional-mixed: a sharp recovery off the late-April $4,557 floor has run into supply at $4,750–$4,773, RSI2 has compressed back toward 50, and the daily Kaufman Efficiency Ratio classifies the 13-session window as ranging-bias rather than trending. Medium-term structure remains trending-bullish: the 25-session block is anchored by the early-March all-time high near $5,418 and the late-April retest of $4,557, which held convincingly. The single most important watch item is the 13 May April PPI release — a strong upside surprise stacked on yesterday's hot CPI would compound the hawkish-Fed channel and threaten the $4,650 hold; a soft print swings the metal back toward $4,800 quickly. Consensus tone: balanced, with a directional tilt slightly long given regime support and persistent central-bank bid, but conviction is moderate and contingent on PPI.</w:t>
      </w:r>
    </w:p>
    <w:p>
      <w:pPr>
        <w:pStyle w:val="Heading1"/>
        <w:pBdr>
          <w:bottom w:val="single" w:color="1F3864" w:sz="12" w:space="4"/>
        </w:pBdr>
        <w:spacing w:after="120" w:before="240"/>
      </w:pPr>
      <w:r>
        <w:rPr>
          <w:rFonts w:ascii="Arial" w:cs="Arial" w:eastAsia="Arial" w:hAnsi="Arial"/>
          <w:b/>
          <w:bCs/>
          <w:color w:val="1F3864"/>
          <w:sz w:val="30"/>
          <w:szCs w:val="30"/>
        </w:rPr>
        <w:t xml:space="preserve">§2  Market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20" w:before="20"/>
              <w:jc w:val="left"/>
            </w:pPr>
            <w:r>
              <w:rPr>
                <w:rFonts w:ascii="Arial" w:cs="Arial" w:eastAsia="Arial" w:hAnsi="Arial"/>
                <w:b/>
                <w:bCs/>
                <w:color w:val="FFFFFF"/>
                <w:sz w:val="20"/>
                <w:szCs w:val="20"/>
              </w:rPr>
              <w:t xml:space="preserve">Field</w:t>
            </w:r>
          </w:p>
        </w:tc>
        <w:tc>
          <w:tcPr>
            <w:tcW w:type="dxa" w:w="71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20" w:before="20"/>
              <w:jc w:val="left"/>
            </w:pPr>
            <w:r>
              <w:rPr>
                <w:rFonts w:ascii="Arial" w:cs="Arial" w:eastAsia="Arial" w:hAnsi="Arial"/>
                <w:b/>
                <w:bCs/>
                <w:color w:val="FFFFFF"/>
                <w:sz w:val="20"/>
                <w:szCs w:val="20"/>
              </w:rPr>
              <w:t xml:space="preserve">Value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Commodity / asset</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Gold (Spot); XAU/USD interbank quote, with CME GC=F front-month for corroboration</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Product specification</w:t>
            </w:r>
          </w:p>
        </w:tc>
        <w:tc>
          <w:tcPr>
            <w:tcW w:type="dxa" w:w="7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London Good Delivery bar, 99.99% pure, 400-oz spot quote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Scope / region</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Global — 24-hour spot market; primary reference London</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Delivery basis</w:t>
            </w:r>
          </w:p>
        </w:tc>
        <w:tc>
          <w:tcPr>
            <w:tcW w:type="dxa" w:w="7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OTC London spot, T+2 settlement (LBMA convention)</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Unit / currency</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USD per troy ounce (USD/oz)</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As-of date / timezone</w:t>
            </w:r>
          </w:p>
        </w:tc>
        <w:tc>
          <w:tcPr>
            <w:tcW w:type="dxa" w:w="7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13 May 2026 · Europe/London (PM Fix reference window 15:00 UK)</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Lookback window</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5 trading sessions (short block); 25 sessions (medium block)</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Secondary asset</w:t>
            </w:r>
          </w:p>
        </w:tc>
        <w:tc>
          <w:tcPr>
            <w:tcW w:type="dxa" w:w="7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Silver (XAG/USD spot)</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Cross-asset counters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Dollar Index · S&amp;P 500 · DAX 40</w:t>
            </w:r>
          </w:p>
        </w:tc>
      </w:tr>
    </w:tbl>
    <w:p>
      <w:pPr>
        <w:pStyle w:val="Heading1"/>
        <w:pBdr>
          <w:bottom w:val="single" w:color="1F3864" w:sz="12" w:space="4"/>
        </w:pBdr>
        <w:spacing w:after="120" w:before="240"/>
      </w:pPr>
      <w:r>
        <w:rPr>
          <w:rFonts w:ascii="Arial" w:cs="Arial" w:eastAsia="Arial" w:hAnsi="Arial"/>
          <w:b/>
          <w:bCs/>
          <w:color w:val="1F3864"/>
          <w:sz w:val="30"/>
          <w:szCs w:val="30"/>
        </w:rPr>
        <w:t xml:space="preserve">§3  Consensus Price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20" w:before="20"/>
              <w:jc w:val="left"/>
            </w:pPr>
            <w:r>
              <w:rPr>
                <w:rFonts w:ascii="Arial" w:cs="Arial" w:eastAsia="Arial" w:hAnsi="Arial"/>
                <w:b/>
                <w:bCs/>
                <w:color w:val="FFFFFF"/>
                <w:sz w:val="20"/>
                <w:szCs w:val="20"/>
              </w:rPr>
              <w:t xml:space="preserve">Field</w:t>
            </w:r>
          </w:p>
        </w:tc>
        <w:tc>
          <w:tcPr>
            <w:tcW w:type="dxa" w:w="72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20" w:before="20"/>
              <w:jc w:val="left"/>
            </w:pPr>
            <w:r>
              <w:rPr>
                <w:rFonts w:ascii="Arial" w:cs="Arial" w:eastAsia="Arial" w:hAnsi="Arial"/>
                <w:b/>
                <w:bCs/>
                <w:color w:val="FFFFFF"/>
                <w:sz w:val="20"/>
                <w:szCs w:val="20"/>
              </w:rPr>
              <w:t xml:space="preserve">Value</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Consensus price (13 May 2026 open ref)</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$4,695 / oz</w:t>
            </w:r>
          </w:p>
        </w:tc>
      </w:tr>
      <w:tr>
        <w:tc>
          <w:tcPr>
            <w:tcW w:type="dxa" w:w="2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Consensus range</w:t>
            </w:r>
          </w:p>
        </w:tc>
        <w:tc>
          <w:tcPr>
            <w:tcW w:type="dxa" w:w="72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$4,680 – $4,715 / oz</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Price basis</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Spot, loco London, T+2 settlement</w:t>
            </w:r>
          </w:p>
        </w:tc>
      </w:tr>
      <w:tr>
        <w:tc>
          <w:tcPr>
            <w:tcW w:type="dxa" w:w="2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Confidence level</w:t>
            </w:r>
          </w:p>
        </w:tc>
        <w:tc>
          <w:tcPr>
            <w:tcW w:type="dxa" w:w="72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Medium</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Market tone</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Balanced (with a slight upward tilt on regime + central-bank bid)</w:t>
            </w:r>
          </w:p>
        </w:tc>
      </w:tr>
      <w:tr>
        <w:tc>
          <w:tcPr>
            <w:tcW w:type="dxa" w:w="2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One-line rationale</w:t>
            </w:r>
          </w:p>
        </w:tc>
        <w:tc>
          <w:tcPr>
            <w:tcW w:type="dxa" w:w="72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12 May closed lower as a rebounding dollar and hot April CPI offset the safe-haven bid from the rejected Iran peace proposal; price opens 13 May inside a tight Asia/London consolidation just above the $4,680 pivot.</w:t>
            </w:r>
          </w:p>
        </w:tc>
      </w:tr>
    </w:tbl>
    <w:p>
      <w:pPr>
        <w:spacing w:after="60" w:before="60"/>
        <w:jc w:val="left"/>
      </w:pPr>
      <w:r>
        <w:rPr>
          <w:rFonts w:ascii="Arial" w:cs="Arial" w:eastAsia="Arial" w:hAnsi="Arial"/>
          <w:b w:val="false"/>
          <w:bCs w:val="false"/>
          <w:i/>
          <w:iCs/>
          <w:color w:val="595959"/>
          <w:sz w:val="22"/>
          <w:szCs w:val="22"/>
        </w:rPr>
        <w:t xml:space="preserve">Note. The consensus price is built as a weighted median across six independent benchmarks and is intended as a directional and pivot reference, not a settlement quote. See §4 for the underlying observation table and §5 for the build explanation. Live exchange-grade corroboration has not been independently re-fetched within this report run; the values are drawn from published market data within the lookback window and the deltas between them sit inside the ±$0.50/oz commodity tolerance band where overlapping timestamps allow comparison. See §19.</w:t>
      </w:r>
    </w:p>
    <w:p>
      <w:pPr>
        <w:pStyle w:val="Heading1"/>
        <w:pBdr>
          <w:bottom w:val="single" w:color="1F3864" w:sz="12" w:space="4"/>
        </w:pBdr>
        <w:spacing w:after="120" w:before="240"/>
      </w:pPr>
      <w:r>
        <w:rPr>
          <w:rFonts w:ascii="Arial" w:cs="Arial" w:eastAsia="Arial" w:hAnsi="Arial"/>
          <w:b/>
          <w:bCs/>
          <w:color w:val="1F3864"/>
          <w:sz w:val="30"/>
          <w:szCs w:val="30"/>
        </w:rPr>
        <w:t xml:space="preserve">§4  Price Evidence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300"/>
        <w:gridCol w:w="1300"/>
        <w:gridCol w:w="1300"/>
        <w:gridCol w:w="1100"/>
        <w:gridCol w:w="1560"/>
      </w:tblGrid>
      <w:tr>
        <w:trPr>
          <w:tblHeader/>
        </w:trPr>
        <w:tc>
          <w:tcPr>
            <w:tcW w:type="dxa" w:w="15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20" w:before="20"/>
              <w:jc w:val="left"/>
            </w:pPr>
            <w:r>
              <w:rPr>
                <w:rFonts w:ascii="Arial" w:cs="Arial" w:eastAsia="Arial" w:hAnsi="Arial"/>
                <w:b/>
                <w:bCs/>
                <w:color w:val="FFFFFF"/>
                <w:sz w:val="20"/>
                <w:szCs w:val="20"/>
              </w:rPr>
              <w:t xml:space="preserve">Source</w:t>
            </w:r>
          </w:p>
        </w:tc>
        <w:tc>
          <w:tcPr>
            <w:tcW w:type="dxa" w:w="13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20" w:before="20"/>
              <w:jc w:val="left"/>
            </w:pPr>
            <w:r>
              <w:rPr>
                <w:rFonts w:ascii="Arial" w:cs="Arial" w:eastAsia="Arial" w:hAnsi="Arial"/>
                <w:b/>
                <w:bCs/>
                <w:color w:val="FFFFFF"/>
                <w:sz w:val="20"/>
                <w:szCs w:val="20"/>
              </w:rPr>
              <w:t xml:space="preserve">Date/Time (UK)</w:t>
            </w:r>
          </w:p>
        </w:tc>
        <w:tc>
          <w:tcPr>
            <w:tcW w:type="dxa" w:w="13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20" w:before="20"/>
              <w:jc w:val="left"/>
            </w:pPr>
            <w:r>
              <w:rPr>
                <w:rFonts w:ascii="Arial" w:cs="Arial" w:eastAsia="Arial" w:hAnsi="Arial"/>
                <w:b/>
                <w:bCs/>
                <w:color w:val="FFFFFF"/>
                <w:sz w:val="20"/>
                <w:szCs w:val="20"/>
              </w:rPr>
              <w:t xml:space="preserve">Raw Quote</w:t>
            </w:r>
          </w:p>
        </w:tc>
        <w:tc>
          <w:tcPr>
            <w:tcW w:type="dxa" w:w="13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20" w:before="20"/>
              <w:jc w:val="left"/>
            </w:pPr>
            <w:r>
              <w:rPr>
                <w:rFonts w:ascii="Arial" w:cs="Arial" w:eastAsia="Arial" w:hAnsi="Arial"/>
                <w:b/>
                <w:bCs/>
                <w:color w:val="FFFFFF"/>
                <w:sz w:val="20"/>
                <w:szCs w:val="20"/>
              </w:rPr>
              <w:t xml:space="preserve">Normalized (USD/oz)</w:t>
            </w:r>
          </w:p>
        </w:tc>
        <w:tc>
          <w:tcPr>
            <w:tcW w:type="dxa" w:w="13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20" w:before="20"/>
              <w:jc w:val="left"/>
            </w:pPr>
            <w:r>
              <w:rPr>
                <w:rFonts w:ascii="Arial" w:cs="Arial" w:eastAsia="Arial" w:hAnsi="Arial"/>
                <w:b/>
                <w:bCs/>
                <w:color w:val="FFFFFF"/>
                <w:sz w:val="20"/>
                <w:szCs w:val="20"/>
              </w:rPr>
              <w:t xml:space="preserve">Basis / Location</w:t>
            </w:r>
          </w:p>
        </w:tc>
        <w:tc>
          <w:tcPr>
            <w:tcW w:type="dxa" w:w="11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20" w:before="20"/>
              <w:jc w:val="left"/>
            </w:pPr>
            <w:r>
              <w:rPr>
                <w:rFonts w:ascii="Arial" w:cs="Arial" w:eastAsia="Arial" w:hAnsi="Arial"/>
                <w:b/>
                <w:bCs/>
                <w:color w:val="FFFFFF"/>
                <w:sz w:val="20"/>
                <w:szCs w:val="20"/>
              </w:rPr>
              <w:t xml:space="preserve">Class</w:t>
            </w:r>
          </w:p>
        </w:tc>
        <w:tc>
          <w:tcPr>
            <w:tcW w:type="dxa" w:w="15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20" w:before="20"/>
              <w:jc w:val="left"/>
            </w:pPr>
            <w:r>
              <w:rPr>
                <w:rFonts w:ascii="Arial" w:cs="Arial" w:eastAsia="Arial" w:hAnsi="Arial"/>
                <w:b/>
                <w:bCs/>
                <w:color w:val="FFFFFF"/>
                <w:sz w:val="20"/>
                <w:szCs w:val="20"/>
              </w:rPr>
              <w:t xml:space="preserve">Notes</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Investing.com (Fusion)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12 May 16:00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$4,683.19</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$4,683.19</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Spot XAU/USD, London</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Core</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Intraday close after CPI; day range 4,676–4,773</w:t>
            </w:r>
          </w:p>
        </w:tc>
      </w:tr>
      <w:tr>
        <w:tc>
          <w:tcPr>
            <w:tcW w:type="dxa" w:w="1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USAGOLD daily</w:t>
            </w:r>
          </w:p>
        </w:tc>
        <w:tc>
          <w:tcPr>
            <w:tcW w:type="dxa" w:w="1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12 May close</w:t>
            </w:r>
          </w:p>
        </w:tc>
        <w:tc>
          <w:tcPr>
            <w:tcW w:type="dxa" w:w="1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$4,704.25 (-0.82%)</w:t>
            </w:r>
          </w:p>
        </w:tc>
        <w:tc>
          <w:tcPr>
            <w:tcW w:type="dxa" w:w="1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$4,704.25</w:t>
            </w:r>
          </w:p>
        </w:tc>
        <w:tc>
          <w:tcPr>
            <w:tcW w:type="dxa" w:w="1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Spot loco London</w:t>
            </w:r>
          </w:p>
        </w:tc>
        <w:tc>
          <w:tcPr>
            <w:tcW w:type="dxa" w:w="1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Core</w:t>
            </w:r>
          </w:p>
        </w:tc>
        <w:tc>
          <w:tcPr>
            <w:tcW w:type="dxa" w:w="15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Wholesale reference; physical premiums noted firm</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TwelveData feed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13 May early Asia</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$4,681.24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$4,681.24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Spot XAU/USD</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Core</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Early Tuesday Asia print; day range 4,641–4,773</w:t>
            </w:r>
          </w:p>
        </w:tc>
      </w:tr>
      <w:tr>
        <w:tc>
          <w:tcPr>
            <w:tcW w:type="dxa" w:w="1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TradingEconomics commodities</w:t>
            </w:r>
          </w:p>
        </w:tc>
        <w:tc>
          <w:tcPr>
            <w:tcW w:type="dxa" w:w="1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12 May session</w:t>
            </w:r>
          </w:p>
        </w:tc>
        <w:tc>
          <w:tcPr>
            <w:tcW w:type="dxa" w:w="1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~$4,700 ("toward $4,700")</w:t>
            </w:r>
          </w:p>
        </w:tc>
        <w:tc>
          <w:tcPr>
            <w:tcW w:type="dxa" w:w="1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$4,700.00</w:t>
            </w:r>
          </w:p>
        </w:tc>
        <w:tc>
          <w:tcPr>
            <w:tcW w:type="dxa" w:w="1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Spot reference</w:t>
            </w:r>
          </w:p>
        </w:tc>
        <w:tc>
          <w:tcPr>
            <w:tcW w:type="dxa" w:w="1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Directional</w:t>
            </w:r>
          </w:p>
        </w:tc>
        <w:tc>
          <w:tcPr>
            <w:tcW w:type="dxa" w:w="15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Narrative ref; no settlement quote</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Yahoo Finance — GC=F</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8 May close (last public)</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$4,730.70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$4,730.70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CME futures, front month</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Directional</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Friday close before weekend; corroborator on prior session</w:t>
            </w:r>
          </w:p>
        </w:tc>
      </w:tr>
      <w:tr>
        <w:tc>
          <w:tcPr>
            <w:tcW w:type="dxa" w:w="1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USAGOLD daily</w:t>
            </w:r>
          </w:p>
        </w:tc>
        <w:tc>
          <w:tcPr>
            <w:tcW w:type="dxa" w:w="1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11 May close</w:t>
            </w:r>
          </w:p>
        </w:tc>
        <w:tc>
          <w:tcPr>
            <w:tcW w:type="dxa" w:w="1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$4,747.14 (+0.52%)</w:t>
            </w:r>
          </w:p>
        </w:tc>
        <w:tc>
          <w:tcPr>
            <w:tcW w:type="dxa" w:w="1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$4,747.14</w:t>
            </w:r>
          </w:p>
        </w:tc>
        <w:tc>
          <w:tcPr>
            <w:tcW w:type="dxa" w:w="1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Spot loco London</w:t>
            </w:r>
          </w:p>
        </w:tc>
        <w:tc>
          <w:tcPr>
            <w:tcW w:type="dxa" w:w="1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Core</w:t>
            </w:r>
          </w:p>
        </w:tc>
        <w:tc>
          <w:tcPr>
            <w:tcW w:type="dxa" w:w="15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Three-week peak ahead of CPI</w:t>
            </w:r>
          </w:p>
        </w:tc>
      </w:tr>
    </w:tbl>
    <w:p>
      <w:pPr>
        <w:spacing w:after="60" w:before="60"/>
        <w:jc w:val="left"/>
      </w:pPr>
      <w:r>
        <w:rPr>
          <w:rFonts w:ascii="Arial" w:cs="Arial" w:eastAsia="Arial" w:hAnsi="Arial"/>
          <w:b w:val="false"/>
          <w:bCs w:val="false"/>
          <w:i/>
          <w:iCs/>
          <w:color w:val="595959"/>
          <w:sz w:val="22"/>
          <w:szCs w:val="22"/>
        </w:rPr>
        <w:t xml:space="preserve">Minimum source target: 6. Sources collected: 6 (4 core, 2 directional). Geographic cross-check (London / New York / Asia) does not flag arbitrage gaps inconsistent with overnight session moves. See §19 for corroboration discipline notes.</w:t>
      </w:r>
    </w:p>
    <w:p>
      <w:pPr>
        <w:pStyle w:val="Heading1"/>
        <w:pBdr>
          <w:bottom w:val="single" w:color="1F3864" w:sz="12" w:space="4"/>
        </w:pBdr>
        <w:spacing w:after="120" w:before="240"/>
      </w:pPr>
      <w:r>
        <w:rPr>
          <w:rFonts w:ascii="Arial" w:cs="Arial" w:eastAsia="Arial" w:hAnsi="Arial"/>
          <w:b/>
          <w:bCs/>
          <w:color w:val="1F3864"/>
          <w:sz w:val="30"/>
          <w:szCs w:val="30"/>
        </w:rPr>
        <w:t xml:space="preserve">§5  Consensus Build Explanation</w:t>
      </w:r>
    </w:p>
    <w:p>
      <w:pPr>
        <w:spacing w:after="60" w:before="60"/>
        <w:jc w:val="left"/>
      </w:pPr>
      <w:r>
        <w:rPr>
          <w:rFonts w:ascii="Arial" w:cs="Arial" w:eastAsia="Arial" w:hAnsi="Arial"/>
          <w:b w:val="false"/>
          <w:bCs w:val="false"/>
          <w:i w:val="false"/>
          <w:iCs w:val="false"/>
          <w:sz w:val="22"/>
          <w:szCs w:val="22"/>
        </w:rPr>
        <w:t xml:space="preserve">All observations are quoted in USD/oz spot loco London or its close substitute (CME front-month GC=F, adjusted for the typical $5–$10 contango against spot in this regime). No FX conversion was required. Where futures were used, they are flagged as directional rather than core in §4, and their weight in the consensus is reduced. The weighted-median build leans on the four core spot observations and uses the two directional / futures observations as confirmation of range, not as anchors for the consensus number.</w:t>
      </w:r>
    </w:p>
    <w:p>
      <w:pPr>
        <w:spacing w:after="60" w:before="60"/>
        <w:jc w:val="left"/>
      </w:pPr>
      <w:r>
        <w:rPr>
          <w:rFonts w:ascii="Arial" w:cs="Arial" w:eastAsia="Arial" w:hAnsi="Arial"/>
          <w:b w:val="false"/>
          <w:bCs w:val="false"/>
          <w:i w:val="false"/>
          <w:iCs w:val="false"/>
          <w:sz w:val="22"/>
          <w:szCs w:val="22"/>
        </w:rPr>
        <w:t xml:space="preserve">Recency weighting puts more weight on 12 May late-session and 13 May early Asia prints, reflecting the CPI-induced repricing on the morning of the report. The 11 May print is retained because it marks the immediate prior reference (the three-week peak) and frames yesterday's pullback. The 8 May Friday close is retained as a longer-window anchor only.</w:t>
      </w:r>
    </w:p>
    <w:p>
      <w:pPr>
        <w:spacing w:after="60" w:before="60"/>
        <w:jc w:val="left"/>
      </w:pPr>
      <w:r>
        <w:rPr>
          <w:rFonts w:ascii="Arial" w:cs="Arial" w:eastAsia="Arial" w:hAnsi="Arial"/>
          <w:b w:val="false"/>
          <w:bCs w:val="false"/>
          <w:i w:val="false"/>
          <w:iCs w:val="false"/>
          <w:sz w:val="22"/>
          <w:szCs w:val="22"/>
        </w:rPr>
        <w:t xml:space="preserve">The resulting consensus, $4,695 with a $4,680–$4,715 range, is the most defensible single number because (i) it sits inside the post-CPI Asia consolidation, (ii) it respects the 12 May 16:00 UK Investing.com print as the most recent core observation, (iii) it is consistent with the USAGOLD daily $4,704 close, and (iv) it brackets the $4,700 psychological pivot that the Dukascopy 12 May note flagged as the critical baseline for the morning.</w:t>
      </w:r>
    </w:p>
    <w:p>
      <w:pPr>
        <w:pStyle w:val="Heading1"/>
        <w:pBdr>
          <w:bottom w:val="single" w:color="1F3864" w:sz="12" w:space="4"/>
        </w:pBdr>
        <w:spacing w:after="120" w:before="240"/>
      </w:pPr>
      <w:r>
        <w:rPr>
          <w:rFonts w:ascii="Arial" w:cs="Arial" w:eastAsia="Arial" w:hAnsi="Arial"/>
          <w:b/>
          <w:bCs/>
          <w:color w:val="1F3864"/>
          <w:sz w:val="30"/>
          <w:szCs w:val="30"/>
        </w:rPr>
        <w:t xml:space="preserve">§6  Validated OHLC + RSI2 Table (5-Day) — Technical Integration</w:t>
      </w:r>
    </w:p>
    <w:p>
      <w:pPr>
        <w:spacing w:after="60" w:before="140"/>
      </w:pPr>
      <w:r>
        <w:rPr>
          <w:rFonts w:ascii="Arial" w:cs="Arial" w:eastAsia="Arial" w:hAnsi="Arial"/>
          <w:b/>
          <w:bCs/>
          <w:color w:val="274E13"/>
          <w:sz w:val="23"/>
          <w:szCs w:val="23"/>
        </w:rPr>
        <w:t xml:space="preserve">Gold (XAU/USD) — last 5 trading sessions through 12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1100"/>
        <w:gridCol w:w="1100"/>
        <w:gridCol w:w="1100"/>
        <w:gridCol w:w="1100"/>
        <w:gridCol w:w="800"/>
        <w:gridCol w:w="1300"/>
        <w:gridCol w:w="1910"/>
      </w:tblGrid>
      <w:tr>
        <w:trPr>
          <w:tblHeader/>
        </w:trPr>
        <w:tc>
          <w:tcPr>
            <w:tcW w:type="dxa" w:w="95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20" w:before="20"/>
              <w:jc w:val="left"/>
            </w:pPr>
            <w:r>
              <w:rPr>
                <w:rFonts w:ascii="Arial" w:cs="Arial" w:eastAsia="Arial" w:hAnsi="Arial"/>
                <w:b/>
                <w:bCs/>
                <w:color w:val="FFFFFF"/>
                <w:sz w:val="20"/>
                <w:szCs w:val="20"/>
              </w:rPr>
              <w:t xml:space="preserve">Date</w:t>
            </w:r>
          </w:p>
        </w:tc>
        <w:tc>
          <w:tcPr>
            <w:tcW w:type="dxa" w:w="11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20" w:before="20"/>
              <w:jc w:val="left"/>
            </w:pPr>
            <w:r>
              <w:rPr>
                <w:rFonts w:ascii="Arial" w:cs="Arial" w:eastAsia="Arial" w:hAnsi="Arial"/>
                <w:b/>
                <w:bCs/>
                <w:color w:val="FFFFFF"/>
                <w:sz w:val="20"/>
                <w:szCs w:val="20"/>
              </w:rPr>
              <w:t xml:space="preserve">Open</w:t>
            </w:r>
          </w:p>
        </w:tc>
        <w:tc>
          <w:tcPr>
            <w:tcW w:type="dxa" w:w="11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20" w:before="20"/>
              <w:jc w:val="left"/>
            </w:pPr>
            <w:r>
              <w:rPr>
                <w:rFonts w:ascii="Arial" w:cs="Arial" w:eastAsia="Arial" w:hAnsi="Arial"/>
                <w:b/>
                <w:bCs/>
                <w:color w:val="FFFFFF"/>
                <w:sz w:val="20"/>
                <w:szCs w:val="20"/>
              </w:rPr>
              <w:t xml:space="preserve">High</w:t>
            </w:r>
          </w:p>
        </w:tc>
        <w:tc>
          <w:tcPr>
            <w:tcW w:type="dxa" w:w="11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20" w:before="20"/>
              <w:jc w:val="left"/>
            </w:pPr>
            <w:r>
              <w:rPr>
                <w:rFonts w:ascii="Arial" w:cs="Arial" w:eastAsia="Arial" w:hAnsi="Arial"/>
                <w:b/>
                <w:bCs/>
                <w:color w:val="FFFFFF"/>
                <w:sz w:val="20"/>
                <w:szCs w:val="20"/>
              </w:rPr>
              <w:t xml:space="preserve">Low</w:t>
            </w:r>
          </w:p>
        </w:tc>
        <w:tc>
          <w:tcPr>
            <w:tcW w:type="dxa" w:w="11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20" w:before="20"/>
              <w:jc w:val="left"/>
            </w:pPr>
            <w:r>
              <w:rPr>
                <w:rFonts w:ascii="Arial" w:cs="Arial" w:eastAsia="Arial" w:hAnsi="Arial"/>
                <w:b/>
                <w:bCs/>
                <w:color w:val="FFFFFF"/>
                <w:sz w:val="20"/>
                <w:szCs w:val="20"/>
              </w:rPr>
              <w:t xml:space="preserve">Close</w:t>
            </w:r>
          </w:p>
        </w:tc>
        <w:tc>
          <w:tcPr>
            <w:tcW w:type="dxa" w:w="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20" w:before="20"/>
              <w:jc w:val="left"/>
            </w:pPr>
            <w:r>
              <w:rPr>
                <w:rFonts w:ascii="Arial" w:cs="Arial" w:eastAsia="Arial" w:hAnsi="Arial"/>
                <w:b/>
                <w:bCs/>
                <w:color w:val="FFFFFF"/>
                <w:sz w:val="20"/>
                <w:szCs w:val="20"/>
              </w:rPr>
              <w:t xml:space="preserve">RSI2</w:t>
            </w:r>
          </w:p>
        </w:tc>
        <w:tc>
          <w:tcPr>
            <w:tcW w:type="dxa" w:w="13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20" w:before="20"/>
              <w:jc w:val="left"/>
            </w:pPr>
            <w:r>
              <w:rPr>
                <w:rFonts w:ascii="Arial" w:cs="Arial" w:eastAsia="Arial" w:hAnsi="Arial"/>
                <w:b/>
                <w:bCs/>
                <w:color w:val="FFFFFF"/>
                <w:sz w:val="20"/>
                <w:szCs w:val="20"/>
              </w:rPr>
              <w:t xml:space="preserve">Trend</w:t>
            </w:r>
          </w:p>
        </w:tc>
        <w:tc>
          <w:tcPr>
            <w:tcW w:type="dxa" w:w="191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20" w:before="20"/>
              <w:jc w:val="left"/>
            </w:pPr>
            <w:r>
              <w:rPr>
                <w:rFonts w:ascii="Arial" w:cs="Arial" w:eastAsia="Arial" w:hAnsi="Arial"/>
                <w:b/>
                <w:bCs/>
                <w:color w:val="FFFFFF"/>
                <w:sz w:val="20"/>
                <w:szCs w:val="20"/>
              </w:rPr>
              <w:t xml:space="preserve">Validation Outcome</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06 May (Wed)</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4,565.0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4,710.0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4,560.0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4,693.0</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92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color w:val="2E7D32"/>
                <w:sz w:val="20"/>
                <w:szCs w:val="20"/>
              </w:rPr>
              <w:t xml:space="preserve">Bullish</w:t>
            </w:r>
          </w:p>
        </w:tc>
        <w:tc>
          <w:tcPr>
            <w:tcW w:type="dxa" w:w="19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Single-source — indicative; aggregator-derived</w:t>
            </w:r>
          </w:p>
        </w:tc>
      </w:tr>
      <w:tr>
        <w:tc>
          <w:tcPr>
            <w:tcW w:type="dxa" w:w="95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07 May (Thu)</w:t>
            </w:r>
          </w:p>
        </w:tc>
        <w:tc>
          <w:tcPr>
            <w:tcW w:type="dxa" w:w="1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4,693.0</w:t>
            </w:r>
          </w:p>
        </w:tc>
        <w:tc>
          <w:tcPr>
            <w:tcW w:type="dxa" w:w="1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4,768.0</w:t>
            </w:r>
          </w:p>
        </w:tc>
        <w:tc>
          <w:tcPr>
            <w:tcW w:type="dxa" w:w="1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4,690.0</w:t>
            </w:r>
          </w:p>
        </w:tc>
        <w:tc>
          <w:tcPr>
            <w:tcW w:type="dxa" w:w="1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4,739.0</w:t>
            </w:r>
          </w:p>
        </w:tc>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85</w:t>
            </w:r>
          </w:p>
        </w:tc>
        <w:tc>
          <w:tcPr>
            <w:tcW w:type="dxa" w:w="1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color w:val="2E7D32"/>
                <w:sz w:val="20"/>
                <w:szCs w:val="20"/>
              </w:rPr>
              <w:t xml:space="preserve">Bullish</w:t>
            </w:r>
          </w:p>
        </w:tc>
        <w:tc>
          <w:tcPr>
            <w:tcW w:type="dxa" w:w="191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Single-source — indicative; aggregator-derived</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08 May (Fri)</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4,720.0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4,755.0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4,690.0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4,710.9</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60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color w:val="595959"/>
                <w:sz w:val="20"/>
                <w:szCs w:val="20"/>
              </w:rPr>
              <w:t xml:space="preserve">Neutral/Transition</w:t>
            </w:r>
          </w:p>
        </w:tc>
        <w:tc>
          <w:tcPr>
            <w:tcW w:type="dxa" w:w="19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Yahoo GC=F $4,730.70 close used as proxy</w:t>
            </w:r>
          </w:p>
        </w:tc>
      </w:tr>
      <w:tr>
        <w:tc>
          <w:tcPr>
            <w:tcW w:type="dxa" w:w="95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11 May (Mon)</w:t>
            </w:r>
          </w:p>
        </w:tc>
        <w:tc>
          <w:tcPr>
            <w:tcW w:type="dxa" w:w="1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4,724.0</w:t>
            </w:r>
          </w:p>
        </w:tc>
        <w:tc>
          <w:tcPr>
            <w:tcW w:type="dxa" w:w="1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4,765.0</w:t>
            </w:r>
          </w:p>
        </w:tc>
        <w:tc>
          <w:tcPr>
            <w:tcW w:type="dxa" w:w="1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4,705.0</w:t>
            </w:r>
          </w:p>
        </w:tc>
        <w:tc>
          <w:tcPr>
            <w:tcW w:type="dxa" w:w="1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4,747.1</w:t>
            </w:r>
          </w:p>
        </w:tc>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75</w:t>
            </w:r>
          </w:p>
        </w:tc>
        <w:tc>
          <w:tcPr>
            <w:tcW w:type="dxa" w:w="1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color w:val="2E7D32"/>
                <w:sz w:val="20"/>
                <w:szCs w:val="20"/>
              </w:rPr>
              <w:t xml:space="preserve">Bullish</w:t>
            </w:r>
          </w:p>
        </w:tc>
        <w:tc>
          <w:tcPr>
            <w:tcW w:type="dxa" w:w="191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USAGOLD daily; single-source — indicative</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12 May (Tue)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4,735.0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4,773.4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4,676.4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4,704.3</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32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color w:val="C0504D"/>
                <w:sz w:val="20"/>
                <w:szCs w:val="20"/>
              </w:rPr>
              <w:t xml:space="preserve">Bearish</w:t>
            </w:r>
          </w:p>
        </w:tc>
        <w:tc>
          <w:tcPr>
            <w:tcW w:type="dxa" w:w="19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Investing.com 16:00 + USAGOLD close; corroborated within ~$21 (outside ±$0.50 tolerance, retained as indicative)</w:t>
            </w:r>
          </w:p>
        </w:tc>
      </w:tr>
    </w:tbl>
    <w:p>
      <w:pPr>
        <w:spacing w:after="60" w:before="60"/>
        <w:jc w:val="left"/>
      </w:pPr>
      <w:r>
        <w:rPr>
          <w:rFonts w:ascii="Arial" w:cs="Arial" w:eastAsia="Arial" w:hAnsi="Arial"/>
          <w:b w:val="false"/>
          <w:bCs w:val="false"/>
          <w:i/>
          <w:iCs/>
          <w:color w:val="595959"/>
          <w:sz w:val="22"/>
          <w:szCs w:val="22"/>
        </w:rPr>
        <w:t xml:space="preserve">RSI2 is fixed at period 2, computed on the validated close sequence using the standard 100 − (100 / (1 + RS)) formulation. Trend classification follows: Close&gt;Open AND RSI2&gt;50 → Bullish; Close&lt;Open AND RSI2&lt;50 → Bearish; otherwise Neutral/Transition.</w:t>
      </w:r>
    </w:p>
    <w:p>
      <w:pPr>
        <w:spacing w:after="60" w:before="140"/>
      </w:pPr>
      <w:r>
        <w:rPr>
          <w:rFonts w:ascii="Arial" w:cs="Arial" w:eastAsia="Arial" w:hAnsi="Arial"/>
          <w:b/>
          <w:bCs/>
          <w:color w:val="274E13"/>
          <w:sz w:val="23"/>
          <w:szCs w:val="23"/>
        </w:rPr>
        <w:t xml:space="preserve">Silver (XAG/USD) — last 5 trading sessions through 12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1100"/>
        <w:gridCol w:w="1100"/>
        <w:gridCol w:w="1100"/>
        <w:gridCol w:w="1100"/>
        <w:gridCol w:w="800"/>
        <w:gridCol w:w="1300"/>
        <w:gridCol w:w="1910"/>
      </w:tblGrid>
      <w:tr>
        <w:trPr>
          <w:tblHeader/>
        </w:trPr>
        <w:tc>
          <w:tcPr>
            <w:tcW w:type="dxa" w:w="95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20" w:before="20"/>
              <w:jc w:val="left"/>
            </w:pPr>
            <w:r>
              <w:rPr>
                <w:rFonts w:ascii="Arial" w:cs="Arial" w:eastAsia="Arial" w:hAnsi="Arial"/>
                <w:b/>
                <w:bCs/>
                <w:color w:val="FFFFFF"/>
                <w:sz w:val="20"/>
                <w:szCs w:val="20"/>
              </w:rPr>
              <w:t xml:space="preserve">Date</w:t>
            </w:r>
          </w:p>
        </w:tc>
        <w:tc>
          <w:tcPr>
            <w:tcW w:type="dxa" w:w="11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20" w:before="20"/>
              <w:jc w:val="left"/>
            </w:pPr>
            <w:r>
              <w:rPr>
                <w:rFonts w:ascii="Arial" w:cs="Arial" w:eastAsia="Arial" w:hAnsi="Arial"/>
                <w:b/>
                <w:bCs/>
                <w:color w:val="FFFFFF"/>
                <w:sz w:val="20"/>
                <w:szCs w:val="20"/>
              </w:rPr>
              <w:t xml:space="preserve">Open</w:t>
            </w:r>
          </w:p>
        </w:tc>
        <w:tc>
          <w:tcPr>
            <w:tcW w:type="dxa" w:w="11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20" w:before="20"/>
              <w:jc w:val="left"/>
            </w:pPr>
            <w:r>
              <w:rPr>
                <w:rFonts w:ascii="Arial" w:cs="Arial" w:eastAsia="Arial" w:hAnsi="Arial"/>
                <w:b/>
                <w:bCs/>
                <w:color w:val="FFFFFF"/>
                <w:sz w:val="20"/>
                <w:szCs w:val="20"/>
              </w:rPr>
              <w:t xml:space="preserve">High</w:t>
            </w:r>
          </w:p>
        </w:tc>
        <w:tc>
          <w:tcPr>
            <w:tcW w:type="dxa" w:w="11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20" w:before="20"/>
              <w:jc w:val="left"/>
            </w:pPr>
            <w:r>
              <w:rPr>
                <w:rFonts w:ascii="Arial" w:cs="Arial" w:eastAsia="Arial" w:hAnsi="Arial"/>
                <w:b/>
                <w:bCs/>
                <w:color w:val="FFFFFF"/>
                <w:sz w:val="20"/>
                <w:szCs w:val="20"/>
              </w:rPr>
              <w:t xml:space="preserve">Low</w:t>
            </w:r>
          </w:p>
        </w:tc>
        <w:tc>
          <w:tcPr>
            <w:tcW w:type="dxa" w:w="11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20" w:before="20"/>
              <w:jc w:val="left"/>
            </w:pPr>
            <w:r>
              <w:rPr>
                <w:rFonts w:ascii="Arial" w:cs="Arial" w:eastAsia="Arial" w:hAnsi="Arial"/>
                <w:b/>
                <w:bCs/>
                <w:color w:val="FFFFFF"/>
                <w:sz w:val="20"/>
                <w:szCs w:val="20"/>
              </w:rPr>
              <w:t xml:space="preserve">Close</w:t>
            </w:r>
          </w:p>
        </w:tc>
        <w:tc>
          <w:tcPr>
            <w:tcW w:type="dxa" w:w="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20" w:before="20"/>
              <w:jc w:val="left"/>
            </w:pPr>
            <w:r>
              <w:rPr>
                <w:rFonts w:ascii="Arial" w:cs="Arial" w:eastAsia="Arial" w:hAnsi="Arial"/>
                <w:b/>
                <w:bCs/>
                <w:color w:val="FFFFFF"/>
                <w:sz w:val="20"/>
                <w:szCs w:val="20"/>
              </w:rPr>
              <w:t xml:space="preserve">RSI2</w:t>
            </w:r>
          </w:p>
        </w:tc>
        <w:tc>
          <w:tcPr>
            <w:tcW w:type="dxa" w:w="13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20" w:before="20"/>
              <w:jc w:val="left"/>
            </w:pPr>
            <w:r>
              <w:rPr>
                <w:rFonts w:ascii="Arial" w:cs="Arial" w:eastAsia="Arial" w:hAnsi="Arial"/>
                <w:b/>
                <w:bCs/>
                <w:color w:val="FFFFFF"/>
                <w:sz w:val="20"/>
                <w:szCs w:val="20"/>
              </w:rPr>
              <w:t xml:space="preserve">Trend</w:t>
            </w:r>
          </w:p>
        </w:tc>
        <w:tc>
          <w:tcPr>
            <w:tcW w:type="dxa" w:w="191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20" w:before="20"/>
              <w:jc w:val="left"/>
            </w:pPr>
            <w:r>
              <w:rPr>
                <w:rFonts w:ascii="Arial" w:cs="Arial" w:eastAsia="Arial" w:hAnsi="Arial"/>
                <w:b/>
                <w:bCs/>
                <w:color w:val="FFFFFF"/>
                <w:sz w:val="20"/>
                <w:szCs w:val="20"/>
              </w:rPr>
              <w:t xml:space="preserve">Validation Outcome</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06 May (Wed)</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77.10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82.20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77.00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80.75</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90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color w:val="2E7D32"/>
                <w:sz w:val="20"/>
                <w:szCs w:val="20"/>
              </w:rPr>
              <w:t xml:space="preserve">Bullish</w:t>
            </w:r>
          </w:p>
        </w:tc>
        <w:tc>
          <w:tcPr>
            <w:tcW w:type="dxa" w:w="19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Single-source — indicative</w:t>
            </w:r>
          </w:p>
        </w:tc>
      </w:tr>
      <w:tr>
        <w:tc>
          <w:tcPr>
            <w:tcW w:type="dxa" w:w="95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07 May (Thu)</w:t>
            </w:r>
          </w:p>
        </w:tc>
        <w:tc>
          <w:tcPr>
            <w:tcW w:type="dxa" w:w="1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80.75</w:t>
            </w:r>
          </w:p>
        </w:tc>
        <w:tc>
          <w:tcPr>
            <w:tcW w:type="dxa" w:w="1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82.50</w:t>
            </w:r>
          </w:p>
        </w:tc>
        <w:tc>
          <w:tcPr>
            <w:tcW w:type="dxa" w:w="1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79.80</w:t>
            </w:r>
          </w:p>
        </w:tc>
        <w:tc>
          <w:tcPr>
            <w:tcW w:type="dxa" w:w="1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81.55</w:t>
            </w:r>
          </w:p>
        </w:tc>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70</w:t>
            </w:r>
          </w:p>
        </w:tc>
        <w:tc>
          <w:tcPr>
            <w:tcW w:type="dxa" w:w="1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color w:val="2E7D32"/>
                <w:sz w:val="20"/>
                <w:szCs w:val="20"/>
              </w:rPr>
              <w:t xml:space="preserve">Bullish</w:t>
            </w:r>
          </w:p>
        </w:tc>
        <w:tc>
          <w:tcPr>
            <w:tcW w:type="dxa" w:w="191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Single-source — indicative</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08 May (Fri)</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81.55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82.10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79.60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80.75</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40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color w:val="C0504D"/>
                <w:sz w:val="20"/>
                <w:szCs w:val="20"/>
              </w:rPr>
              <w:t xml:space="preserve">Bearish</w:t>
            </w:r>
          </w:p>
        </w:tc>
        <w:tc>
          <w:tcPr>
            <w:tcW w:type="dxa" w:w="19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Single-source — indicative</w:t>
            </w:r>
          </w:p>
        </w:tc>
      </w:tr>
      <w:tr>
        <w:tc>
          <w:tcPr>
            <w:tcW w:type="dxa" w:w="95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11 May (Mon)</w:t>
            </w:r>
          </w:p>
        </w:tc>
        <w:tc>
          <w:tcPr>
            <w:tcW w:type="dxa" w:w="1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80.75</w:t>
            </w:r>
          </w:p>
        </w:tc>
        <w:tc>
          <w:tcPr>
            <w:tcW w:type="dxa" w:w="1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86.30</w:t>
            </w:r>
          </w:p>
        </w:tc>
        <w:tc>
          <w:tcPr>
            <w:tcW w:type="dxa" w:w="1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80.60</w:t>
            </w:r>
          </w:p>
        </w:tc>
        <w:tc>
          <w:tcPr>
            <w:tcW w:type="dxa" w:w="1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85.85</w:t>
            </w:r>
          </w:p>
        </w:tc>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94</w:t>
            </w:r>
          </w:p>
        </w:tc>
        <w:tc>
          <w:tcPr>
            <w:tcW w:type="dxa" w:w="1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color w:val="2E7D32"/>
                <w:sz w:val="20"/>
                <w:szCs w:val="20"/>
              </w:rPr>
              <w:t xml:space="preserve">Bullish</w:t>
            </w:r>
          </w:p>
        </w:tc>
        <w:tc>
          <w:tcPr>
            <w:tcW w:type="dxa" w:w="191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USAGOLD daily; +6.31% session — flag</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12 May (Tue)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86.00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86.60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83.90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84.29</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22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color w:val="C0504D"/>
                <w:sz w:val="20"/>
                <w:szCs w:val="20"/>
              </w:rPr>
              <w:t xml:space="preserve">Bearish</w:t>
            </w:r>
          </w:p>
        </w:tc>
        <w:tc>
          <w:tcPr>
            <w:tcW w:type="dxa" w:w="19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FXStreet 12 May close; -2.0% session</w:t>
            </w:r>
          </w:p>
        </w:tc>
      </w:tr>
    </w:tbl>
    <w:p>
      <w:pPr>
        <w:spacing w:after="60" w:before="60"/>
        <w:jc w:val="left"/>
      </w:pPr>
      <w:r>
        <w:rPr>
          <w:rFonts w:ascii="Arial" w:cs="Arial" w:eastAsia="Arial" w:hAnsi="Arial"/>
          <w:b w:val="false"/>
          <w:bCs w:val="false"/>
          <w:i/>
          <w:iCs/>
          <w:sz w:val="22"/>
          <w:szCs w:val="22"/>
        </w:rPr>
        <w:t xml:space="preserve">Silver delivered its largest single-session move (≈ +6.3%) on 11 May, compressing the gold-silver ratio to 55.3, before giving back ~2% on 12 May. The pair's behaviour confirms the precious-metals risk-on episode peaking around 11 May and rolling over with the CPI print.</w:t>
      </w:r>
    </w:p>
    <w:p>
      <w:pPr>
        <w:pStyle w:val="Heading1"/>
        <w:pBdr>
          <w:bottom w:val="single" w:color="1F3864" w:sz="12" w:space="4"/>
        </w:pBdr>
        <w:spacing w:after="120" w:before="240"/>
      </w:pPr>
      <w:r>
        <w:rPr>
          <w:rFonts w:ascii="Arial" w:cs="Arial" w:eastAsia="Arial" w:hAnsi="Arial"/>
          <w:b/>
          <w:bCs/>
          <w:color w:val="1F3864"/>
          <w:sz w:val="30"/>
          <w:szCs w:val="30"/>
        </w:rPr>
        <w:t xml:space="preserve">§7  Charts</w:t>
      </w:r>
    </w:p>
    <w:p>
      <w:pPr>
        <w:spacing w:after="60" w:before="60"/>
        <w:jc w:val="left"/>
      </w:pPr>
      <w:r>
        <w:rPr>
          <w:rFonts w:ascii="Arial" w:cs="Arial" w:eastAsia="Arial" w:hAnsi="Arial"/>
          <w:b w:val="false"/>
          <w:bCs w:val="false"/>
          <w:i w:val="false"/>
          <w:iCs w:val="false"/>
          <w:sz w:val="22"/>
          <w:szCs w:val="22"/>
        </w:rPr>
        <w:t xml:space="preserve">The five chart slots configured for this instance are: 5-session OHLC candlestick, 5-session Open=0 distance, 5-week structure (≈25 sessions), comparative volatility against the dollar index and S&amp;P 500, and the smart-scale floor pivot chart with weekly candles. In this run the chart engine was not invoked over the network, and the validated OHLC data above is sourced from published market commentary rather than direct exchange feeds. The chart slots therefore appear below as schematic descriptions rather than rendered PNGs; the underlying levels and pivots they reference remain defined precisely in §6, §10, and §11.</w:t>
      </w:r>
    </w:p>
    <w:p>
      <w:pPr>
        <w:spacing w:after="60" w:before="140"/>
      </w:pPr>
      <w:r>
        <w:rPr>
          <w:rFonts w:ascii="Arial" w:cs="Arial" w:eastAsia="Arial" w:hAnsi="Arial"/>
          <w:b/>
          <w:bCs/>
          <w:color w:val="1F3864"/>
          <w:sz w:val="23"/>
          <w:szCs w:val="23"/>
        </w:rPr>
        <w:t xml:space="preserve">Chart 1 — 5-Session Candlestick (Gold, USD/oz)</w:t>
      </w:r>
    </w:p>
    <w:p>
      <w:pPr>
        <w:spacing w:after="60" w:before="60"/>
        <w:jc w:val="left"/>
      </w:pPr>
      <w:r>
        <w:rPr>
          <w:rFonts w:ascii="Arial" w:cs="Arial" w:eastAsia="Arial" w:hAnsi="Arial"/>
          <w:b w:val="false"/>
          <w:bCs w:val="false"/>
          <w:i w:val="false"/>
          <w:iCs w:val="false"/>
          <w:sz w:val="22"/>
          <w:szCs w:val="22"/>
        </w:rPr>
        <w:t xml:space="preserve">Five candles, 06–12 May. The first three sessions produce large bullish bodies marching from ~$4,565 to ~$4,750 — the recovery off the late-April $4,557 floor. The 11 May candle is bullish but with a slightly longer upper wick (rejection at $4,773). The 12 May candle prints as a clear bearish outside-day-style reversal: opens near 4,735, makes the 5-day high at 4,773, then sells off to a 4,676 low and closes near $4,704. Lower wick is moderate (close not at the low), so the read is supply rejection, not capitulation.</w:t>
      </w:r>
    </w:p>
    <w:p>
      <w:pPr>
        <w:spacing w:after="60" w:before="140"/>
      </w:pPr>
      <w:r>
        <w:rPr>
          <w:rFonts w:ascii="Arial" w:cs="Arial" w:eastAsia="Arial" w:hAnsi="Arial"/>
          <w:b/>
          <w:bCs/>
          <w:color w:val="1F3864"/>
          <w:sz w:val="23"/>
          <w:szCs w:val="23"/>
        </w:rPr>
        <w:t xml:space="preserve">Chart 2 — 5-Session Open=0 Distance (Gold)</w:t>
      </w:r>
    </w:p>
    <w:p>
      <w:pPr>
        <w:spacing w:after="60" w:before="60"/>
        <w:jc w:val="left"/>
      </w:pPr>
      <w:r>
        <w:rPr>
          <w:rFonts w:ascii="Arial" w:cs="Arial" w:eastAsia="Arial" w:hAnsi="Arial"/>
          <w:b w:val="false"/>
          <w:bCs w:val="false"/>
          <w:i w:val="false"/>
          <w:iCs w:val="false"/>
          <w:sz w:val="22"/>
          <w:szCs w:val="22"/>
        </w:rPr>
        <w:t xml:space="preserve">Each session normalised to its own open at zero. Sessions 06–08 May trace flat-to-positive distance lines (small dips, larger positive closes). 11 May shows a +$23 close drift. 12 May is the outlier: morning lift to +$38, full retrace through zero, close at −$31 from the open. The shape of the day's distance line — up-then-through-zero — confirms that supply, not absence of demand, drove the session.</w:t>
      </w:r>
    </w:p>
    <w:p>
      <w:pPr>
        <w:spacing w:after="60" w:before="140"/>
      </w:pPr>
      <w:r>
        <w:rPr>
          <w:rFonts w:ascii="Arial" w:cs="Arial" w:eastAsia="Arial" w:hAnsi="Arial"/>
          <w:b/>
          <w:bCs/>
          <w:color w:val="1F3864"/>
          <w:sz w:val="23"/>
          <w:szCs w:val="23"/>
        </w:rPr>
        <w:t xml:space="preserve">Chart 3 — 5-Week Structure (≈ 25 sessions)</w:t>
      </w:r>
    </w:p>
    <w:p>
      <w:pPr>
        <w:spacing w:after="60" w:before="60"/>
        <w:jc w:val="left"/>
      </w:pPr>
      <w:r>
        <w:rPr>
          <w:rFonts w:ascii="Arial" w:cs="Arial" w:eastAsia="Arial" w:hAnsi="Arial"/>
          <w:b w:val="false"/>
          <w:bCs w:val="false"/>
          <w:i w:val="false"/>
          <w:iCs w:val="false"/>
          <w:sz w:val="22"/>
          <w:szCs w:val="22"/>
        </w:rPr>
        <w:t xml:space="preserve">Anchors: the early-March $5,418 all-time high; the late-March/early-April decline through $4,800; the 24-25 April retest of $4,557; the May recovery into the $4,750–$4,773 zone. Higher-high structure is broken at the 5,000 level (lower high near 4,990 in late April), but the 4,557 support has held twice. Net read: medium-term still constructive trend with corrective overlay; chart pattern is a wide ascending wedge / contracting range that needs $4,800 cleared to reassert the up-leg.</w:t>
      </w:r>
    </w:p>
    <w:p>
      <w:pPr>
        <w:spacing w:after="60" w:before="140"/>
      </w:pPr>
      <w:r>
        <w:rPr>
          <w:rFonts w:ascii="Arial" w:cs="Arial" w:eastAsia="Arial" w:hAnsi="Arial"/>
          <w:b/>
          <w:bCs/>
          <w:color w:val="1F3864"/>
          <w:sz w:val="23"/>
          <w:szCs w:val="23"/>
        </w:rPr>
        <w:t xml:space="preserve">Chart 4 — Comparative Volatility (VOLator, ATR-based, historical-scaled)</w:t>
      </w:r>
    </w:p>
    <w:p>
      <w:pPr>
        <w:spacing w:after="60" w:before="60"/>
        <w:jc w:val="left"/>
      </w:pPr>
      <w:r>
        <w:rPr>
          <w:rFonts w:ascii="Arial" w:cs="Arial" w:eastAsia="Arial" w:hAnsi="Arial"/>
          <w:b w:val="false"/>
          <w:bCs w:val="false"/>
          <w:i w:val="false"/>
          <w:iCs w:val="false"/>
          <w:sz w:val="22"/>
          <w:szCs w:val="22"/>
        </w:rPr>
        <w:t xml:space="preserve">Gold ATR(14) sits at roughly $52/oz, slightly elevated versus its 25-session mean of ~$45 — VOLator scaled read is +0.4 (mildly above-trend). Dollar Index ATR(14) ~0.55 points (above-trend, +0.3). S&amp;P 500 ATR(14) ~52 points (around trend). DAX ATR(14) ~190 points (around trend). The cross-volatility read says gold is the most active of the four assets relative to its own history right now — characteristic of the wedge resolution phase, not of a freshly trending market.</w:t>
      </w:r>
    </w:p>
    <w:p>
      <w:pPr>
        <w:spacing w:after="60" w:before="140"/>
      </w:pPr>
      <w:r>
        <w:rPr>
          <w:rFonts w:ascii="Arial" w:cs="Arial" w:eastAsia="Arial" w:hAnsi="Arial"/>
          <w:b/>
          <w:bCs/>
          <w:color w:val="1F3864"/>
          <w:sz w:val="23"/>
          <w:szCs w:val="23"/>
        </w:rPr>
        <w:t xml:space="preserve">Chart 5 — Smart-Scale Floor Pivot (weekly candles)</w:t>
      </w:r>
    </w:p>
    <w:p>
      <w:pPr>
        <w:spacing w:after="60" w:before="60"/>
        <w:jc w:val="left"/>
      </w:pPr>
      <w:r>
        <w:rPr>
          <w:rFonts w:ascii="Arial" w:cs="Arial" w:eastAsia="Arial" w:hAnsi="Arial"/>
          <w:b w:val="false"/>
          <w:bCs w:val="false"/>
          <w:i w:val="false"/>
          <w:iCs w:val="false"/>
          <w:sz w:val="22"/>
          <w:szCs w:val="22"/>
        </w:rPr>
        <w:t xml:space="preserve">Weekly pivot block built off the 04–08 May session: prior weekly High 4,768 / Low 4,557 / Close 4,710.9 → P = 4,678.6, R1 = 4,800.3, R2 = 4,889.7, R3 = 5,010, S1 = 4,589.2, S2 = 4,467.5, S3 = 4,378. Current spot sits just above the pivot at 4,678.6. The two most recent weekly candles printed alongside: the 27 Apr–01 May candle (lower-low retest of the floor) and the 04–08 May candle (sharp recovery, closing in the upper third of its range). Daily and monthly pivots overlay in different colours per the chart key.</w:t>
      </w:r>
    </w:p>
    <w:p>
      <w:pPr>
        <w:pStyle w:val="Heading1"/>
        <w:pBdr>
          <w:bottom w:val="single" w:color="1F3864" w:sz="12" w:space="4"/>
        </w:pBdr>
        <w:spacing w:after="120" w:before="240"/>
      </w:pPr>
      <w:r>
        <w:rPr>
          <w:rFonts w:ascii="Arial" w:cs="Arial" w:eastAsia="Arial" w:hAnsi="Arial"/>
          <w:b/>
          <w:bCs/>
          <w:color w:val="1F3864"/>
          <w:sz w:val="30"/>
          <w:szCs w:val="30"/>
        </w:rPr>
        <w:t xml:space="preserve">§8  Short-Term Technical Analysis</w:t>
      </w:r>
    </w:p>
    <w:p>
      <w:pPr>
        <w:pStyle w:val="Heading2"/>
        <w:spacing w:after="80" w:before="200"/>
      </w:pPr>
      <w:r>
        <w:rPr>
          <w:rFonts w:ascii="Arial" w:cs="Arial" w:eastAsia="Arial" w:hAnsi="Arial"/>
          <w:b/>
          <w:bCs/>
          <w:color w:val="274E13"/>
          <w:sz w:val="26"/>
          <w:szCs w:val="26"/>
        </w:rPr>
        <w:t xml:space="preserve">Candle-by-candle (5-session block; see §6)</w:t>
      </w:r>
    </w:p>
    <w:p>
      <w:pPr>
        <w:spacing w:after="60" w:before="60"/>
        <w:jc w:val="left"/>
      </w:pPr>
      <w:r>
        <w:rPr>
          <w:rFonts w:ascii="Arial" w:cs="Arial" w:eastAsia="Arial" w:hAnsi="Arial"/>
          <w:b w:val="false"/>
          <w:bCs w:val="false"/>
          <w:i w:val="false"/>
          <w:iCs w:val="false"/>
          <w:sz w:val="22"/>
          <w:szCs w:val="22"/>
        </w:rPr>
        <w:t xml:space="preserve">06 May. Large bullish body, body ≈ 80% of range, close at the high (close-location ≈ 1.00). Upper wick negligible, lower wick small. RSI2 explodes to 92 — confirms the session's directional thrust. Signal: opening recovery leg of the rally off $4,557.</w:t>
      </w:r>
    </w:p>
    <w:p>
      <w:pPr>
        <w:spacing w:after="60" w:before="60"/>
        <w:jc w:val="left"/>
      </w:pPr>
      <w:r>
        <w:rPr>
          <w:rFonts w:ascii="Arial" w:cs="Arial" w:eastAsia="Arial" w:hAnsi="Arial"/>
          <w:b w:val="false"/>
          <w:bCs w:val="false"/>
          <w:i w:val="false"/>
          <w:iCs w:val="false"/>
          <w:sz w:val="22"/>
          <w:szCs w:val="22"/>
        </w:rPr>
        <w:t xml:space="preserve">07 May. Bullish body, body ≈ 60% of range, close in the upper third (close-location ≈ 0.75). Upper wick lengthens (rejection from $4,768). RSI2 holds at 85 — overbought-but-trending. Signal: extension; first sign of supply but no reversal.</w:t>
      </w:r>
    </w:p>
    <w:p>
      <w:pPr>
        <w:spacing w:after="60" w:before="60"/>
        <w:jc w:val="left"/>
      </w:pPr>
      <w:r>
        <w:rPr>
          <w:rFonts w:ascii="Arial" w:cs="Arial" w:eastAsia="Arial" w:hAnsi="Arial"/>
          <w:b w:val="false"/>
          <w:bCs w:val="false"/>
          <w:i w:val="false"/>
          <w:iCs w:val="false"/>
          <w:sz w:val="22"/>
          <w:szCs w:val="22"/>
        </w:rPr>
        <w:t xml:space="preserve">08 May. Doji-leaning small body (Close 4,710.9 ≈ Open 4,720). Range is wide (~$65) — upper and lower wicks both prominent. Close-location ≈ 0.50. RSI2 60. Signal: clear indecision into the weekend; profit-taking and re-positioning.</w:t>
      </w:r>
    </w:p>
    <w:p>
      <w:pPr>
        <w:spacing w:after="60" w:before="60"/>
        <w:jc w:val="left"/>
      </w:pPr>
      <w:r>
        <w:rPr>
          <w:rFonts w:ascii="Arial" w:cs="Arial" w:eastAsia="Arial" w:hAnsi="Arial"/>
          <w:b w:val="false"/>
          <w:bCs w:val="false"/>
          <w:i w:val="false"/>
          <w:iCs w:val="false"/>
          <w:sz w:val="22"/>
          <w:szCs w:val="22"/>
        </w:rPr>
        <w:t xml:space="preserve">11 May. Bullish body of moderate size, close near the high. Upper wick small but a fresh three-week high tagged at $4,765. RSI2 75 — momentum re-asserted into the CPI print. Signal: bid is back, but on lower body-to-range ratio than 06 May.</w:t>
      </w:r>
    </w:p>
    <w:p>
      <w:pPr>
        <w:spacing w:after="60" w:before="60"/>
        <w:jc w:val="left"/>
      </w:pPr>
      <w:r>
        <w:rPr>
          <w:rFonts w:ascii="Arial" w:cs="Arial" w:eastAsia="Arial" w:hAnsi="Arial"/>
          <w:b w:val="false"/>
          <w:bCs w:val="false"/>
          <w:i w:val="false"/>
          <w:iCs w:val="false"/>
          <w:sz w:val="22"/>
          <w:szCs w:val="22"/>
        </w:rPr>
        <w:t xml:space="preserve">12 May. Bearish outside-day. Body ≈ 45% of range; upper wick LONG ($38 from the open's high to the day's high then reverse); lower wick moderate ($28). Close-location ≈ 0.30 (in the lower third). RSI2 collapses to 32 — confirms the bearish session direction. Signal: supply rejected the $4,773 high decisively after CPI; close did not break support, but the candle is the bearish reference in the 5-day block.</w:t>
      </w:r>
    </w:p>
    <w:p>
      <w:pPr>
        <w:pStyle w:val="Heading2"/>
        <w:spacing w:after="80" w:before="200"/>
      </w:pPr>
      <w:r>
        <w:rPr>
          <w:rFonts w:ascii="Arial" w:cs="Arial" w:eastAsia="Arial" w:hAnsi="Arial"/>
          <w:b/>
          <w:bCs/>
          <w:color w:val="274E13"/>
          <w:sz w:val="26"/>
          <w:szCs w:val="26"/>
        </w:rPr>
        <w:t xml:space="preserve">Sequence Assessment (5-session block)</w:t>
      </w:r>
    </w:p>
    <w:p>
      <w:pPr>
        <w:spacing w:after="60" w:before="60"/>
        <w:jc w:val="left"/>
      </w:pPr>
      <w:r>
        <w:rPr>
          <w:rFonts w:ascii="Arial" w:cs="Arial" w:eastAsia="Arial" w:hAnsi="Arial"/>
          <w:b w:val="false"/>
          <w:bCs w:val="false"/>
          <w:i w:val="false"/>
          <w:iCs w:val="false"/>
          <w:sz w:val="22"/>
          <w:szCs w:val="22"/>
        </w:rPr>
        <w:t xml:space="preserve">Sessions 1–3 (06, 07, 08 May) are a continuation followed by indecision. Sessions 4–5 (11, 12 May) form a bullish-then-bearish reversal pair, with the 12 May candle exhibiting exhaustion characteristics: extended range, prominent upper wick, close reverting toward — but not through — the prior opening cluster ($4,690–$4,720). The 5-day overlap profile is high: every session except 06 May overlaps the prior session's body. RSI2 has fully oscillated through the 50 line (compression toward 50 visible in the 8 May print, blow-off above 75 on 11 May, collapse below 35 on 12 May).</w:t>
      </w:r>
    </w:p>
    <w:p>
      <w:pPr>
        <w:spacing w:after="60" w:before="60"/>
        <w:jc w:val="left"/>
      </w:pPr>
      <w:r>
        <w:rPr>
          <w:rFonts w:ascii="Arial" w:cs="Arial" w:eastAsia="Arial" w:hAnsi="Arial"/>
          <w:b w:val="false"/>
          <w:bCs w:val="false"/>
          <w:i w:val="false"/>
          <w:iCs w:val="false"/>
          <w:sz w:val="22"/>
          <w:szCs w:val="22"/>
        </w:rPr>
        <w:t xml:space="preserve">Net sequence label: TRANSITIONAL with EXHAUSTION characteristics in the most recent candle. Direction tilt MIXED with a slight downside bias for the immediate next session, conditional on the PPI print. No clean continuation read.</w:t>
      </w:r>
    </w:p>
    <w:p>
      <w:pPr>
        <w:pStyle w:val="Heading1"/>
        <w:pBdr>
          <w:bottom w:val="single" w:color="1F3864" w:sz="12" w:space="4"/>
        </w:pBdr>
        <w:spacing w:after="120" w:before="240"/>
      </w:pPr>
      <w:r>
        <w:rPr>
          <w:rFonts w:ascii="Arial" w:cs="Arial" w:eastAsia="Arial" w:hAnsi="Arial"/>
          <w:b/>
          <w:bCs/>
          <w:color w:val="1F3864"/>
          <w:sz w:val="30"/>
          <w:szCs w:val="30"/>
        </w:rPr>
        <w:t xml:space="preserve">§9  Medium-Term Regime &amp; VOLator</w:t>
      </w:r>
    </w:p>
    <w:p>
      <w:pPr>
        <w:pStyle w:val="Heading2"/>
        <w:spacing w:after="80" w:before="200"/>
      </w:pPr>
      <w:r>
        <w:rPr>
          <w:rFonts w:ascii="Arial" w:cs="Arial" w:eastAsia="Arial" w:hAnsi="Arial"/>
          <w:b/>
          <w:bCs/>
          <w:color w:val="274E13"/>
          <w:sz w:val="26"/>
          <w:szCs w:val="26"/>
        </w:rPr>
        <w:t xml:space="preserve">25-session medium-term block</w:t>
      </w:r>
    </w:p>
    <w:p>
      <w:pPr>
        <w:spacing w:after="60" w:before="60"/>
        <w:jc w:val="left"/>
      </w:pPr>
      <w:r>
        <w:rPr>
          <w:rFonts w:ascii="Arial" w:cs="Arial" w:eastAsia="Arial" w:hAnsi="Arial"/>
          <w:b w:val="false"/>
          <w:bCs w:val="false"/>
          <w:i w:val="false"/>
          <w:iCs w:val="false"/>
          <w:sz w:val="22"/>
          <w:szCs w:val="22"/>
        </w:rPr>
        <w:t xml:space="preserve">Across the trailing ~25 sessions (early April through 12 May), gold has produced: (i) a decline from the $4,900–$5,000 zone through $4,800 in early-to-mid April, (ii) a deeper move to a swing low of $4,557 on 24 April, (iii) a partial recovery through the first week of May to $4,693 by 06 May, (iv) the extension to $4,773 on 12 May, and (v) yesterday's pullback. The medium-term structure is therefore not a clean trending regime — it is a corrective/ranging band with a higher-low pattern (relative to mid-April lows) and a lower-high pattern (relative to the March all-time high). The dominant frame is RANGE, with bullish bias inside the range, capped at $4,800–$4,820 and floored at $4,557.</w:t>
      </w:r>
    </w:p>
    <w:p>
      <w:pPr>
        <w:pStyle w:val="Heading2"/>
        <w:spacing w:after="80" w:before="200"/>
      </w:pPr>
      <w:r>
        <w:rPr>
          <w:rFonts w:ascii="Arial" w:cs="Arial" w:eastAsia="Arial" w:hAnsi="Arial"/>
          <w:b/>
          <w:bCs/>
          <w:color w:val="274E13"/>
          <w:sz w:val="26"/>
          <w:szCs w:val="26"/>
        </w:rPr>
        <w:t xml:space="preserve">VOLator (ATR-based, historical-scaled)</w:t>
      </w:r>
    </w:p>
    <w:p>
      <w:pPr>
        <w:spacing w:after="60" w:before="60"/>
        <w:jc w:val="left"/>
      </w:pPr>
      <w:r>
        <w:rPr>
          <w:rFonts w:ascii="Arial" w:cs="Arial" w:eastAsia="Arial" w:hAnsi="Arial"/>
          <w:b w:val="false"/>
          <w:bCs w:val="false"/>
          <w:i w:val="false"/>
          <w:iCs w:val="false"/>
          <w:sz w:val="22"/>
          <w:szCs w:val="22"/>
        </w:rPr>
        <w:t xml:space="preserve">Gold ATR(14) ≈ $52/oz versus 25-session mean ≈ $45/oz. Historical-scaled VOLator reading: +0.4 (mildly elevated, clipped to ±1). Implication: realised vol has expanded since late April but is not at crisis levels. Stop-distance assumptions for §21 work off ATR(14) = $52. Cross-asset volatility readings (USDX VOLator +0.3, S&amp;P 500 ≈ 0, DAX ≈ 0) put gold as the highest-vol asset in the cross-section.</w:t>
      </w:r>
    </w:p>
    <w:p>
      <w:pPr>
        <w:pStyle w:val="Heading2"/>
        <w:spacing w:after="80" w:before="200"/>
      </w:pPr>
      <w:r>
        <w:rPr>
          <w:rFonts w:ascii="Arial" w:cs="Arial" w:eastAsia="Arial" w:hAnsi="Arial"/>
          <w:b/>
          <w:bCs/>
          <w:color w:val="274E13"/>
          <w:sz w:val="26"/>
          <w:szCs w:val="26"/>
        </w:rPr>
        <w:t xml:space="preserve">Kaufman Efficiency Ratio (13-period, 3-EMA smoothed)</w:t>
      </w:r>
    </w:p>
    <w:p>
      <w:pPr>
        <w:spacing w:after="60" w:before="60"/>
        <w:jc w:val="left"/>
      </w:pPr>
      <w:r>
        <w:rPr>
          <w:rFonts w:ascii="Arial" w:cs="Arial" w:eastAsia="Arial" w:hAnsi="Arial"/>
          <w:b w:val="false"/>
          <w:bCs w:val="false"/>
          <w:i w:val="false"/>
          <w:iCs w:val="false"/>
          <w:sz w:val="22"/>
          <w:szCs w:val="22"/>
        </w:rPr>
        <w:t xml:space="preserve">Latest smoothed KER ≈ 0.07. With trend threshold 0.13 and range-up boundary 0.09, the read classifies as RANGING — no efficient directional move over the 13-session window. KER confirms the §8 transitional read and contradicts an aggressive trend-following protocol.</w:t>
      </w:r>
    </w:p>
    <w:p>
      <w:pPr>
        <w:pStyle w:val="Heading1"/>
        <w:pBdr>
          <w:bottom w:val="single" w:color="1F3864" w:sz="12" w:space="4"/>
        </w:pBdr>
        <w:spacing w:after="120" w:before="240"/>
      </w:pPr>
      <w:r>
        <w:rPr>
          <w:rFonts w:ascii="Arial" w:cs="Arial" w:eastAsia="Arial" w:hAnsi="Arial"/>
          <w:b/>
          <w:bCs/>
          <w:color w:val="1F3864"/>
          <w:sz w:val="30"/>
          <w:szCs w:val="30"/>
        </w:rPr>
        <w:t xml:space="preserve">§10  Cross-Asset Analysis</w:t>
      </w:r>
    </w:p>
    <w:p>
      <w:pPr>
        <w:spacing w:after="60" w:before="140"/>
      </w:pPr>
      <w:r>
        <w:rPr>
          <w:rFonts w:ascii="Arial" w:cs="Arial" w:eastAsia="Arial" w:hAnsi="Arial"/>
          <w:b/>
          <w:bCs/>
          <w:color w:val="274E13"/>
          <w:sz w:val="23"/>
          <w:szCs w:val="23"/>
        </w:rPr>
        <w:t xml:space="preserve">Dollar Index — primary counter (inverse correlation dominant)</w:t>
      </w:r>
    </w:p>
    <w:p>
      <w:pPr>
        <w:spacing w:after="60" w:before="60"/>
        <w:jc w:val="left"/>
      </w:pPr>
      <w:r>
        <w:rPr>
          <w:rFonts w:ascii="Arial" w:cs="Arial" w:eastAsia="Arial" w:hAnsi="Arial"/>
          <w:b w:val="false"/>
          <w:bCs w:val="false"/>
          <w:i w:val="false"/>
          <w:iCs w:val="false"/>
          <w:sz w:val="22"/>
          <w:szCs w:val="22"/>
        </w:rPr>
        <w:t xml:space="preserve">Dollar Index moved from 97.84 (8 May close) to ~97.96 on 11 May, then back above 98 on 12 May after the Iran proposal rejection and the hot April CPI. The 12 May intraday high was 98.41. Direction: bullish-rebound, short-term up. Mechanism for gold: rising dollar tightens financial conditions and raises the USD-cost of holding non-yielding bullion — gold-negative confirmation of yesterday's pullback. The 98–100 zone is the cap that has bracketed the dollar for most of 2026, so further upside is plausible but capped.</w:t>
      </w:r>
    </w:p>
    <w:p>
      <w:pPr>
        <w:spacing w:after="60" w:before="140"/>
      </w:pPr>
      <w:r>
        <w:rPr>
          <w:rFonts w:ascii="Arial" w:cs="Arial" w:eastAsia="Arial" w:hAnsi="Arial"/>
          <w:b/>
          <w:bCs/>
          <w:color w:val="274E13"/>
          <w:sz w:val="23"/>
          <w:szCs w:val="23"/>
        </w:rPr>
        <w:t xml:space="preserve">S&amp;P 500 — risk-on / risk-off proxy</w:t>
      </w:r>
    </w:p>
    <w:p>
      <w:pPr>
        <w:spacing w:after="60" w:before="60"/>
        <w:jc w:val="left"/>
      </w:pPr>
      <w:r>
        <w:rPr>
          <w:rFonts w:ascii="Arial" w:cs="Arial" w:eastAsia="Arial" w:hAnsi="Arial"/>
          <w:b w:val="false"/>
          <w:bCs w:val="false"/>
          <w:i w:val="false"/>
          <w:iCs w:val="false"/>
          <w:sz w:val="22"/>
          <w:szCs w:val="22"/>
        </w:rPr>
        <w:t xml:space="preserve">S&amp;P 500 printed a record close at 7,412.84 on 11 May, then traded down to mid-7,350s intraday on 12 May (-0.81% at the lows) on the CPI print before recovering toward the 7,387 area. Direction: at-record but rolling-over short-term; risk-on intact at the index level but with some fatigue. Mechanism for gold: index strength absorbs some of the safe-haven flow that might otherwise back gold; index weakness redirects flow. With equities just off all-time highs and trading two-sided, the cross-asset gold read is neutral.</w:t>
      </w:r>
    </w:p>
    <w:p>
      <w:pPr>
        <w:spacing w:after="60" w:before="140"/>
      </w:pPr>
      <w:r>
        <w:rPr>
          <w:rFonts w:ascii="Arial" w:cs="Arial" w:eastAsia="Arial" w:hAnsi="Arial"/>
          <w:b/>
          <w:bCs/>
          <w:color w:val="274E13"/>
          <w:sz w:val="23"/>
          <w:szCs w:val="23"/>
        </w:rPr>
        <w:t xml:space="preserve">DAX 40 — European confirmation</w:t>
      </w:r>
    </w:p>
    <w:p>
      <w:pPr>
        <w:spacing w:after="60" w:before="60"/>
        <w:jc w:val="left"/>
      </w:pPr>
      <w:r>
        <w:rPr>
          <w:rFonts w:ascii="Arial" w:cs="Arial" w:eastAsia="Arial" w:hAnsi="Arial"/>
          <w:b w:val="false"/>
          <w:bCs w:val="false"/>
          <w:i w:val="false"/>
          <w:iCs w:val="false"/>
          <w:sz w:val="22"/>
          <w:szCs w:val="22"/>
        </w:rPr>
        <w:t xml:space="preserve">DAX closed flat on 11 May at 24,350 (+0.05%) and is broadly flat going into 12-13 May, with the Frankfurt session reading the Middle East / energy stack as a sentiment headwind even though earnings have surprised to the upside. Direction: flat / mild-positive. Mechanism: corroborates the S&amp;P 500 read — European risk appetite is not pulling capital toward defensive bullion strongly, so the safe-haven bid into gold is single-channel (geopolitics + central banks) rather than three-channel.</w:t>
      </w:r>
    </w:p>
    <w:p>
      <w:pPr>
        <w:spacing w:after="60" w:before="60"/>
        <w:jc w:val="left"/>
      </w:pPr>
      <w:r>
        <w:rPr>
          <w:rFonts w:ascii="Arial" w:cs="Arial" w:eastAsia="Arial" w:hAnsi="Arial"/>
          <w:b w:val="false"/>
          <w:bCs w:val="false"/>
          <w:i w:val="false"/>
          <w:iCs w:val="false"/>
          <w:sz w:val="22"/>
          <w:szCs w:val="22"/>
        </w:rPr>
        <w:t xml:space="preserve">Cross-asset confirmation summary: dollar strength is the active gold-negative; equities are neutral; the net counter read on 12-13 May is mildly bearish for gold in the immediate session, but does not invalidate the medium-term range thesis.</w:t>
      </w:r>
    </w:p>
    <w:p>
      <w:pPr>
        <w:pStyle w:val="Heading1"/>
        <w:pBdr>
          <w:bottom w:val="single" w:color="1F3864" w:sz="12" w:space="4"/>
        </w:pBdr>
        <w:spacing w:after="120" w:before="240"/>
      </w:pPr>
      <w:r>
        <w:rPr>
          <w:rFonts w:ascii="Arial" w:cs="Arial" w:eastAsia="Arial" w:hAnsi="Arial"/>
          <w:b/>
          <w:bCs/>
          <w:color w:val="1F3864"/>
          <w:sz w:val="30"/>
          <w:szCs w:val="30"/>
        </w:rPr>
        <w:t xml:space="preserve">§11  Floor Pivot Analysis</w:t>
      </w:r>
    </w:p>
    <w:p>
      <w:pPr>
        <w:spacing w:after="60" w:before="140"/>
      </w:pPr>
      <w:r>
        <w:rPr>
          <w:rFonts w:ascii="Arial" w:cs="Arial" w:eastAsia="Arial" w:hAnsi="Arial"/>
          <w:b/>
          <w:bCs/>
          <w:color w:val="274E13"/>
          <w:sz w:val="23"/>
          <w:szCs w:val="23"/>
        </w:rPr>
        <w:t xml:space="preserve">Daily pivots — derived from 12 May H/L/C (H=4,773.4 · L=4,676.4 · C=4,704.3)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20" w:before="20"/>
              <w:jc w:val="left"/>
            </w:pPr>
            <w:r>
              <w:rPr>
                <w:rFonts w:ascii="Arial" w:cs="Arial" w:eastAsia="Arial" w:hAnsi="Arial"/>
                <w:b/>
                <w:bCs/>
                <w:color w:val="FFFFFF"/>
                <w:sz w:val="20"/>
                <w:szCs w:val="20"/>
              </w:rPr>
              <w:t xml:space="preserve">Level</w:t>
            </w:r>
          </w:p>
        </w:tc>
        <w:tc>
          <w:tcPr>
            <w:tcW w:type="dxa" w:w="24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20" w:before="20"/>
              <w:jc w:val="left"/>
            </w:pPr>
            <w:r>
              <w:rPr>
                <w:rFonts w:ascii="Arial" w:cs="Arial" w:eastAsia="Arial" w:hAnsi="Arial"/>
                <w:b/>
                <w:bCs/>
                <w:color w:val="FFFFFF"/>
                <w:sz w:val="20"/>
                <w:szCs w:val="20"/>
              </w:rPr>
              <w:t xml:space="preserve">Price (USD/oz)</w:t>
            </w:r>
          </w:p>
        </w:tc>
        <w:tc>
          <w:tcPr>
            <w:tcW w:type="dxa" w:w="47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20" w:before="20"/>
              <w:jc w:val="left"/>
            </w:pPr>
            <w:r>
              <w:rPr>
                <w:rFonts w:ascii="Arial" w:cs="Arial" w:eastAsia="Arial" w:hAnsi="Arial"/>
                <w:b/>
                <w:bCs/>
                <w:color w:val="FFFFFF"/>
                <w:sz w:val="20"/>
                <w:szCs w:val="20"/>
              </w:rPr>
              <w:t xml:space="preserve">Notes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R3</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4,847.4</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Daily upside extension; outside ATR range</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R2</w:t>
            </w:r>
          </w:p>
        </w:tc>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4,815.7</w:t>
            </w:r>
          </w:p>
        </w:tc>
        <w:tc>
          <w:tcPr>
            <w:tcW w:type="dxa" w:w="47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Daily R2; near weekly R1</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R1</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4,750.4</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Daily R1; aligns with 11 May high</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Daily Pivot (DP)</w:t>
            </w:r>
          </w:p>
        </w:tc>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4,718.0</w:t>
            </w:r>
          </w:p>
        </w:tc>
        <w:tc>
          <w:tcPr>
            <w:tcW w:type="dxa" w:w="47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Reference for session bias; rejection level on Tuesday open</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S1</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4,653.0</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Daily S1; first level under spot</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S2</w:t>
            </w:r>
          </w:p>
        </w:tc>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4,621.3</w:t>
            </w:r>
          </w:p>
        </w:tc>
        <w:tc>
          <w:tcPr>
            <w:tcW w:type="dxa" w:w="47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Daily S2; near 04 May low</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S3</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4,556.0</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Daily S3; coincides with the 24 Apr structural floor</w:t>
            </w:r>
          </w:p>
        </w:tc>
      </w:tr>
    </w:tbl>
    <w:p>
      <w:pPr>
        <w:spacing w:after="60" w:before="140"/>
      </w:pPr>
      <w:r>
        <w:rPr>
          <w:rFonts w:ascii="Arial" w:cs="Arial" w:eastAsia="Arial" w:hAnsi="Arial"/>
          <w:b/>
          <w:bCs/>
          <w:color w:val="274E13"/>
          <w:sz w:val="23"/>
          <w:szCs w:val="23"/>
        </w:rPr>
        <w:t xml:space="preserve">Weekly pivots — derived from 04–08 May H/L/C (H=4,768 · L=4,557 · C=4,710.9)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20" w:before="20"/>
              <w:jc w:val="left"/>
            </w:pPr>
            <w:r>
              <w:rPr>
                <w:rFonts w:ascii="Arial" w:cs="Arial" w:eastAsia="Arial" w:hAnsi="Arial"/>
                <w:b/>
                <w:bCs/>
                <w:color w:val="FFFFFF"/>
                <w:sz w:val="20"/>
                <w:szCs w:val="20"/>
              </w:rPr>
              <w:t xml:space="preserve">Level</w:t>
            </w:r>
          </w:p>
        </w:tc>
        <w:tc>
          <w:tcPr>
            <w:tcW w:type="dxa" w:w="24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20" w:before="20"/>
              <w:jc w:val="left"/>
            </w:pPr>
            <w:r>
              <w:rPr>
                <w:rFonts w:ascii="Arial" w:cs="Arial" w:eastAsia="Arial" w:hAnsi="Arial"/>
                <w:b/>
                <w:bCs/>
                <w:color w:val="FFFFFF"/>
                <w:sz w:val="20"/>
                <w:szCs w:val="20"/>
              </w:rPr>
              <w:t xml:space="preserve">Price (USD/oz)</w:t>
            </w:r>
          </w:p>
        </w:tc>
        <w:tc>
          <w:tcPr>
            <w:tcW w:type="dxa" w:w="47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20" w:before="20"/>
              <w:jc w:val="left"/>
            </w:pPr>
            <w:r>
              <w:rPr>
                <w:rFonts w:ascii="Arial" w:cs="Arial" w:eastAsia="Arial" w:hAnsi="Arial"/>
                <w:b/>
                <w:bCs/>
                <w:color w:val="FFFFFF"/>
                <w:sz w:val="20"/>
                <w:szCs w:val="20"/>
              </w:rPr>
              <w:t xml:space="preserve">Notes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R3</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5,010</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Weekly R3</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R2</w:t>
            </w:r>
          </w:p>
        </w:tc>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4,889.7</w:t>
            </w:r>
          </w:p>
        </w:tc>
        <w:tc>
          <w:tcPr>
            <w:tcW w:type="dxa" w:w="47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Weekly R2; near old $4,900 swing</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R1</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4,800.3</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Weekly R1; primary upside target</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Weekly Pivot (WP)</w:t>
            </w:r>
          </w:p>
        </w:tc>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4,678.6</w:t>
            </w:r>
          </w:p>
        </w:tc>
        <w:tc>
          <w:tcPr>
            <w:tcW w:type="dxa" w:w="47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Spot is just above WP — bullish-of-pivot bias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S1</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4,589.2</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Weekly S1</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S2</w:t>
            </w:r>
          </w:p>
        </w:tc>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4,467.5</w:t>
            </w:r>
          </w:p>
        </w:tc>
        <w:tc>
          <w:tcPr>
            <w:tcW w:type="dxa" w:w="47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Weekly S2</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S3</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4,378.0</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Weekly S3</w:t>
            </w:r>
          </w:p>
        </w:tc>
      </w:tr>
    </w:tbl>
    <w:p>
      <w:pPr>
        <w:spacing w:after="60" w:before="140"/>
      </w:pPr>
      <w:r>
        <w:rPr>
          <w:rFonts w:ascii="Arial" w:cs="Arial" w:eastAsia="Arial" w:hAnsi="Arial"/>
          <w:b/>
          <w:bCs/>
          <w:color w:val="274E13"/>
          <w:sz w:val="23"/>
          <w:szCs w:val="23"/>
        </w:rPr>
        <w:t xml:space="preserve">Monthly pivots — derived from April 2026 H/L/C (H≈5,090 · L=4,557 · C≈4,710)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20" w:before="20"/>
              <w:jc w:val="left"/>
            </w:pPr>
            <w:r>
              <w:rPr>
                <w:rFonts w:ascii="Arial" w:cs="Arial" w:eastAsia="Arial" w:hAnsi="Arial"/>
                <w:b/>
                <w:bCs/>
                <w:color w:val="FFFFFF"/>
                <w:sz w:val="20"/>
                <w:szCs w:val="20"/>
              </w:rPr>
              <w:t xml:space="preserve">Level</w:t>
            </w:r>
          </w:p>
        </w:tc>
        <w:tc>
          <w:tcPr>
            <w:tcW w:type="dxa" w:w="24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20" w:before="20"/>
              <w:jc w:val="left"/>
            </w:pPr>
            <w:r>
              <w:rPr>
                <w:rFonts w:ascii="Arial" w:cs="Arial" w:eastAsia="Arial" w:hAnsi="Arial"/>
                <w:b/>
                <w:bCs/>
                <w:color w:val="FFFFFF"/>
                <w:sz w:val="20"/>
                <w:szCs w:val="20"/>
              </w:rPr>
              <w:t xml:space="preserve">Price (USD/oz)</w:t>
            </w:r>
          </w:p>
        </w:tc>
        <w:tc>
          <w:tcPr>
            <w:tcW w:type="dxa" w:w="47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20" w:before="20"/>
              <w:jc w:val="left"/>
            </w:pPr>
            <w:r>
              <w:rPr>
                <w:rFonts w:ascii="Arial" w:cs="Arial" w:eastAsia="Arial" w:hAnsi="Arial"/>
                <w:b/>
                <w:bCs/>
                <w:color w:val="FFFFFF"/>
                <w:sz w:val="20"/>
                <w:szCs w:val="20"/>
              </w:rPr>
              <w:t xml:space="preserve">Notes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R3</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5,565</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Monthly R3 — outside the realistic May range</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R2</w:t>
            </w:r>
          </w:p>
        </w:tc>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5,243</w:t>
            </w:r>
          </w:p>
        </w:tc>
        <w:tc>
          <w:tcPr>
            <w:tcW w:type="dxa" w:w="47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Monthly R2</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R1</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4,977</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Monthly R1; coincident with 30-day high</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Monthly Pivot (MP)</w:t>
            </w:r>
          </w:p>
        </w:tc>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4,786</w:t>
            </w:r>
          </w:p>
        </w:tc>
        <w:tc>
          <w:tcPr>
            <w:tcW w:type="dxa" w:w="47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Monthly pivot — sits between weekly R1 and weekly R2</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S1</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4,519</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Monthly S1</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S2</w:t>
            </w:r>
          </w:p>
        </w:tc>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4,253</w:t>
            </w:r>
          </w:p>
        </w:tc>
        <w:tc>
          <w:tcPr>
            <w:tcW w:type="dxa" w:w="47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Monthly S2</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S3</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3,987</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Monthly S3</w:t>
            </w:r>
          </w:p>
        </w:tc>
      </w:tr>
    </w:tbl>
    <w:p>
      <w:pPr>
        <w:spacing w:after="60" w:before="60"/>
        <w:jc w:val="left"/>
      </w:pPr>
      <w:r>
        <w:rPr>
          <w:rFonts w:ascii="Arial" w:cs="Arial" w:eastAsia="Arial" w:hAnsi="Arial"/>
          <w:b w:val="false"/>
          <w:bCs w:val="false"/>
          <w:i w:val="false"/>
          <w:iCs w:val="false"/>
          <w:sz w:val="22"/>
          <w:szCs w:val="22"/>
        </w:rPr>
        <w:t xml:space="preserve">Confluence map. Daily DP (4,718) sits just below the most recent close — flagged as the immediate intraday bias toggle. Weekly WP (4,678.6) is the structurally meaningful pivot: spot opens 13 May just above it. Daily S1 (4,653) and the round $4,650 cluster define the first downside test. Daily R1 (4,750) and the 11 May high (4,765–4,773) form an obvious upside resistance shelf, with Weekly R1 at $4,800 the gateway to the medium-term reassertion.</w:t>
      </w:r>
    </w:p>
    <w:p>
      <w:pPr>
        <w:spacing w:after="60" w:before="60"/>
        <w:jc w:val="left"/>
      </w:pPr>
      <w:r>
        <w:rPr>
          <w:rFonts w:ascii="Arial" w:cs="Arial" w:eastAsia="Arial" w:hAnsi="Arial"/>
          <w:b w:val="false"/>
          <w:bCs w:val="false"/>
          <w:i/>
          <w:iCs/>
          <w:color w:val="595959"/>
          <w:sz w:val="22"/>
          <w:szCs w:val="22"/>
        </w:rPr>
        <w:t xml:space="preserve">Pivot prior-period H/L/C inputs are derived from the OHLC table in §6, which itself carries single-source-indicative flags on several fields. All pivot levels above are therefore indicative rather than two-source-corroborated and must be treated as analytical anchors rather than settlement-grade references. See §19.</w:t>
      </w:r>
    </w:p>
    <w:p>
      <w:pPr>
        <w:pStyle w:val="Heading1"/>
        <w:pBdr>
          <w:bottom w:val="single" w:color="1F3864" w:sz="12" w:space="4"/>
        </w:pBdr>
        <w:spacing w:after="120" w:before="240"/>
      </w:pPr>
      <w:r>
        <w:rPr>
          <w:rFonts w:ascii="Arial" w:cs="Arial" w:eastAsia="Arial" w:hAnsi="Arial"/>
          <w:b/>
          <w:bCs/>
          <w:color w:val="1F3864"/>
          <w:sz w:val="30"/>
          <w:szCs w:val="30"/>
        </w:rPr>
        <w:t xml:space="preserve">§12  Key Market Considerations</w:t>
      </w:r>
    </w:p>
    <w:p>
      <w:pPr>
        <w:spacing w:after="60" w:before="140"/>
      </w:pPr>
      <w:r>
        <w:rPr>
          <w:rFonts w:ascii="Arial" w:cs="Arial" w:eastAsia="Arial" w:hAnsi="Arial"/>
          <w:b/>
          <w:bCs/>
          <w:color w:val="1F3864"/>
          <w:sz w:val="23"/>
          <w:szCs w:val="23"/>
        </w:rPr>
        <w:t xml:space="preserve">Supply — neutral to mildly supportive</w:t>
      </w:r>
    </w:p>
    <w:p>
      <w:pPr>
        <w:spacing w:after="60" w:before="60"/>
        <w:jc w:val="left"/>
      </w:pPr>
      <w:r>
        <w:rPr>
          <w:rFonts w:ascii="Arial" w:cs="Arial" w:eastAsia="Arial" w:hAnsi="Arial"/>
          <w:b w:val="false"/>
          <w:bCs w:val="false"/>
          <w:i w:val="false"/>
          <w:iCs w:val="false"/>
          <w:sz w:val="22"/>
          <w:szCs w:val="22"/>
        </w:rPr>
        <w:t xml:space="preserve">Q1 2026 central bank purchases totalled an estimated 244 tonnes globally per the World Gold Council, with the National Bank of Poland (+31t), Uzbekistan (+25t), and the PBoC (+7t) leading the buyers list. PBoC reported holdings reached 2,313 tonnes, 9% of total reserves. Chinese mine production declined in Q1 on smelter-maintenance shutdowns. Net effect: structural sovereign demand remains the single largest supply-side absorption mechanism in the market and gives gold a hard floor in the $4,500–$4,600 zone. Status: PRICE-SUPPORTIVE (structural).</w:t>
      </w:r>
    </w:p>
    <w:p>
      <w:pPr>
        <w:spacing w:after="60" w:before="140"/>
      </w:pPr>
      <w:r>
        <w:rPr>
          <w:rFonts w:ascii="Arial" w:cs="Arial" w:eastAsia="Arial" w:hAnsi="Arial"/>
          <w:b/>
          <w:bCs/>
          <w:color w:val="1F3864"/>
          <w:sz w:val="23"/>
          <w:szCs w:val="23"/>
        </w:rPr>
        <w:t xml:space="preserve">Demand — mixed</w:t>
      </w:r>
    </w:p>
    <w:p>
      <w:pPr>
        <w:spacing w:after="60" w:before="60"/>
        <w:jc w:val="left"/>
      </w:pPr>
      <w:r>
        <w:rPr>
          <w:rFonts w:ascii="Arial" w:cs="Arial" w:eastAsia="Arial" w:hAnsi="Arial"/>
          <w:b w:val="false"/>
          <w:bCs w:val="false"/>
          <w:i w:val="false"/>
          <w:iCs w:val="false"/>
          <w:sz w:val="22"/>
          <w:szCs w:val="22"/>
        </w:rPr>
        <w:t xml:space="preserve">Investment demand: ETF flows positive year-to-date; physical premiums in wholesale markets remain firm at current levels per USAGOLD daily commentary. Jewellery / retail demand: stressed in India — PM Modi publicly called on citizens to pause gold purchases as the US-Iran war pressures the rupee and FX reserves. India is the world's second-largest buyer and spent ~$72 bn on gold imports in fiscal year 2026; a sustained Modi-driven slowdown would be a meaningful negative swing factor. Net: investment demand supportive, retail demand softening. Status: NEUTRAL with downside risk if Indian demand drag persists.</w:t>
      </w:r>
    </w:p>
    <w:p>
      <w:pPr>
        <w:spacing w:after="60" w:before="140"/>
      </w:pPr>
      <w:r>
        <w:rPr>
          <w:rFonts w:ascii="Arial" w:cs="Arial" w:eastAsia="Arial" w:hAnsi="Arial"/>
          <w:b/>
          <w:bCs/>
          <w:color w:val="1F3864"/>
          <w:sz w:val="23"/>
          <w:szCs w:val="23"/>
        </w:rPr>
        <w:t xml:space="preserve">Substitution and spread dynamics</w:t>
      </w:r>
    </w:p>
    <w:p>
      <w:pPr>
        <w:spacing w:after="60" w:before="60"/>
        <w:jc w:val="left"/>
      </w:pPr>
      <w:r>
        <w:rPr>
          <w:rFonts w:ascii="Arial" w:cs="Arial" w:eastAsia="Arial" w:hAnsi="Arial"/>
          <w:b w:val="false"/>
          <w:bCs w:val="false"/>
          <w:i w:val="false"/>
          <w:iCs w:val="false"/>
          <w:sz w:val="22"/>
          <w:szCs w:val="22"/>
        </w:rPr>
        <w:t xml:space="preserve">Gold-silver ratio compressed to 55.3 on 11 May after silver's +6.3% session, marking a multi-year low and signalling that money rotating into precious metals is currently favouring silver's industrial + monetary dual exposure (solar, AI data-centre buildouts, persistent silver supply deficit into a sixth consecutive year). For gold itself this is mildly negative on the rotation channel but supportive of the broader precious-metals complex thesis. Platinum was at $2,043 (slightly down on 11 May), palladium at $1,485 (slightly down). Status: NEUTRAL for gold standalone; supportive of complex.</w:t>
      </w:r>
    </w:p>
    <w:p>
      <w:pPr>
        <w:spacing w:after="60" w:before="140"/>
      </w:pPr>
      <w:r>
        <w:rPr>
          <w:rFonts w:ascii="Arial" w:cs="Arial" w:eastAsia="Arial" w:hAnsi="Arial"/>
          <w:b/>
          <w:bCs/>
          <w:color w:val="1F3864"/>
          <w:sz w:val="23"/>
          <w:szCs w:val="23"/>
        </w:rPr>
        <w:t xml:space="preserve">Policy and regulation — mildly gold-negative</w:t>
      </w:r>
    </w:p>
    <w:p>
      <w:pPr>
        <w:spacing w:after="60" w:before="60"/>
        <w:jc w:val="left"/>
      </w:pPr>
      <w:r>
        <w:rPr>
          <w:rFonts w:ascii="Arial" w:cs="Arial" w:eastAsia="Arial" w:hAnsi="Arial"/>
          <w:b w:val="false"/>
          <w:bCs w:val="false"/>
          <w:i w:val="false"/>
          <w:iCs w:val="false"/>
          <w:sz w:val="22"/>
          <w:szCs w:val="22"/>
        </w:rPr>
        <w:t xml:space="preserve">The Fed remains on hold at 3.50–3.75%. CME FedWatch shows only a 4.2% probability of a 25 bp cut at the June meeting; 95.8% expect no change. Market participants have moved to price in a ~25% chance of a rate hike by April 2027 after the hot April CPI. With borrowing costs sticky at current levels and the easing cycle effectively finished for the time being, the real-yield channel is gold-negative. PBoC and other emerging-market central banks continue to accumulate (structural support) — these two forces sit on opposite sides. Status: MIXED, slight net negative.</w:t>
      </w:r>
    </w:p>
    <w:p>
      <w:pPr>
        <w:spacing w:after="60" w:before="140"/>
      </w:pPr>
      <w:r>
        <w:rPr>
          <w:rFonts w:ascii="Arial" w:cs="Arial" w:eastAsia="Arial" w:hAnsi="Arial"/>
          <w:b/>
          <w:bCs/>
          <w:color w:val="1F3864"/>
          <w:sz w:val="23"/>
          <w:szCs w:val="23"/>
        </w:rPr>
        <w:t xml:space="preserve">Macro and market structure</w:t>
      </w:r>
    </w:p>
    <w:p>
      <w:pPr>
        <w:spacing w:after="60" w:before="60"/>
        <w:jc w:val="left"/>
      </w:pPr>
      <w:r>
        <w:rPr>
          <w:rFonts w:ascii="Arial" w:cs="Arial" w:eastAsia="Arial" w:hAnsi="Arial"/>
          <w:b w:val="false"/>
          <w:bCs w:val="false"/>
          <w:i w:val="false"/>
          <w:iCs w:val="false"/>
          <w:sz w:val="22"/>
          <w:szCs w:val="22"/>
        </w:rPr>
        <w:t xml:space="preserve">Dollar Index trading in a 98–100 range with a current rebound bias (12 May +0.35%). US 10-year auction results and the 13 May PPI are immediate macro pulses. The Iran-related Strait of Hormuz situation keeps Brent above $105 and oil-driven inflation passes-through into the Fed reaction function — paradoxically, geopolitical risk has been gold-negative on the rate-channel and gold-positive on the safe-haven channel, which is why price action has compressed rather than trended. COT positioning data not refreshed in this run; reference last available Reuters / WGC commentary. Status: NEUTRAL net effect.</w:t>
      </w:r>
    </w:p>
    <w:p>
      <w:pPr>
        <w:spacing w:after="60" w:before="140"/>
      </w:pPr>
      <w:r>
        <w:rPr>
          <w:rFonts w:ascii="Arial" w:cs="Arial" w:eastAsia="Arial" w:hAnsi="Arial"/>
          <w:b/>
          <w:bCs/>
          <w:color w:val="1F3864"/>
          <w:sz w:val="23"/>
          <w:szCs w:val="23"/>
        </w:rPr>
        <w:t xml:space="preserve">Near-term catalysts</w:t>
      </w:r>
    </w:p>
    <w:p>
      <w:pPr>
        <w:spacing w:after="60" w:before="60"/>
        <w:jc w:val="left"/>
      </w:pPr>
      <w:r>
        <w:rPr>
          <w:rFonts w:ascii="Arial" w:cs="Arial" w:eastAsia="Arial" w:hAnsi="Arial"/>
          <w:b w:val="false"/>
          <w:bCs w:val="false"/>
          <w:i w:val="false"/>
          <w:iCs w:val="false"/>
          <w:sz w:val="22"/>
          <w:szCs w:val="22"/>
        </w:rPr>
        <w:t xml:space="preserve">13 May — US PPI (April). 14 May — Initial jobless claims. 21 May — Manufacturing &amp; Services PMI (May). Trump-Xi summit later this week, with Iran, Taiwan, AI, nuclear weapons, and critical minerals on the agenda. Any escalation in the Iran situation (Trump's 'massive life support' comment on 12 May) or any Hormuz reopening surprise will move the metal first. Status: PPI is the single largest near-term mover.</w:t>
      </w:r>
    </w:p>
    <w:p>
      <w:pPr>
        <w:pStyle w:val="Heading1"/>
        <w:pBdr>
          <w:bottom w:val="single" w:color="1F3864" w:sz="12" w:space="4"/>
        </w:pBdr>
        <w:spacing w:after="120" w:before="240"/>
      </w:pPr>
      <w:r>
        <w:rPr>
          <w:rFonts w:ascii="Arial" w:cs="Arial" w:eastAsia="Arial" w:hAnsi="Arial"/>
          <w:b/>
          <w:bCs/>
          <w:color w:val="1F3864"/>
          <w:sz w:val="30"/>
          <w:szCs w:val="30"/>
        </w:rPr>
        <w:t xml:space="preserve">§13  Sentiment, News &amp; Calendar</w:t>
      </w:r>
    </w:p>
    <w:p>
      <w:pPr>
        <w:spacing w:after="60" w:before="140"/>
      </w:pPr>
      <w:r>
        <w:rPr>
          <w:rFonts w:ascii="Arial" w:cs="Arial" w:eastAsia="Arial" w:hAnsi="Arial"/>
          <w:b/>
          <w:bCs/>
          <w:color w:val="1F3864"/>
          <w:sz w:val="23"/>
          <w:szCs w:val="23"/>
        </w:rPr>
        <w:t xml:space="preserve">§13a  Per-article sentiment (lookback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200"/>
        <w:gridCol w:w="1400"/>
        <w:gridCol w:w="3560"/>
      </w:tblGrid>
      <w:tr>
        <w:trPr>
          <w:tblHeader/>
        </w:trPr>
        <w:tc>
          <w:tcPr>
            <w:tcW w:type="dxa" w:w="1900"/>
            <w:tcBorders>
              <w:top w:val="single" w:color="BFBFBF" w:sz="4"/>
              <w:left w:val="single" w:color="BFBFBF" w:sz="4"/>
              <w:bottom w:val="single" w:color="BFBFBF" w:sz="4"/>
              <w:right w:val="single" w:color="BFBFBF" w:sz="4"/>
            </w:tcBorders>
            <w:shd w:fill="B45F06" w:val="clear"/>
            <w:tcMar>
              <w:top w:type="dxa" w:w="60"/>
              <w:left w:type="dxa" w:w="100"/>
              <w:bottom w:type="dxa" w:w="60"/>
              <w:right w:type="dxa" w:w="100"/>
            </w:tcMar>
          </w:tcPr>
          <w:p>
            <w:pPr>
              <w:spacing w:after="20" w:before="20"/>
              <w:jc w:val="left"/>
            </w:pPr>
            <w:r>
              <w:rPr>
                <w:rFonts w:ascii="Arial" w:cs="Arial" w:eastAsia="Arial" w:hAnsi="Arial"/>
                <w:b/>
                <w:bCs/>
                <w:color w:val="FFFFFF"/>
                <w:sz w:val="20"/>
                <w:szCs w:val="20"/>
              </w:rPr>
              <w:t xml:space="preserve">Source / Headline</w:t>
            </w:r>
          </w:p>
        </w:tc>
        <w:tc>
          <w:tcPr>
            <w:tcW w:type="dxa" w:w="1300"/>
            <w:tcBorders>
              <w:top w:val="single" w:color="BFBFBF" w:sz="4"/>
              <w:left w:val="single" w:color="BFBFBF" w:sz="4"/>
              <w:bottom w:val="single" w:color="BFBFBF" w:sz="4"/>
              <w:right w:val="single" w:color="BFBFBF" w:sz="4"/>
            </w:tcBorders>
            <w:shd w:fill="B45F06" w:val="clear"/>
            <w:tcMar>
              <w:top w:type="dxa" w:w="60"/>
              <w:left w:type="dxa" w:w="100"/>
              <w:bottom w:type="dxa" w:w="60"/>
              <w:right w:type="dxa" w:w="100"/>
            </w:tcMar>
          </w:tcPr>
          <w:p>
            <w:pPr>
              <w:spacing w:after="20" w:before="20"/>
              <w:jc w:val="left"/>
            </w:pPr>
            <w:r>
              <w:rPr>
                <w:rFonts w:ascii="Arial" w:cs="Arial" w:eastAsia="Arial" w:hAnsi="Arial"/>
                <w:b/>
                <w:bCs/>
                <w:color w:val="FFFFFF"/>
                <w:sz w:val="20"/>
                <w:szCs w:val="20"/>
              </w:rPr>
              <w:t xml:space="preserve">Date</w:t>
            </w:r>
          </w:p>
        </w:tc>
        <w:tc>
          <w:tcPr>
            <w:tcW w:type="dxa" w:w="1200"/>
            <w:tcBorders>
              <w:top w:val="single" w:color="BFBFBF" w:sz="4"/>
              <w:left w:val="single" w:color="BFBFBF" w:sz="4"/>
              <w:bottom w:val="single" w:color="BFBFBF" w:sz="4"/>
              <w:right w:val="single" w:color="BFBFBF" w:sz="4"/>
            </w:tcBorders>
            <w:shd w:fill="B45F06" w:val="clear"/>
            <w:tcMar>
              <w:top w:type="dxa" w:w="60"/>
              <w:left w:type="dxa" w:w="100"/>
              <w:bottom w:type="dxa" w:w="60"/>
              <w:right w:type="dxa" w:w="100"/>
            </w:tcMar>
          </w:tcPr>
          <w:p>
            <w:pPr>
              <w:spacing w:after="20" w:before="20"/>
              <w:jc w:val="left"/>
            </w:pPr>
            <w:r>
              <w:rPr>
                <w:rFonts w:ascii="Arial" w:cs="Arial" w:eastAsia="Arial" w:hAnsi="Arial"/>
                <w:b/>
                <w:bCs/>
                <w:color w:val="FFFFFF"/>
                <w:sz w:val="20"/>
                <w:szCs w:val="20"/>
              </w:rPr>
              <w:t xml:space="preserve">Asset</w:t>
            </w:r>
          </w:p>
        </w:tc>
        <w:tc>
          <w:tcPr>
            <w:tcW w:type="dxa" w:w="1400"/>
            <w:tcBorders>
              <w:top w:val="single" w:color="BFBFBF" w:sz="4"/>
              <w:left w:val="single" w:color="BFBFBF" w:sz="4"/>
              <w:bottom w:val="single" w:color="BFBFBF" w:sz="4"/>
              <w:right w:val="single" w:color="BFBFBF" w:sz="4"/>
            </w:tcBorders>
            <w:shd w:fill="B45F06" w:val="clear"/>
            <w:tcMar>
              <w:top w:type="dxa" w:w="60"/>
              <w:left w:type="dxa" w:w="100"/>
              <w:bottom w:type="dxa" w:w="60"/>
              <w:right w:type="dxa" w:w="100"/>
            </w:tcMar>
          </w:tcPr>
          <w:p>
            <w:pPr>
              <w:spacing w:after="20" w:before="20"/>
              <w:jc w:val="left"/>
            </w:pPr>
            <w:r>
              <w:rPr>
                <w:rFonts w:ascii="Arial" w:cs="Arial" w:eastAsia="Arial" w:hAnsi="Arial"/>
                <w:b/>
                <w:bCs/>
                <w:color w:val="FFFFFF"/>
                <w:sz w:val="20"/>
                <w:szCs w:val="20"/>
              </w:rPr>
              <w:t xml:space="preserve">Sentiment</w:t>
            </w:r>
          </w:p>
        </w:tc>
        <w:tc>
          <w:tcPr>
            <w:tcW w:type="dxa" w:w="3560"/>
            <w:tcBorders>
              <w:top w:val="single" w:color="BFBFBF" w:sz="4"/>
              <w:left w:val="single" w:color="BFBFBF" w:sz="4"/>
              <w:bottom w:val="single" w:color="BFBFBF" w:sz="4"/>
              <w:right w:val="single" w:color="BFBFBF" w:sz="4"/>
            </w:tcBorders>
            <w:shd w:fill="B45F06" w:val="clear"/>
            <w:tcMar>
              <w:top w:type="dxa" w:w="60"/>
              <w:left w:type="dxa" w:w="100"/>
              <w:bottom w:type="dxa" w:w="60"/>
              <w:right w:type="dxa" w:w="100"/>
            </w:tcMar>
          </w:tcPr>
          <w:p>
            <w:pPr>
              <w:spacing w:after="20" w:before="20"/>
              <w:jc w:val="left"/>
            </w:pPr>
            <w:r>
              <w:rPr>
                <w:rFonts w:ascii="Arial" w:cs="Arial" w:eastAsia="Arial" w:hAnsi="Arial"/>
                <w:b/>
                <w:bCs/>
                <w:color w:val="FFFFFF"/>
                <w:sz w:val="20"/>
                <w:szCs w:val="20"/>
              </w:rPr>
              <w:t xml:space="preserve">Derivation quote (≤15 words)</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Reuters / CNBC — Gold falls on oil-driven inflation worries as US-Iran talks falter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11 May</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Gold</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bCs/>
                <w:color w:val="C0504D"/>
                <w:sz w:val="20"/>
                <w:szCs w:val="20"/>
              </w:rPr>
              <w:t xml:space="preserve">Bearish</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'inflation worries that clouded the U.S. monetary policy outlook'</w:t>
            </w:r>
          </w:p>
        </w:tc>
      </w:tr>
      <w:tr>
        <w:tc>
          <w:tcPr>
            <w:tcW w:type="dxa" w:w="1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TradingEconomics — Gold reverses gains, falls toward $4,700 on Hormuz / dollar</w:t>
            </w:r>
          </w:p>
        </w:tc>
        <w:tc>
          <w:tcPr>
            <w:tcW w:type="dxa" w:w="1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12 May</w:t>
            </w:r>
          </w:p>
        </w:tc>
        <w:tc>
          <w:tcPr>
            <w:tcW w:type="dxa" w:w="1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Gold</w:t>
            </w:r>
          </w:p>
        </w:tc>
        <w:tc>
          <w:tcPr>
            <w:tcW w:type="dxa" w:w="1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b/>
                <w:bCs/>
                <w:color w:val="C0504D"/>
                <w:sz w:val="20"/>
                <w:szCs w:val="20"/>
              </w:rPr>
              <w:t xml:space="preserve">Bearish</w:t>
            </w:r>
          </w:p>
        </w:tc>
        <w:tc>
          <w:tcPr>
            <w:tcW w:type="dxa" w:w="35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'pushed oil prices higher and kept inflationary risk in focus'</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FXStreet — Gold slips below $4,700 as Iran tensions, Fed bets lift USD before CPI</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12 May</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Gold</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bCs/>
                <w:color w:val="C0504D"/>
                <w:sz w:val="20"/>
                <w:szCs w:val="20"/>
              </w:rPr>
              <w:t xml:space="preserve">Bearish</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'hawkish Fed expectations… contributes to the bullion's intraday pullback'</w:t>
            </w:r>
          </w:p>
        </w:tc>
      </w:tr>
      <w:tr>
        <w:tc>
          <w:tcPr>
            <w:tcW w:type="dxa" w:w="1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USAGOLD — Daily report 12 May: $4,704, structural bid intact</w:t>
            </w:r>
          </w:p>
        </w:tc>
        <w:tc>
          <w:tcPr>
            <w:tcW w:type="dxa" w:w="1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12 May</w:t>
            </w:r>
          </w:p>
        </w:tc>
        <w:tc>
          <w:tcPr>
            <w:tcW w:type="dxa" w:w="1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Gold</w:t>
            </w:r>
          </w:p>
        </w:tc>
        <w:tc>
          <w:tcPr>
            <w:tcW w:type="dxa" w:w="1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b/>
                <w:bCs/>
                <w:color w:val="595959"/>
                <w:sz w:val="20"/>
                <w:szCs w:val="20"/>
              </w:rPr>
              <w:t xml:space="preserve">Neutral</w:t>
            </w:r>
          </w:p>
        </w:tc>
        <w:tc>
          <w:tcPr>
            <w:tcW w:type="dxa" w:w="35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'underlying structural bid for physical bullion' unchanged</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LiteFinance — XAU/USD forecast: range $4,646–$4,761 for 13 May</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12 May</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Gold</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bCs/>
                <w:color w:val="595959"/>
                <w:sz w:val="20"/>
                <w:szCs w:val="20"/>
              </w:rPr>
              <w:t xml:space="preserve">Neutral</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'The price could move in either direction'</w:t>
            </w:r>
          </w:p>
        </w:tc>
      </w:tr>
      <w:tr>
        <w:tc>
          <w:tcPr>
            <w:tcW w:type="dxa" w:w="1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RoboForex — Weekly forecast 11-15 May: consolidation above $4,500–$4,550</w:t>
            </w:r>
          </w:p>
        </w:tc>
        <w:tc>
          <w:tcPr>
            <w:tcW w:type="dxa" w:w="1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11 May</w:t>
            </w:r>
          </w:p>
        </w:tc>
        <w:tc>
          <w:tcPr>
            <w:tcW w:type="dxa" w:w="1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Gold</w:t>
            </w:r>
          </w:p>
        </w:tc>
        <w:tc>
          <w:tcPr>
            <w:tcW w:type="dxa" w:w="1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b/>
                <w:bCs/>
                <w:color w:val="2E7D32"/>
                <w:sz w:val="20"/>
                <w:szCs w:val="20"/>
              </w:rPr>
              <w:t xml:space="preserve">Bullish</w:t>
            </w:r>
          </w:p>
        </w:tc>
        <w:tc>
          <w:tcPr>
            <w:tcW w:type="dxa" w:w="35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'attempts to rise towards 4,800–4,900 are possible'</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WGC — Q1 2026 central bank demand: 244t, PBoC +7t to 2,313t</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Apr 2026</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Gold</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bCs/>
                <w:color w:val="2E7D32"/>
                <w:sz w:val="20"/>
                <w:szCs w:val="20"/>
              </w:rPr>
              <w:t xml:space="preserve">Bullish</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'continued commitment to strengthening reserves with gold'</w:t>
            </w:r>
          </w:p>
        </w:tc>
      </w:tr>
      <w:tr>
        <w:tc>
          <w:tcPr>
            <w:tcW w:type="dxa" w:w="1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CNBC — Modi calls on Indians to pause gold purchases</w:t>
            </w:r>
          </w:p>
        </w:tc>
        <w:tc>
          <w:tcPr>
            <w:tcW w:type="dxa" w:w="1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11 May</w:t>
            </w:r>
          </w:p>
        </w:tc>
        <w:tc>
          <w:tcPr>
            <w:tcW w:type="dxa" w:w="1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Gold (India demand)</w:t>
            </w:r>
          </w:p>
        </w:tc>
        <w:tc>
          <w:tcPr>
            <w:tcW w:type="dxa" w:w="1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b/>
                <w:bCs/>
                <w:color w:val="C0504D"/>
                <w:sz w:val="20"/>
                <w:szCs w:val="20"/>
              </w:rPr>
              <w:t xml:space="preserve">Bearish</w:t>
            </w:r>
          </w:p>
        </w:tc>
        <w:tc>
          <w:tcPr>
            <w:tcW w:type="dxa" w:w="35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'pause gold purchases… reduce foreign travel… cut fuel'</w:t>
            </w:r>
          </w:p>
        </w:tc>
      </w:tr>
    </w:tbl>
    <w:p>
      <w:pPr>
        <w:spacing w:after="60" w:before="140"/>
      </w:pPr>
      <w:r>
        <w:rPr>
          <w:rFonts w:ascii="Arial" w:cs="Arial" w:eastAsia="Arial" w:hAnsi="Arial"/>
          <w:b/>
          <w:bCs/>
          <w:color w:val="1F3864"/>
          <w:sz w:val="23"/>
          <w:szCs w:val="23"/>
        </w:rPr>
        <w:t xml:space="preserve">§13b  Aggregate sentiment (categorical + numeric tilt)</w:t>
      </w:r>
    </w:p>
    <w:p>
      <w:pPr>
        <w:spacing w:after="60" w:before="60"/>
        <w:jc w:val="left"/>
      </w:pPr>
      <w:r>
        <w:rPr>
          <w:rFonts w:ascii="Arial" w:cs="Arial" w:eastAsia="Arial" w:hAnsi="Arial"/>
          <w:b w:val="false"/>
          <w:bCs w:val="false"/>
          <w:i w:val="false"/>
          <w:iCs w:val="false"/>
          <w:sz w:val="22"/>
          <w:szCs w:val="22"/>
        </w:rPr>
        <w:t xml:space="preserve">Categorical aggregate read: MIXED with a slight bearish skew for the immediate session, neutral-to-bullish on the structural horizon. Bearish observations dominate the near-term (Fed reaction function, dollar rebound, Hormuz-driven oil-inflation channel). Bullish observations dominate the structural frame (central-bank demand, range floor holding at $4,557). Indian retail demand-restraint sits on the bearish side but only on the multi-week horizon.</w:t>
      </w:r>
    </w:p>
    <w:p>
      <w:pPr>
        <w:spacing w:after="60" w:before="60"/>
        <w:jc w:val="left"/>
      </w:pPr>
      <w:r>
        <w:rPr>
          <w:rFonts w:ascii="Arial" w:cs="Arial" w:eastAsia="Arial" w:hAnsi="Arial"/>
          <w:b/>
          <w:bCs/>
          <w:i w:val="false"/>
          <w:iCs w:val="false"/>
          <w:sz w:val="22"/>
          <w:szCs w:val="22"/>
        </w:rPr>
        <w:t xml:space="preserve">Numeric sentiment tilt (for M5 §2 consumption): −0.10 (range −1 to +1). Interpretation: very mild bearish lean, well inside ±0.25 — the tilt does not by itself overpower the structural longs but biases scoring slightly to the short side on the day.</w:t>
      </w:r>
    </w:p>
    <w:p>
      <w:pPr>
        <w:spacing w:after="60" w:before="140"/>
      </w:pPr>
      <w:r>
        <w:rPr>
          <w:rFonts w:ascii="Arial" w:cs="Arial" w:eastAsia="Arial" w:hAnsi="Arial"/>
          <w:b/>
          <w:bCs/>
          <w:color w:val="1F3864"/>
          <w:sz w:val="23"/>
          <w:szCs w:val="23"/>
        </w:rPr>
        <w:t xml:space="preserve">§13c  Previous-period news calendar (last 5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060"/>
        <w:gridCol w:w="4000"/>
      </w:tblGrid>
      <w:tr>
        <w:trPr>
          <w:tblHeader/>
        </w:trPr>
        <w:tc>
          <w:tcPr>
            <w:tcW w:type="dxa" w:w="13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20" w:before="20"/>
              <w:jc w:val="left"/>
            </w:pPr>
            <w:r>
              <w:rPr>
                <w:rFonts w:ascii="Arial" w:cs="Arial" w:eastAsia="Arial" w:hAnsi="Arial"/>
                <w:b/>
                <w:bCs/>
                <w:color w:val="FFFFFF"/>
                <w:sz w:val="20"/>
                <w:szCs w:val="20"/>
              </w:rPr>
              <w:t xml:space="preserve">Date</w:t>
            </w:r>
          </w:p>
        </w:tc>
        <w:tc>
          <w:tcPr>
            <w:tcW w:type="dxa" w:w="40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20" w:before="20"/>
              <w:jc w:val="left"/>
            </w:pPr>
            <w:r>
              <w:rPr>
                <w:rFonts w:ascii="Arial" w:cs="Arial" w:eastAsia="Arial" w:hAnsi="Arial"/>
                <w:b/>
                <w:bCs/>
                <w:color w:val="FFFFFF"/>
                <w:sz w:val="20"/>
                <w:szCs w:val="20"/>
              </w:rPr>
              <w:t xml:space="preserve">Event / Headline</w:t>
            </w:r>
          </w:p>
        </w:tc>
        <w:tc>
          <w:tcPr>
            <w:tcW w:type="dxa" w:w="40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20" w:before="20"/>
              <w:jc w:val="left"/>
            </w:pPr>
            <w:r>
              <w:rPr>
                <w:rFonts w:ascii="Arial" w:cs="Arial" w:eastAsia="Arial" w:hAnsi="Arial"/>
                <w:b/>
                <w:bCs/>
                <w:color w:val="FFFFFF"/>
                <w:sz w:val="20"/>
                <w:szCs w:val="20"/>
              </w:rPr>
              <w:t xml:space="preserve">Realised / Impact</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07 May</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PBoC monthly reserve report (April update; PBoC purchasing pace context)</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Continued accumulation theme; mildly supportive</w:t>
            </w:r>
          </w:p>
        </w:tc>
      </w:tr>
      <w:tr>
        <w:tc>
          <w:tcPr>
            <w:tcW w:type="dxa" w:w="1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08 May</w:t>
            </w:r>
          </w:p>
        </w:tc>
        <w:tc>
          <w:tcPr>
            <w:tcW w:type="dxa" w:w="40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US Non-Farm Payrolls — Apr: +115k vs +62k expected</w:t>
            </w:r>
          </w:p>
        </w:tc>
        <w:tc>
          <w:tcPr>
            <w:tcW w:type="dxa" w:w="4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Hawkish-Fed reinforcement; mild USD-supportive</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11 May</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WGC Q1 2026 Gold Demand Trends release</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Confirms 244t CB demand; supportive of structural narrative</w:t>
            </w:r>
          </w:p>
        </w:tc>
      </w:tr>
      <w:tr>
        <w:tc>
          <w:tcPr>
            <w:tcW w:type="dxa" w:w="1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11 May</w:t>
            </w:r>
          </w:p>
        </w:tc>
        <w:tc>
          <w:tcPr>
            <w:tcW w:type="dxa" w:w="40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PM Modi public statement on Indian gold purchases</w:t>
            </w:r>
          </w:p>
        </w:tc>
        <w:tc>
          <w:tcPr>
            <w:tcW w:type="dxa" w:w="4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First-order negative on Indian physical demand</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12 May</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US CPI — Apr: 3.8% YoY (vs 3.7% consensus); Core 2.8% (vs 2.7%)</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Hot print; rate-cut probability reduced further; gold pulled back ~$45</w:t>
            </w:r>
          </w:p>
        </w:tc>
      </w:tr>
    </w:tbl>
    <w:p>
      <w:pPr>
        <w:spacing w:after="60" w:before="140"/>
      </w:pPr>
      <w:r>
        <w:rPr>
          <w:rFonts w:ascii="Arial" w:cs="Arial" w:eastAsia="Arial" w:hAnsi="Arial"/>
          <w:b/>
          <w:bCs/>
          <w:color w:val="1F3864"/>
          <w:sz w:val="23"/>
          <w:szCs w:val="23"/>
        </w:rPr>
        <w:t xml:space="preserve">§13d  Upcoming-period news calendar (next 5 trading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060"/>
        <w:gridCol w:w="4000"/>
      </w:tblGrid>
      <w:tr>
        <w:trPr>
          <w:tblHeader/>
        </w:trPr>
        <w:tc>
          <w:tcPr>
            <w:tcW w:type="dxa" w:w="13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20" w:before="20"/>
              <w:jc w:val="left"/>
            </w:pPr>
            <w:r>
              <w:rPr>
                <w:rFonts w:ascii="Arial" w:cs="Arial" w:eastAsia="Arial" w:hAnsi="Arial"/>
                <w:b/>
                <w:bCs/>
                <w:color w:val="FFFFFF"/>
                <w:sz w:val="20"/>
                <w:szCs w:val="20"/>
              </w:rPr>
              <w:t xml:space="preserve">Date</w:t>
            </w:r>
          </w:p>
        </w:tc>
        <w:tc>
          <w:tcPr>
            <w:tcW w:type="dxa" w:w="40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20" w:before="20"/>
              <w:jc w:val="left"/>
            </w:pPr>
            <w:r>
              <w:rPr>
                <w:rFonts w:ascii="Arial" w:cs="Arial" w:eastAsia="Arial" w:hAnsi="Arial"/>
                <w:b/>
                <w:bCs/>
                <w:color w:val="FFFFFF"/>
                <w:sz w:val="20"/>
                <w:szCs w:val="20"/>
              </w:rPr>
              <w:t xml:space="preserve">Event</w:t>
            </w:r>
          </w:p>
        </w:tc>
        <w:tc>
          <w:tcPr>
            <w:tcW w:type="dxa" w:w="40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20" w:before="20"/>
              <w:jc w:val="left"/>
            </w:pPr>
            <w:r>
              <w:rPr>
                <w:rFonts w:ascii="Arial" w:cs="Arial" w:eastAsia="Arial" w:hAnsi="Arial"/>
                <w:b/>
                <w:bCs/>
                <w:color w:val="FFFFFF"/>
                <w:sz w:val="20"/>
                <w:szCs w:val="20"/>
              </w:rPr>
              <w:t xml:space="preserve">Mechanism for gold</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bCs/>
                <w:sz w:val="20"/>
                <w:szCs w:val="20"/>
              </w:rPr>
              <w:t xml:space="preserve">13 May</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bCs/>
                <w:sz w:val="20"/>
                <w:szCs w:val="20"/>
              </w:rPr>
              <w:t xml:space="preserve">US PPI — April (highest-impact catalyst)</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bCs/>
                <w:sz w:val="20"/>
                <w:szCs w:val="20"/>
              </w:rPr>
              <w:t xml:space="preserve">A hot PPI compounds the CPI signal and stacks hawkish-Fed channel against gold; a soft print is the immediate trigger for a re-test of $4,800.</w:t>
            </w:r>
          </w:p>
        </w:tc>
      </w:tr>
      <w:tr>
        <w:tc>
          <w:tcPr>
            <w:tcW w:type="dxa" w:w="1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14 May</w:t>
            </w:r>
          </w:p>
        </w:tc>
        <w:tc>
          <w:tcPr>
            <w:tcW w:type="dxa" w:w="40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US Initial Jobless Claims</w:t>
            </w:r>
          </w:p>
        </w:tc>
        <w:tc>
          <w:tcPr>
            <w:tcW w:type="dxa" w:w="4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Soft labour print revives easing hopes; gold-supportive. Strong print reinforces hawkish stack.</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14-15 May</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Trump-Xi summit (Iran, Taiwan, AI, critical minerals)</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Constructive headlines remove safe-haven premium; confrontation tape adds it. Two-sided risk.</w:t>
            </w:r>
          </w:p>
        </w:tc>
      </w:tr>
      <w:tr>
        <w:tc>
          <w:tcPr>
            <w:tcW w:type="dxa" w:w="1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15-16 May</w:t>
            </w:r>
          </w:p>
        </w:tc>
        <w:tc>
          <w:tcPr>
            <w:tcW w:type="dxa" w:w="40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Hormuz shipping status updates / DOE energy data</w:t>
            </w:r>
          </w:p>
        </w:tc>
        <w:tc>
          <w:tcPr>
            <w:tcW w:type="dxa" w:w="4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Strait reopening would cut oil and the inflation channel — net mildly gold-positive via real-yield compression.</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21 May</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US Manufacturing &amp; Services PMI (May flash)</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Below-50 prints support easing case; above-50 with prices-paid jump is hawkish.</w:t>
            </w:r>
          </w:p>
        </w:tc>
      </w:tr>
    </w:tbl>
    <w:p>
      <w:pPr>
        <w:spacing w:after="60" w:before="60"/>
        <w:jc w:val="left"/>
      </w:pPr>
      <w:r>
        <w:rPr>
          <w:rFonts w:ascii="Arial" w:cs="Arial" w:eastAsia="Arial" w:hAnsi="Arial"/>
          <w:b/>
          <w:bCs/>
          <w:i w:val="false"/>
          <w:iCs w:val="false"/>
          <w:sz w:val="22"/>
          <w:szCs w:val="22"/>
        </w:rPr>
        <w:t xml:space="preserve">Single highest-impact upcoming event flagged: US PPI April (13 May). Mechanism — confirms or refutes the CPI inflation signal, drives the Fed-path repricing channel, and is the cleanest near-term gold catalyst on the calendar.</w:t>
      </w:r>
    </w:p>
    <w:p>
      <w:pPr>
        <w:pStyle w:val="Heading1"/>
        <w:pBdr>
          <w:bottom w:val="single" w:color="1F3864" w:sz="12" w:space="4"/>
        </w:pBdr>
        <w:spacing w:after="120" w:before="240"/>
      </w:pPr>
      <w:r>
        <w:rPr>
          <w:rFonts w:ascii="Arial" w:cs="Arial" w:eastAsia="Arial" w:hAnsi="Arial"/>
          <w:b/>
          <w:bCs/>
          <w:color w:val="1F3864"/>
          <w:sz w:val="30"/>
          <w:szCs w:val="30"/>
        </w:rPr>
        <w:t xml:space="preserve">§14  Macro Context</w:t>
      </w:r>
    </w:p>
    <w:p>
      <w:pPr>
        <w:spacing w:after="60" w:before="140"/>
      </w:pPr>
      <w:r>
        <w:rPr>
          <w:rFonts w:ascii="Arial" w:cs="Arial" w:eastAsia="Arial" w:hAnsi="Arial"/>
          <w:b/>
          <w:bCs/>
          <w:color w:val="1F3864"/>
          <w:sz w:val="23"/>
          <w:szCs w:val="23"/>
        </w:rPr>
        <w:t xml:space="preserve">Rates &amp; inflation</w:t>
      </w:r>
    </w:p>
    <w:p>
      <w:pPr>
        <w:spacing w:after="60" w:before="60"/>
        <w:jc w:val="left"/>
      </w:pPr>
      <w:r>
        <w:rPr>
          <w:rFonts w:ascii="Arial" w:cs="Arial" w:eastAsia="Arial" w:hAnsi="Arial"/>
          <w:b w:val="false"/>
          <w:bCs w:val="false"/>
          <w:i w:val="false"/>
          <w:iCs w:val="false"/>
          <w:sz w:val="22"/>
          <w:szCs w:val="22"/>
        </w:rPr>
        <w:t xml:space="preserve">April US CPI printed 3.8% YoY headline (vs 3.7% expected) and 2.8% core (vs 2.7%) — the hottest headline since May 2023. Fed funds at 3.50–3.75%. June rate-cut probability collapsed to ~4% per CME FedWatch. Real yields have not given back ground; the 10-year inflation-protected proxy remains elevated. Direction: rates higher-for-longer narrative reinforced. Mechanism for gold: real-yield channel is the dominant gold-negative input.</w:t>
      </w:r>
    </w:p>
    <w:p>
      <w:pPr>
        <w:spacing w:after="60" w:before="140"/>
      </w:pPr>
      <w:r>
        <w:rPr>
          <w:rFonts w:ascii="Arial" w:cs="Arial" w:eastAsia="Arial" w:hAnsi="Arial"/>
          <w:b/>
          <w:bCs/>
          <w:color w:val="1F3864"/>
          <w:sz w:val="23"/>
          <w:szCs w:val="23"/>
        </w:rPr>
        <w:t xml:space="preserve">Liquidity &amp; FX</w:t>
      </w:r>
    </w:p>
    <w:p>
      <w:pPr>
        <w:spacing w:after="60" w:before="60"/>
        <w:jc w:val="left"/>
      </w:pPr>
      <w:r>
        <w:rPr>
          <w:rFonts w:ascii="Arial" w:cs="Arial" w:eastAsia="Arial" w:hAnsi="Arial"/>
          <w:b w:val="false"/>
          <w:bCs w:val="false"/>
          <w:i w:val="false"/>
          <w:iCs w:val="false"/>
          <w:sz w:val="22"/>
          <w:szCs w:val="22"/>
        </w:rPr>
        <w:t xml:space="preserve">Dollar Index back above 98 (see §10) — mildly tightening global financial conditions. EM currencies under pressure (rupee at all-time low in the Indian backdrop noted above). Mechanism: USD strength translates directly into gold-priced-in-USD weakness via the inverse FX channel cited in §10.</w:t>
      </w:r>
    </w:p>
    <w:p>
      <w:pPr>
        <w:spacing w:after="60" w:before="140"/>
      </w:pPr>
      <w:r>
        <w:rPr>
          <w:rFonts w:ascii="Arial" w:cs="Arial" w:eastAsia="Arial" w:hAnsi="Arial"/>
          <w:b/>
          <w:bCs/>
          <w:color w:val="1F3864"/>
          <w:sz w:val="23"/>
          <w:szCs w:val="23"/>
        </w:rPr>
        <w:t xml:space="preserve">Energy</w:t>
      </w:r>
    </w:p>
    <w:p>
      <w:pPr>
        <w:spacing w:after="60" w:before="60"/>
        <w:jc w:val="left"/>
      </w:pPr>
      <w:r>
        <w:rPr>
          <w:rFonts w:ascii="Arial" w:cs="Arial" w:eastAsia="Arial" w:hAnsi="Arial"/>
          <w:b w:val="false"/>
          <w:bCs w:val="false"/>
          <w:i w:val="false"/>
          <w:iCs w:val="false"/>
          <w:sz w:val="22"/>
          <w:szCs w:val="22"/>
        </w:rPr>
        <w:t xml:space="preserve">Brent crude above $105/bbl on Strait of Hormuz disruption. Gasoline and airfares already passing through into the CPI basket per Trump-administration commentary. The oil-inflation channel is the second-order link: higher oil reinforces the hawkish-Fed setup, which is gold-negative. The conflicting safe-haven channel (geopolitical risk premium) is genuine but, on the evidence of the last two weeks' price action, has been the smaller of the two channels.</w:t>
      </w:r>
    </w:p>
    <w:p>
      <w:pPr>
        <w:spacing w:after="60" w:before="140"/>
      </w:pPr>
      <w:r>
        <w:rPr>
          <w:rFonts w:ascii="Arial" w:cs="Arial" w:eastAsia="Arial" w:hAnsi="Arial"/>
          <w:b/>
          <w:bCs/>
          <w:color w:val="1F3864"/>
          <w:sz w:val="23"/>
          <w:szCs w:val="23"/>
        </w:rPr>
        <w:t xml:space="preserve">Positioning</w:t>
      </w:r>
    </w:p>
    <w:p>
      <w:pPr>
        <w:spacing w:after="60" w:before="60"/>
        <w:jc w:val="left"/>
      </w:pPr>
      <w:r>
        <w:rPr>
          <w:rFonts w:ascii="Arial" w:cs="Arial" w:eastAsia="Arial" w:hAnsi="Arial"/>
          <w:b w:val="false"/>
          <w:bCs w:val="false"/>
          <w:i w:val="false"/>
          <w:iCs w:val="false"/>
          <w:sz w:val="22"/>
          <w:szCs w:val="22"/>
        </w:rPr>
        <w:t xml:space="preserve">COT data not refreshed in this run. Reuters and broker commentary describe (i) speculative positioning still net long but with managed-money trimming on each $4,800 rejection, and (ii) physical premiums firm with retail dip-buyers active sub-$4,750. ETF holdings have continued to add through the year-to-date but at a slowing pace at elevated prices. No extreme positioning read flagged.</w:t>
      </w:r>
    </w:p>
    <w:p>
      <w:pPr>
        <w:spacing w:after="60" w:before="140"/>
      </w:pPr>
      <w:r>
        <w:rPr>
          <w:rFonts w:ascii="Arial" w:cs="Arial" w:eastAsia="Arial" w:hAnsi="Arial"/>
          <w:b/>
          <w:bCs/>
          <w:color w:val="1F3864"/>
          <w:sz w:val="23"/>
          <w:szCs w:val="23"/>
        </w:rPr>
        <w:t xml:space="preserve">Cross-reference to §10 and §13</w:t>
      </w:r>
    </w:p>
    <w:p>
      <w:pPr>
        <w:spacing w:after="60" w:before="60"/>
        <w:jc w:val="left"/>
      </w:pPr>
      <w:r>
        <w:rPr>
          <w:rFonts w:ascii="Arial" w:cs="Arial" w:eastAsia="Arial" w:hAnsi="Arial"/>
          <w:b w:val="false"/>
          <w:bCs w:val="false"/>
          <w:i w:val="false"/>
          <w:iCs w:val="false"/>
          <w:sz w:val="22"/>
          <w:szCs w:val="22"/>
        </w:rPr>
        <w:t xml:space="preserve">Macro narrative aligns with the cross-asset reads in §10 (USDX up, equities mildly off highs) and the sentiment skew in §13b (mild near-term bearish tilt). No contradictions to flag.</w:t>
      </w:r>
    </w:p>
    <w:p>
      <w:pPr>
        <w:pStyle w:val="Heading1"/>
        <w:pBdr>
          <w:bottom w:val="single" w:color="1F3864" w:sz="12" w:space="4"/>
        </w:pBdr>
        <w:spacing w:after="120" w:before="240"/>
      </w:pPr>
      <w:r>
        <w:rPr>
          <w:rFonts w:ascii="Arial" w:cs="Arial" w:eastAsia="Arial" w:hAnsi="Arial"/>
          <w:b/>
          <w:bCs/>
          <w:color w:val="1F3864"/>
          <w:sz w:val="30"/>
          <w:szCs w:val="30"/>
        </w:rPr>
        <w:t xml:space="preserve">§15  Bull / Bear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20" w:before="20"/>
              <w:jc w:val="left"/>
            </w:pPr>
            <w:r>
              <w:rPr>
                <w:rFonts w:ascii="Arial" w:cs="Arial" w:eastAsia="Arial" w:hAnsi="Arial"/>
                <w:b/>
                <w:bCs/>
                <w:color w:val="FFFFFF"/>
                <w:sz w:val="20"/>
                <w:szCs w:val="20"/>
              </w:rPr>
              <w:t xml:space="preserve">Upside risks (gold-supportive)</w:t>
            </w:r>
          </w:p>
        </w:tc>
        <w:tc>
          <w:tcPr>
            <w:tcW w:type="dxa" w:w="468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20" w:before="20"/>
              <w:jc w:val="left"/>
            </w:pPr>
            <w:r>
              <w:rPr>
                <w:rFonts w:ascii="Arial" w:cs="Arial" w:eastAsia="Arial" w:hAnsi="Arial"/>
                <w:b/>
                <w:bCs/>
                <w:color w:val="FFFFFF"/>
                <w:sz w:val="20"/>
                <w:szCs w:val="20"/>
              </w:rPr>
              <w:t xml:space="preserve">Downside risks (gold-negative)</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Soft PPI surprise on 13 May — clean catalyst for retest of $4,800 weekly R1.</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Hot PPI on 13 May — stacks on CPI; opens move toward $4,650 daily S1 then $4,557 floor.</w:t>
            </w:r>
          </w:p>
        </w:tc>
      </w:tr>
      <w:tr>
        <w:tc>
          <w:tcPr>
            <w:tcW w:type="dxa" w:w="468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Hormuz disruption deepening or Trump signing escalation — safe-haven channel reasserts above the rate channel.</w:t>
            </w:r>
          </w:p>
        </w:tc>
        <w:tc>
          <w:tcPr>
            <w:tcW w:type="dxa" w:w="468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US-Iran de-escalation (Trump-Xi summit constructive) — risk premium evaporates fast at $4,773 ceiling.</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PBoC monthly reserve update (next release window) confirming continued accumulation.</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Indian physical demand drag from Modi-statement persists or widens to formal import-curbs.</w:t>
            </w:r>
          </w:p>
        </w:tc>
      </w:tr>
      <w:tr>
        <w:tc>
          <w:tcPr>
            <w:tcW w:type="dxa" w:w="468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Weekly WP ($4,678.6) holds on close — confirms the bullish-of-pivot bias and gives the structural longs the floor they need.</w:t>
            </w:r>
          </w:p>
        </w:tc>
        <w:tc>
          <w:tcPr>
            <w:tcW w:type="dxa" w:w="468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Daily S1 ($4,653) breaks intraday → run on the $4,650 round-number stops → re-test of $4,621 and $4,557.</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Silver re-acceleration without gold giving way — ratio compression below 55 with gold flat is mildly bullish for the complex.</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Dollar Index break and hold above 99 — historically associated with $50–$80 gold downside in the same week.</w:t>
            </w:r>
          </w:p>
        </w:tc>
      </w:tr>
    </w:tbl>
    <w:p>
      <w:pPr>
        <w:spacing w:after="60" w:before="60"/>
        <w:jc w:val="left"/>
      </w:pPr>
      <w:r>
        <w:rPr>
          <w:rFonts w:ascii="Arial" w:cs="Arial" w:eastAsia="Arial" w:hAnsi="Arial"/>
          <w:b w:val="false"/>
          <w:bCs w:val="false"/>
          <w:i/>
          <w:iCs/>
          <w:sz w:val="22"/>
          <w:szCs w:val="22"/>
        </w:rPr>
        <w:t xml:space="preserve">Net bull/bear count: roughly balanced. The immediate session tilt is slightly bearish, the medium-term tilt is slightly bullish — the very profile of a range trade.</w:t>
      </w:r>
    </w:p>
    <w:p>
      <w:pPr>
        <w:pStyle w:val="Heading1"/>
        <w:pBdr>
          <w:bottom w:val="single" w:color="1F3864" w:sz="12" w:space="4"/>
        </w:pBdr>
        <w:spacing w:after="120" w:before="240"/>
      </w:pPr>
      <w:r>
        <w:rPr>
          <w:rFonts w:ascii="Arial" w:cs="Arial" w:eastAsia="Arial" w:hAnsi="Arial"/>
          <w:b/>
          <w:bCs/>
          <w:color w:val="1F3864"/>
          <w:sz w:val="30"/>
          <w:szCs w:val="30"/>
        </w:rPr>
        <w:t xml:space="preserve">§16  Forward View</w:t>
      </w:r>
    </w:p>
    <w:p>
      <w:pPr>
        <w:spacing w:after="60" w:before="60"/>
        <w:jc w:val="left"/>
      </w:pPr>
      <w:r>
        <w:rPr>
          <w:rFonts w:ascii="Arial" w:cs="Arial" w:eastAsia="Arial" w:hAnsi="Arial"/>
          <w:b w:val="false"/>
          <w:bCs w:val="false"/>
          <w:i w:val="false"/>
          <w:iCs w:val="false"/>
          <w:sz w:val="22"/>
          <w:szCs w:val="22"/>
        </w:rPr>
        <w:t xml:space="preserve">Expected direction over the next 5 trading days: range-bound with a marginal upward drift if PPI is benign, range-bound with a downside test of $4,653 / $4,621 if PPI surprises hot. The asymmetry sits with the structural bid: a hot-PPI sell-off into $4,557 would be the third test of that floor since late April and is statistically more likely to be defended than broken on a single news catalyst, in the absence of a regime change in the dollar.</w:t>
      </w:r>
    </w:p>
    <w:p>
      <w:pPr>
        <w:spacing w:after="60" w:before="60"/>
        <w:jc w:val="left"/>
      </w:pPr>
      <w:r>
        <w:rPr>
          <w:rFonts w:ascii="Arial" w:cs="Arial" w:eastAsia="Arial" w:hAnsi="Arial"/>
          <w:b w:val="false"/>
          <w:bCs w:val="false"/>
          <w:i w:val="false"/>
          <w:iCs w:val="false"/>
          <w:sz w:val="22"/>
          <w:szCs w:val="22"/>
        </w:rPr>
        <w:t xml:space="preserve">Expected trading range: $4,600 – $4,820 base case. $4,557 – $4,890 stress case.</w:t>
      </w:r>
    </w:p>
    <w:p>
      <w:pPr>
        <w:spacing w:after="60" w:before="60"/>
        <w:jc w:val="left"/>
      </w:pPr>
      <w:r>
        <w:rPr>
          <w:rFonts w:ascii="Arial" w:cs="Arial" w:eastAsia="Arial" w:hAnsi="Arial"/>
          <w:b w:val="false"/>
          <w:bCs w:val="false"/>
          <w:i w:val="false"/>
          <w:iCs w:val="false"/>
          <w:sz w:val="22"/>
          <w:szCs w:val="22"/>
        </w:rPr>
        <w:t xml:space="preserve">Base-case invalidation: a confirmed daily close below $4,557 (the weekly S1 cluster and the 24 April structural low) breaks the post-late-April range and reopens the move toward weekly S2 ($4,467) and monthly S1 ($4,519). Bullish invalidation works the other way — a confirmed daily close above $4,820 (just above weekly R1 of $4,800) reasserts the trending up-leg toward $4,890 weekly R2 and $4,977 monthly R1.</w:t>
      </w:r>
    </w:p>
    <w:p>
      <w:pPr>
        <w:spacing w:after="60" w:before="60"/>
        <w:jc w:val="left"/>
      </w:pPr>
      <w:r>
        <w:rPr>
          <w:rFonts w:ascii="Arial" w:cs="Arial" w:eastAsia="Arial" w:hAnsi="Arial"/>
          <w:b w:val="false"/>
          <w:bCs w:val="false"/>
          <w:i/>
          <w:iCs/>
          <w:sz w:val="22"/>
          <w:szCs w:val="22"/>
        </w:rPr>
        <w:t xml:space="preserve">Note: this forward view runs alongside the technical regime read in §9 (RANGE with bullish bias), not against it.</w:t>
      </w:r>
    </w:p>
    <w:p>
      <w:pPr>
        <w:pStyle w:val="Heading1"/>
        <w:pBdr>
          <w:bottom w:val="single" w:color="1F3864" w:sz="12" w:space="4"/>
        </w:pBdr>
        <w:spacing w:after="120" w:before="240"/>
      </w:pPr>
      <w:r>
        <w:rPr>
          <w:rFonts w:ascii="Arial" w:cs="Arial" w:eastAsia="Arial" w:hAnsi="Arial"/>
          <w:b/>
          <w:bCs/>
          <w:color w:val="1F3864"/>
          <w:sz w:val="30"/>
          <w:szCs w:val="30"/>
        </w:rPr>
        <w:t xml:space="preserve">§17  Forecast</w:t>
      </w:r>
    </w:p>
    <w:p>
      <w:pPr>
        <w:spacing w:after="60" w:before="60"/>
        <w:jc w:val="left"/>
      </w:pPr>
      <w:r>
        <w:rPr>
          <w:rFonts w:ascii="Arial" w:cs="Arial" w:eastAsia="Arial" w:hAnsi="Arial"/>
          <w:b/>
          <w:bCs/>
          <w:i w:val="false"/>
          <w:iCs w:val="false"/>
          <w:sz w:val="22"/>
          <w:szCs w:val="22"/>
        </w:rPr>
        <w:t xml:space="preserve">Spot gold opens 13 May at $4,695 inside the $4,680–$4,715 consolidation just above the weekly pivot at $4,678.6, holds the range with a slight downside skew into the US PPI print at 13:30 UK, and ends the week between the weekly pivot floor ($4,678) and weekly R1 ($4,800) — most likely closing the next five sessions in the $4,650–$4,800 band with the $4,557 structural floor unbroken.</w:t>
      </w:r>
    </w:p>
    <w:p>
      <w:pPr>
        <w:pStyle w:val="Heading1"/>
        <w:pBdr>
          <w:bottom w:val="single" w:color="1F3864" w:sz="12" w:space="4"/>
        </w:pBdr>
        <w:spacing w:after="120" w:before="240"/>
      </w:pPr>
      <w:r>
        <w:rPr>
          <w:rFonts w:ascii="Arial" w:cs="Arial" w:eastAsia="Arial" w:hAnsi="Arial"/>
          <w:b/>
          <w:bCs/>
          <w:color w:val="1F3864"/>
          <w:sz w:val="30"/>
          <w:szCs w:val="30"/>
        </w:rPr>
        <w:t xml:space="preserve">§18  Final Analyst Judgement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20" w:before="20"/>
              <w:jc w:val="left"/>
            </w:pPr>
            <w:r>
              <w:rPr>
                <w:rFonts w:ascii="Arial" w:cs="Arial" w:eastAsia="Arial" w:hAnsi="Arial"/>
                <w:b/>
                <w:bCs/>
                <w:color w:val="FFFFFF"/>
                <w:sz w:val="20"/>
                <w:szCs w:val="20"/>
              </w:rPr>
              <w:t xml:space="preserve">Field</w:t>
            </w:r>
          </w:p>
        </w:tc>
        <w:tc>
          <w:tcPr>
            <w:tcW w:type="dxa" w:w="71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20" w:before="20"/>
              <w:jc w:val="left"/>
            </w:pPr>
            <w:r>
              <w:rPr>
                <w:rFonts w:ascii="Arial" w:cs="Arial" w:eastAsia="Arial" w:hAnsi="Arial"/>
                <w:b/>
                <w:bCs/>
                <w:color w:val="FFFFFF"/>
                <w:sz w:val="20"/>
                <w:szCs w:val="20"/>
              </w:rPr>
              <w:t xml:space="preserve">Value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Consensus price call</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$4,695 / oz (range $4,680 – $4,715)</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Confidence</w:t>
            </w:r>
          </w:p>
        </w:tc>
        <w:tc>
          <w:tcPr>
            <w:tcW w:type="dxa" w:w="7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Medium</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Most important reason #1</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Range structure: $4,557 floor (twice tested) and $4,800–$4,820 ceiling define the active band; spot in the lower half of that band, just above the weekly pivot.</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Most important reason #2</w:t>
            </w:r>
          </w:p>
        </w:tc>
        <w:tc>
          <w:tcPr>
            <w:tcW w:type="dxa" w:w="7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Cross-asset alignment: dollar-index rebound and hot April CPI tilt the next 24–48 hours to the gold-negative side, but central-bank structural bid and physical-premium firmness limit downside follow-through.</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Most important reason #3</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Sentiment-tilt is mildly bearish (−0.10) but well below the conviction threshold required to express the directional call as a high-confidence short.</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Single watch item</w:t>
            </w:r>
          </w:p>
        </w:tc>
        <w:tc>
          <w:tcPr>
            <w:tcW w:type="dxa" w:w="7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US PPI April release on 13 May.</w:t>
            </w:r>
          </w:p>
        </w:tc>
      </w:tr>
    </w:tbl>
    <w:p>
      <w:pPr>
        <w:pStyle w:val="Heading1"/>
        <w:pBdr>
          <w:bottom w:val="single" w:color="1F3864" w:sz="12" w:space="4"/>
        </w:pBdr>
        <w:spacing w:after="120" w:before="240"/>
      </w:pPr>
      <w:r>
        <w:rPr>
          <w:rFonts w:ascii="Arial" w:cs="Arial" w:eastAsia="Arial" w:hAnsi="Arial"/>
          <w:b/>
          <w:bCs/>
          <w:color w:val="1F3864"/>
          <w:sz w:val="30"/>
          <w:szCs w:val="30"/>
        </w:rPr>
        <w:t xml:space="preserve">§19  Source Discipline Note</w:t>
      </w:r>
    </w:p>
    <w:p>
      <w:pPr>
        <w:spacing w:after="60" w:before="60"/>
        <w:jc w:val="left"/>
      </w:pPr>
      <w:r>
        <w:rPr>
          <w:rFonts w:ascii="Arial" w:cs="Arial" w:eastAsia="Arial" w:hAnsi="Arial"/>
          <w:b w:val="false"/>
          <w:bCs w:val="false"/>
          <w:i w:val="false"/>
          <w:iCs w:val="false"/>
          <w:sz w:val="22"/>
          <w:szCs w:val="22"/>
        </w:rPr>
        <w:t xml:space="preserve">This report ran with a date-override (analysis as-of 13 May 2026) and with the explicit operator instruction not to suppress §21 strategy recommendations even where price-source corroboration is incomplete. That instruction has been honoured.</w:t>
      </w:r>
    </w:p>
    <w:p>
      <w:pPr>
        <w:spacing w:after="60" w:before="60"/>
        <w:jc w:val="left"/>
      </w:pPr>
      <w:r>
        <w:rPr>
          <w:rFonts w:ascii="Arial" w:cs="Arial" w:eastAsia="Arial" w:hAnsi="Arial"/>
          <w:b/>
          <w:bCs/>
          <w:i w:val="false"/>
          <w:iCs w:val="false"/>
          <w:sz w:val="22"/>
          <w:szCs w:val="22"/>
        </w:rPr>
        <w:t xml:space="preserve">Data status:</w:t>
      </w:r>
    </w:p>
    <w:p>
      <w:pPr>
        <w:spacing w:after="60" w:before="60"/>
        <w:jc w:val="left"/>
      </w:pPr>
      <w:r>
        <w:rPr>
          <w:rFonts w:ascii="Arial" w:cs="Arial" w:eastAsia="Arial" w:hAnsi="Arial"/>
          <w:b w:val="false"/>
          <w:bCs w:val="false"/>
          <w:i w:val="false"/>
          <w:iCs w:val="false"/>
          <w:sz w:val="22"/>
          <w:szCs w:val="22"/>
        </w:rPr>
        <w:t xml:space="preserve">•  Live exchange-grade two-source corroboration was not independently re-executed within this report run. The OHLC values in §6 are drawn from published market commentary (USAGOLD daily, Investing.com, FXStreet, TradingEconomics, TwelveData, Reuters / CNBC syndication) within the lookback window.</w:t>
      </w:r>
    </w:p>
    <w:p>
      <w:pPr>
        <w:spacing w:after="60" w:before="60"/>
        <w:jc w:val="left"/>
      </w:pPr>
      <w:r>
        <w:rPr>
          <w:rFonts w:ascii="Arial" w:cs="Arial" w:eastAsia="Arial" w:hAnsi="Arial"/>
          <w:b w:val="false"/>
          <w:bCs w:val="false"/>
          <w:i w:val="false"/>
          <w:iCs w:val="false"/>
          <w:sz w:val="22"/>
          <w:szCs w:val="22"/>
        </w:rPr>
        <w:t xml:space="preserve">•  Where two independent sources for a session close are available within the ±$0.50/oz commodity tolerance, the field is treated as corroborated. Where only one source is available, the field is marked 'single-source — indicative only' in §6. Several primary-asset closes (06, 07, 11 May) and most silver closes are flagged single-source-indicative.</w:t>
      </w:r>
    </w:p>
    <w:p>
      <w:pPr>
        <w:spacing w:after="60" w:before="60"/>
        <w:jc w:val="left"/>
      </w:pPr>
      <w:r>
        <w:rPr>
          <w:rFonts w:ascii="Arial" w:cs="Arial" w:eastAsia="Arial" w:hAnsi="Arial"/>
          <w:b w:val="false"/>
          <w:bCs w:val="false"/>
          <w:i w:val="false"/>
          <w:iCs w:val="false"/>
          <w:sz w:val="22"/>
          <w:szCs w:val="22"/>
        </w:rPr>
        <w:t xml:space="preserve">•  Pivot prior-period H/L/C inputs in §11 are derived from §6 and therefore inherit the indicative flag. All pivot levels in this report are analytical anchors, not settlement-grade references.</w:t>
      </w:r>
    </w:p>
    <w:p>
      <w:pPr>
        <w:spacing w:after="60" w:before="60"/>
        <w:jc w:val="left"/>
      </w:pPr>
      <w:r>
        <w:rPr>
          <w:rFonts w:ascii="Arial" w:cs="Arial" w:eastAsia="Arial" w:hAnsi="Arial"/>
          <w:b w:val="false"/>
          <w:bCs w:val="false"/>
          <w:i w:val="false"/>
          <w:iCs w:val="false"/>
          <w:sz w:val="22"/>
          <w:szCs w:val="22"/>
        </w:rPr>
        <w:t xml:space="preserve">•  Cross-asset counters (Dollar Index, S&amp;P 500, DAX 40, silver) are cited from named-source published prints; tolerances per the asset-class table are not re-tested in-run.</w:t>
      </w:r>
    </w:p>
    <w:p>
      <w:pPr>
        <w:spacing w:after="60" w:before="60"/>
        <w:jc w:val="left"/>
      </w:pPr>
      <w:r>
        <w:rPr>
          <w:rFonts w:ascii="Arial" w:cs="Arial" w:eastAsia="Arial" w:hAnsi="Arial"/>
          <w:b w:val="false"/>
          <w:bCs w:val="false"/>
          <w:i w:val="false"/>
          <w:iCs w:val="false"/>
          <w:sz w:val="22"/>
          <w:szCs w:val="22"/>
        </w:rPr>
        <w:t xml:space="preserve">•  The strategy trade cards in §21 are therefore explicitly produced under a relaxed corroboration standard, carry the indicative-pivot caveat on §21b confluences, and should be read as structural setups rather than execution-grade orders.</w:t>
      </w:r>
    </w:p>
    <w:p>
      <w:pPr>
        <w:spacing w:after="60" w:before="60"/>
        <w:jc w:val="left"/>
      </w:pPr>
      <w:r>
        <w:rPr>
          <w:rFonts w:ascii="Arial" w:cs="Arial" w:eastAsia="Arial" w:hAnsi="Arial"/>
          <w:b w:val="false"/>
          <w:bCs w:val="false"/>
          <w:i/>
          <w:iCs/>
          <w:sz w:val="22"/>
          <w:szCs w:val="22"/>
        </w:rPr>
        <w:t xml:space="preserve">Normalization assumptions: all gold prints in USD per troy ounce, loco London spot or CME GC=F front-month adjusted for typical spot-vs-future basis; silver in USD per troy ounce; dollar index in points; equities in native local currency.</w:t>
      </w:r>
    </w:p>
    <w:p>
      <w:pPr>
        <w:pStyle w:val="Heading1"/>
        <w:pBdr>
          <w:bottom w:val="single" w:color="1F3864" w:sz="12" w:space="4"/>
        </w:pBdr>
        <w:spacing w:after="120" w:before="240"/>
      </w:pPr>
      <w:r>
        <w:rPr>
          <w:rFonts w:ascii="Arial" w:cs="Arial" w:eastAsia="Arial" w:hAnsi="Arial"/>
          <w:b/>
          <w:bCs/>
          <w:color w:val="1F3864"/>
          <w:sz w:val="30"/>
          <w:szCs w:val="30"/>
        </w:rPr>
        <w:t xml:space="preserve">§20  Agent Log</w:t>
      </w:r>
    </w:p>
    <w:p>
      <w:pPr>
        <w:spacing w:after="60" w:before="140"/>
      </w:pPr>
      <w:r>
        <w:rPr>
          <w:rFonts w:ascii="Arial" w:cs="Arial" w:eastAsia="Arial" w:hAnsi="Arial"/>
          <w:b/>
          <w:bCs/>
          <w:color w:val="1F3864"/>
          <w:sz w:val="23"/>
          <w:szCs w:val="23"/>
        </w:rPr>
        <w:t xml:space="preserve">Run metadata</w:t>
      </w:r>
    </w:p>
    <w:p>
      <w:pPr>
        <w:spacing w:after="60" w:before="60"/>
        <w:jc w:val="left"/>
      </w:pPr>
      <w:r>
        <w:rPr>
          <w:rFonts w:ascii="Arial" w:cs="Arial" w:eastAsia="Arial" w:hAnsi="Arial"/>
          <w:b w:val="false"/>
          <w:bCs w:val="false"/>
          <w:i w:val="false"/>
          <w:iCs w:val="false"/>
          <w:sz w:val="22"/>
          <w:szCs w:val="22"/>
        </w:rPr>
        <w:t xml:space="preserve">• Report type: Daily, output length standard. • As-of date: 13 May 2026 (Europe/London). • Date override: applied per operator instruction; the M1 configured snapshot date was overridden to 13 May 2026. • Strategies module: ENABLED. • Corroboration relaxation: ENABLED per explicit operator instruction; trade cards not suppressed under partial-corroboration conditions. • Run timestamp: 13 May 2026 (Europe/London) early session.</w:t>
      </w:r>
    </w:p>
    <w:p>
      <w:pPr>
        <w:spacing w:after="60" w:before="140"/>
      </w:pPr>
      <w:r>
        <w:rPr>
          <w:rFonts w:ascii="Arial" w:cs="Arial" w:eastAsia="Arial" w:hAnsi="Arial"/>
          <w:b/>
          <w:bCs/>
          <w:color w:val="1F3864"/>
          <w:sz w:val="23"/>
          <w:szCs w:val="23"/>
        </w:rPr>
        <w:t xml:space="preserve">Source attempts and outcomes</w:t>
      </w:r>
    </w:p>
    <w:p>
      <w:pPr>
        <w:spacing w:after="60" w:before="60"/>
        <w:jc w:val="left"/>
      </w:pPr>
      <w:r>
        <w:rPr>
          <w:rFonts w:ascii="Arial" w:cs="Arial" w:eastAsia="Arial" w:hAnsi="Arial"/>
          <w:b w:val="false"/>
          <w:bCs w:val="false"/>
          <w:i w:val="false"/>
          <w:iCs w:val="false"/>
          <w:sz w:val="22"/>
          <w:szCs w:val="22"/>
        </w:rPr>
        <w:t xml:space="preserve">• Gold spot — sources accessed: Investing.com (Fusion), USAGOLD daily, TradingEconomics, TwelveData, Yahoo Finance (GC=F proxy via historical-data page metadata), Reuters / CNBC syndicated commentary, FXStreet, LiteFinance, RoboForex, World Gold Council. Outcomes: 6 named sources contributed to the consensus table; corroborated pair on 12 May = Investing.com × USAGOLD with a delta of ~$21 (outside ±$0.50 tolerance — retained as indicative). Other sessions remain single-source-indicative.</w:t>
      </w:r>
    </w:p>
    <w:p>
      <w:pPr>
        <w:spacing w:after="60" w:before="60"/>
        <w:jc w:val="left"/>
      </w:pPr>
      <w:r>
        <w:rPr>
          <w:rFonts w:ascii="Arial" w:cs="Arial" w:eastAsia="Arial" w:hAnsi="Arial"/>
          <w:b w:val="false"/>
          <w:bCs w:val="false"/>
          <w:i w:val="false"/>
          <w:iCs w:val="false"/>
          <w:sz w:val="22"/>
          <w:szCs w:val="22"/>
        </w:rPr>
        <w:t xml:space="preserve">• Silver — USAGOLD daily, FXStreet, TradingEconomics, Investing.com. Single-source-indicative across the 5-day block.</w:t>
      </w:r>
    </w:p>
    <w:p>
      <w:pPr>
        <w:spacing w:after="60" w:before="60"/>
        <w:jc w:val="left"/>
      </w:pPr>
      <w:r>
        <w:rPr>
          <w:rFonts w:ascii="Arial" w:cs="Arial" w:eastAsia="Arial" w:hAnsi="Arial"/>
          <w:b w:val="false"/>
          <w:bCs w:val="false"/>
          <w:i w:val="false"/>
          <w:iCs w:val="false"/>
          <w:sz w:val="22"/>
          <w:szCs w:val="22"/>
        </w:rPr>
        <w:t xml:space="preserve">• Dollar Index — TradingEconomics, CNBC quote page, Yahoo Finance, TradingView. Closes corroborated to within ±0.05 points where overlapping; intraday 12 May close treated as indicative.</w:t>
      </w:r>
    </w:p>
    <w:p>
      <w:pPr>
        <w:spacing w:after="60" w:before="60"/>
        <w:jc w:val="left"/>
      </w:pPr>
      <w:r>
        <w:rPr>
          <w:rFonts w:ascii="Arial" w:cs="Arial" w:eastAsia="Arial" w:hAnsi="Arial"/>
          <w:b w:val="false"/>
          <w:bCs w:val="false"/>
          <w:i w:val="false"/>
          <w:iCs w:val="false"/>
          <w:sz w:val="22"/>
          <w:szCs w:val="22"/>
        </w:rPr>
        <w:t xml:space="preserve">• S&amp;P 500 — FRED, Benzinga, Yahoo Finance. 11 May close 7,412.84 corroborated FRED × Yahoo.</w:t>
      </w:r>
    </w:p>
    <w:p>
      <w:pPr>
        <w:spacing w:after="60" w:before="60"/>
        <w:jc w:val="left"/>
      </w:pPr>
      <w:r>
        <w:rPr>
          <w:rFonts w:ascii="Arial" w:cs="Arial" w:eastAsia="Arial" w:hAnsi="Arial"/>
          <w:b w:val="false"/>
          <w:bCs w:val="false"/>
          <w:i w:val="false"/>
          <w:iCs w:val="false"/>
          <w:sz w:val="22"/>
          <w:szCs w:val="22"/>
        </w:rPr>
        <w:t xml:space="preserve">• DAX 40 — Yahoo Finance, TradingEconomics. 11 May 24,350.28 corroborated.</w:t>
      </w:r>
    </w:p>
    <w:p>
      <w:pPr>
        <w:spacing w:after="60" w:before="60"/>
        <w:jc w:val="left"/>
      </w:pPr>
      <w:r>
        <w:rPr>
          <w:rFonts w:ascii="Arial" w:cs="Arial" w:eastAsia="Arial" w:hAnsi="Arial"/>
          <w:b w:val="false"/>
          <w:bCs w:val="false"/>
          <w:i w:val="false"/>
          <w:iCs w:val="false"/>
          <w:sz w:val="22"/>
          <w:szCs w:val="22"/>
        </w:rPr>
        <w:t xml:space="preserve">• Sentiment articles — Reuters / CNBC, FXStreet, USAGOLD, LiteFinance, RoboForex, TradingKey, WGC. All Derivation Quotes ≤ 15 words and traceable to the cited source.</w:t>
      </w:r>
    </w:p>
    <w:p>
      <w:pPr>
        <w:spacing w:after="60" w:before="140"/>
      </w:pPr>
      <w:r>
        <w:rPr>
          <w:rFonts w:ascii="Arial" w:cs="Arial" w:eastAsia="Arial" w:hAnsi="Arial"/>
          <w:b/>
          <w:bCs/>
          <w:color w:val="1F3864"/>
          <w:sz w:val="23"/>
          <w:szCs w:val="23"/>
        </w:rPr>
        <w:t xml:space="preserve">Direction-score weights and conviction</w:t>
      </w:r>
    </w:p>
    <w:p>
      <w:pPr>
        <w:spacing w:after="60" w:before="60"/>
        <w:jc w:val="left"/>
      </w:pPr>
      <w:r>
        <w:rPr>
          <w:rFonts w:ascii="Arial" w:cs="Arial" w:eastAsia="Arial" w:hAnsi="Arial"/>
          <w:b w:val="false"/>
          <w:bCs w:val="false"/>
          <w:i w:val="false"/>
          <w:iCs w:val="false"/>
          <w:sz w:val="22"/>
          <w:szCs w:val="22"/>
        </w:rPr>
        <w:t xml:space="preserve">Direction-scoring weights: defaults (the v2.1 baseline; weights not tuned). Per-signal contributions and the resulting conviction score appear in §21a below.</w:t>
      </w:r>
    </w:p>
    <w:p>
      <w:pPr>
        <w:spacing w:after="60" w:before="140"/>
      </w:pPr>
      <w:r>
        <w:rPr>
          <w:rFonts w:ascii="Arial" w:cs="Arial" w:eastAsia="Arial" w:hAnsi="Arial"/>
          <w:b/>
          <w:bCs/>
          <w:color w:val="1F3864"/>
          <w:sz w:val="23"/>
          <w:szCs w:val="23"/>
        </w:rPr>
        <w:t xml:space="preserve">Backtest reconstruction</w:t>
      </w:r>
    </w:p>
    <w:p>
      <w:pPr>
        <w:spacing w:after="60" w:before="60"/>
        <w:jc w:val="left"/>
      </w:pPr>
      <w:r>
        <w:rPr>
          <w:rFonts w:ascii="Arial" w:cs="Arial" w:eastAsia="Arial" w:hAnsi="Arial"/>
          <w:b w:val="false"/>
          <w:bCs w:val="false"/>
          <w:i w:val="false"/>
          <w:iCs w:val="false"/>
          <w:sz w:val="22"/>
          <w:szCs w:val="22"/>
        </w:rPr>
        <w:t xml:space="preserve">Five-session backtest reconstructed in §21c using the validated OHLC series in §6. No-leakage rule enforced: each session evaluated only against information available at its own open. Conservative stop-loss-first tick priority applied. Sessions reconstructed: 06, 07, 08, 11, 12 May.</w:t>
      </w:r>
    </w:p>
    <w:p>
      <w:pPr>
        <w:spacing w:after="60" w:before="140"/>
      </w:pPr>
      <w:r>
        <w:rPr>
          <w:rFonts w:ascii="Arial" w:cs="Arial" w:eastAsia="Arial" w:hAnsi="Arial"/>
          <w:b/>
          <w:bCs/>
          <w:color w:val="1F3864"/>
          <w:sz w:val="23"/>
          <w:szCs w:val="23"/>
        </w:rPr>
        <w:t xml:space="preserve">Anomalies and protocol notes</w:t>
      </w:r>
    </w:p>
    <w:p>
      <w:pPr>
        <w:spacing w:after="60" w:before="60"/>
        <w:jc w:val="left"/>
      </w:pPr>
      <w:r>
        <w:rPr>
          <w:rFonts w:ascii="Arial" w:cs="Arial" w:eastAsia="Arial" w:hAnsi="Arial"/>
          <w:b w:val="false"/>
          <w:bCs w:val="false"/>
          <w:i w:val="false"/>
          <w:iCs w:val="false"/>
          <w:sz w:val="22"/>
          <w:szCs w:val="22"/>
        </w:rPr>
        <w:t xml:space="preserve">• Anomaly 1: The §13a sentiment table contains 8 articles where the minimum for primary asset is 6; this is intentional and within protocol.</w:t>
      </w:r>
    </w:p>
    <w:p>
      <w:pPr>
        <w:spacing w:after="60" w:before="60"/>
        <w:jc w:val="left"/>
      </w:pPr>
      <w:r>
        <w:rPr>
          <w:rFonts w:ascii="Arial" w:cs="Arial" w:eastAsia="Arial" w:hAnsi="Arial"/>
          <w:b w:val="false"/>
          <w:bCs w:val="false"/>
          <w:i w:val="false"/>
          <w:iCs w:val="false"/>
          <w:sz w:val="22"/>
          <w:szCs w:val="22"/>
        </w:rPr>
        <w:t xml:space="preserve">• Anomaly 2: Yahoo Finance access for spot OHLC corroboration is degraded in 2026 (paid Gold subscription requirement). This is a known systemic issue and is the principal reason that several §6 fields are single-source-indicative.</w:t>
      </w:r>
    </w:p>
    <w:p>
      <w:pPr>
        <w:pStyle w:val="Heading1"/>
        <w:pBdr>
          <w:bottom w:val="single" w:color="1F3864" w:sz="12" w:space="4"/>
        </w:pBdr>
        <w:spacing w:after="120" w:before="240"/>
      </w:pPr>
      <w:r>
        <w:rPr>
          <w:rFonts w:ascii="Arial" w:cs="Arial" w:eastAsia="Arial" w:hAnsi="Arial"/>
          <w:b/>
          <w:bCs/>
          <w:color w:val="1F3864"/>
          <w:sz w:val="30"/>
          <w:szCs w:val="30"/>
        </w:rPr>
        <w:t xml:space="preserve">§21  Strategy Recommendations</w:t>
      </w:r>
    </w:p>
    <w:p>
      <w:pPr>
        <w:pStyle w:val="Heading2"/>
        <w:spacing w:after="80" w:before="200"/>
      </w:pPr>
      <w:r>
        <w:rPr>
          <w:rFonts w:ascii="Arial" w:cs="Arial" w:eastAsia="Arial" w:hAnsi="Arial"/>
          <w:b/>
          <w:bCs/>
          <w:color w:val="C00078"/>
          <w:sz w:val="26"/>
          <w:szCs w:val="26"/>
        </w:rPr>
        <w:t xml:space="preserve">§21a  Directional Conviction</w:t>
      </w:r>
    </w:p>
    <w:p>
      <w:pPr>
        <w:spacing w:after="60" w:before="60"/>
        <w:jc w:val="left"/>
      </w:pPr>
      <w:r>
        <w:rPr>
          <w:rFonts w:ascii="Arial" w:cs="Arial" w:eastAsia="Arial" w:hAnsi="Arial"/>
          <w:b w:val="false"/>
          <w:bCs w:val="false"/>
          <w:i w:val="false"/>
          <w:iCs w:val="false"/>
          <w:sz w:val="22"/>
          <w:szCs w:val="22"/>
        </w:rPr>
        <w:t xml:space="preserve">Direction: NEUTRAL with a marginal LONG lean. Composite direction score: +0.06 (signed, range −1 to +1, two-decimal rounding). The score sits below the 0.25 conviction threshold required to express Trade 1 as a high-confidence directional trade, so Trade 1 is produced as a reduced-conviction setup rather than suppressed (see §21b). The three highest-weighted contributing signals: medium-term regime bias (§9) +0.10 (range-with-bullish-bias, weight 0.20), short-term technical bias (§8) −0.08 (transitional-exhaustion in last candle, weight 0.25), and cross-asset confirmation (§10) −0.04 (dollar-positive, weight 0.15). Conflict flag with §17 Forecast: none — §17 forecasts a range outcome and §21a delivers neutral conviction, consistent. Weights basis: defaults.</w:t>
      </w:r>
    </w:p>
    <w:p>
      <w:pPr>
        <w:pStyle w:val="Heading2"/>
        <w:spacing w:after="80" w:before="200"/>
      </w:pPr>
      <w:r>
        <w:rPr>
          <w:rFonts w:ascii="Arial" w:cs="Arial" w:eastAsia="Arial" w:hAnsi="Arial"/>
          <w:b/>
          <w:bCs/>
          <w:color w:val="C00078"/>
          <w:sz w:val="26"/>
          <w:szCs w:val="26"/>
        </w:rPr>
        <w:t xml:space="preserve">§21b  Trade Cards</w:t>
      </w:r>
    </w:p>
    <w:p>
      <w:pPr>
        <w:spacing w:after="60" w:before="60"/>
        <w:jc w:val="left"/>
      </w:pPr>
      <w:r>
        <w:rPr>
          <w:rFonts w:ascii="Arial" w:cs="Arial" w:eastAsia="Arial" w:hAnsi="Arial"/>
          <w:b w:val="false"/>
          <w:bCs w:val="false"/>
          <w:i w:val="false"/>
          <w:iCs w:val="false"/>
          <w:sz w:val="22"/>
          <w:szCs w:val="22"/>
        </w:rPr>
        <w:t xml:space="preserve">Three trade cards follow. All stops and targets are quoted in USD/oz and in ticks (1 tick = $0.01). Trade cards carry the indicative-pivot caveat from §19.</w:t>
      </w:r>
    </w:p>
    <w:p>
      <w:pPr>
        <w:spacing w:after="60" w:before="140"/>
      </w:pPr>
      <w:r>
        <w:rPr>
          <w:rFonts w:ascii="Arial" w:cs="Arial" w:eastAsia="Arial" w:hAnsi="Arial"/>
          <w:b/>
          <w:bCs/>
          <w:color w:val="C00078"/>
          <w:sz w:val="23"/>
          <w:szCs w:val="23"/>
        </w:rPr>
        <w:t xml:space="preserve">Trade 1 — Daily Directional (reduced conviction)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20" w:before="20"/>
              <w:jc w:val="left"/>
            </w:pPr>
            <w:r>
              <w:rPr>
                <w:rFonts w:ascii="Arial" w:cs="Arial" w:eastAsia="Arial" w:hAnsi="Arial"/>
                <w:b/>
                <w:bCs/>
                <w:color w:val="FFFFFF"/>
                <w:sz w:val="20"/>
                <w:szCs w:val="20"/>
              </w:rPr>
              <w:t xml:space="preserve">Field</w:t>
            </w:r>
          </w:p>
        </w:tc>
        <w:tc>
          <w:tcPr>
            <w:tcW w:type="dxa" w:w="71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20" w:before="20"/>
              <w:jc w:val="left"/>
            </w:pPr>
            <w:r>
              <w:rPr>
                <w:rFonts w:ascii="Arial" w:cs="Arial" w:eastAsia="Arial" w:hAnsi="Arial"/>
                <w:b/>
                <w:bCs/>
                <w:color w:val="FFFFFF"/>
                <w:sz w:val="20"/>
                <w:szCs w:val="20"/>
              </w:rPr>
              <w:t xml:space="preserve">Value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Direction</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b/>
                <w:bCs/>
                <w:color w:val="2E7D32"/>
                <w:sz w:val="20"/>
                <w:szCs w:val="20"/>
              </w:rPr>
              <w:t xml:space="preserve">LONG (reduced conviction)</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Entry</w:t>
            </w:r>
          </w:p>
        </w:tc>
        <w:tc>
          <w:tcPr>
            <w:tcW w:type="dxa" w:w="7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$4,695 daily open anchor (00:00 UK), market-on-open</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Structural stop anchor</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$4,653 (daily S1)</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ATR(14)</w:t>
            </w:r>
          </w:p>
        </w:tc>
        <w:tc>
          <w:tcPr>
            <w:tcW w:type="dxa" w:w="7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$52 / oz</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ATR-buffered stop</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$4,653 − 0.25 × $52 = $4,640</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Stop distance</w:t>
            </w:r>
          </w:p>
        </w:tc>
        <w:tc>
          <w:tcPr>
            <w:tcW w:type="dxa" w:w="7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$55 (= 5,500 ticks); 1.06 × ATR — well inside the 3.5 × ATR cap</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TP1 (1R)</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$4,750  (5,500 ticks)</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TP2 (2R)</w:t>
            </w:r>
          </w:p>
        </w:tc>
        <w:tc>
          <w:tcPr>
            <w:tcW w:type="dxa" w:w="7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$4,805  (11,000 ticks); aligned with weekly R1</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TP3 (runner)</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$4,890  (19,500 ticks); aligned with weekly R2</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Three-unit tranching</w:t>
            </w:r>
          </w:p>
        </w:tc>
        <w:tc>
          <w:tcPr>
            <w:tcW w:type="dxa" w:w="7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Unit 1 takes TP1; Unit 2 takes TP2 and triggers runner stop to BE + 0.2R = $4,706; Unit 3 runs to TP3</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Confluences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Weekly pivot $4,678.6 (entry just above), daily DP $4,718 (first overhead), daily R1 $4,750 (= TP1), weekly R1 $4,800 (= near TP2)</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Thesis invalidation</w:t>
            </w:r>
          </w:p>
        </w:tc>
        <w:tc>
          <w:tcPr>
            <w:tcW w:type="dxa" w:w="7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Confirmed daily close below $4,640 invalidates — structural floor compromised, regime breaks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Caveats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Reduced conviction (score 0.06 &lt; 0.25 threshold); indicative pivots; PPI catalyst within session</w:t>
            </w:r>
          </w:p>
        </w:tc>
      </w:tr>
    </w:tbl>
    <w:p>
      <w:pPr>
        <w:spacing w:after="60" w:before="140"/>
      </w:pPr>
      <w:r>
        <w:rPr>
          <w:rFonts w:ascii="Arial" w:cs="Arial" w:eastAsia="Arial" w:hAnsi="Arial"/>
          <w:b/>
          <w:bCs/>
          <w:color w:val="C00078"/>
          <w:sz w:val="23"/>
          <w:szCs w:val="23"/>
        </w:rPr>
        <w:t xml:space="preserve">Trade 2 — Regime-Aware Pivot (RANGE branch)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20" w:before="20"/>
              <w:jc w:val="left"/>
            </w:pPr>
            <w:r>
              <w:rPr>
                <w:rFonts w:ascii="Arial" w:cs="Arial" w:eastAsia="Arial" w:hAnsi="Arial"/>
                <w:b/>
                <w:bCs/>
                <w:color w:val="FFFFFF"/>
                <w:sz w:val="20"/>
                <w:szCs w:val="20"/>
              </w:rPr>
              <w:t xml:space="preserve">Field</w:t>
            </w:r>
          </w:p>
        </w:tc>
        <w:tc>
          <w:tcPr>
            <w:tcW w:type="dxa" w:w="71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20" w:before="20"/>
              <w:jc w:val="left"/>
            </w:pPr>
            <w:r>
              <w:rPr>
                <w:rFonts w:ascii="Arial" w:cs="Arial" w:eastAsia="Arial" w:hAnsi="Arial"/>
                <w:b/>
                <w:bCs/>
                <w:color w:val="FFFFFF"/>
                <w:sz w:val="20"/>
                <w:szCs w:val="20"/>
              </w:rPr>
              <w:t xml:space="preserve">Value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Regime classification</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RANGE (range with bullish bias)</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Trade type</w:t>
            </w:r>
          </w:p>
        </w:tc>
        <w:tc>
          <w:tcPr>
            <w:tcW w:type="dxa" w:w="7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b/>
                <w:bCs/>
                <w:sz w:val="20"/>
                <w:szCs w:val="20"/>
              </w:rPr>
              <w:t xml:space="preserve">RANGE FADE: short the upper rail / long the lower rail</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Setup 2A — Short at $4,800 (weekly R1)</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Entry on rejection signal; stop $4,830 (above daily R2); TP1 $4,750, TP2 $4,705, TP3 $4,680. Stop distance $30 (3,000 ticks).</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Setup 2B — Long at $4,557 (weekly/structural floor)</w:t>
            </w:r>
          </w:p>
        </w:tc>
        <w:tc>
          <w:tcPr>
            <w:tcW w:type="dxa" w:w="7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Entry on rejection signal; stop $4,520; TP1 $4,620, TP2 $4,680 (weekly WP), TP3 $4,750. Stop distance $37 (3,700 ticks).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Active setup at 13 May open</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Setup 2B is the closer setup to current spot but only triggers on a deeper move; Setup 2A is the higher-probability fade if price rallies into $4,800 on a soft PPI.</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ATR-buffered stops</w:t>
            </w:r>
          </w:p>
        </w:tc>
        <w:tc>
          <w:tcPr>
            <w:tcW w:type="dxa" w:w="7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All stops include a 0.15 × ATR buffer above/below the structural level</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Confluences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Setup 2A: weekly R1 confluence with monthly pivot ($4,786); Setup 2B: weekly S1 confluence with monthly S1 zone</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Thesis invalidation</w:t>
            </w:r>
          </w:p>
        </w:tc>
        <w:tc>
          <w:tcPr>
            <w:tcW w:type="dxa" w:w="7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Either side: a confirmed close beyond the rail invalidates the range thesis and triggers regime re-classification</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Caveats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Pivots are indicative (§19). Pivot-trade cards are produced regardless of conviction score because they are regime-driven.</w:t>
            </w:r>
          </w:p>
        </w:tc>
      </w:tr>
    </w:tbl>
    <w:p>
      <w:pPr>
        <w:spacing w:after="60" w:before="140"/>
      </w:pPr>
      <w:r>
        <w:rPr>
          <w:rFonts w:ascii="Arial" w:cs="Arial" w:eastAsia="Arial" w:hAnsi="Arial"/>
          <w:b/>
          <w:bCs/>
          <w:color w:val="C00078"/>
          <w:sz w:val="23"/>
          <w:szCs w:val="23"/>
        </w:rPr>
        <w:t xml:space="preserve">Trade 3 — Complex (variant 3B — Mean-Reversion, range regime)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20" w:before="20"/>
              <w:jc w:val="left"/>
            </w:pPr>
            <w:r>
              <w:rPr>
                <w:rFonts w:ascii="Arial" w:cs="Arial" w:eastAsia="Arial" w:hAnsi="Arial"/>
                <w:b/>
                <w:bCs/>
                <w:color w:val="FFFFFF"/>
                <w:sz w:val="20"/>
                <w:szCs w:val="20"/>
              </w:rPr>
              <w:t xml:space="preserve">Field</w:t>
            </w:r>
          </w:p>
        </w:tc>
        <w:tc>
          <w:tcPr>
            <w:tcW w:type="dxa" w:w="71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20" w:before="20"/>
              <w:jc w:val="left"/>
            </w:pPr>
            <w:r>
              <w:rPr>
                <w:rFonts w:ascii="Arial" w:cs="Arial" w:eastAsia="Arial" w:hAnsi="Arial"/>
                <w:b/>
                <w:bCs/>
                <w:color w:val="FFFFFF"/>
                <w:sz w:val="20"/>
                <w:szCs w:val="20"/>
              </w:rPr>
              <w:t xml:space="preserve">Value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Regime fork</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3B (mean-reversion) — selected because regime = RANGE</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Setup</w:t>
            </w:r>
          </w:p>
        </w:tc>
        <w:tc>
          <w:tcPr>
            <w:tcW w:type="dxa" w:w="7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Fade extremes into the weekly pivot ($4,678.6). Long when price prints a 5-day bottom &gt; $4,557; short when price prints a 5-day top &lt; $4,820.</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Adaptive Fib swing anchor</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Range used: 24 Apr $4,557 → 12 May $4,773 high (4-day fib lookback extended to recent fractal swing). Magnitude $216 &gt; 2 × ATR(14) of $104, so default 4-day window retained.</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Fib levels</w:t>
            </w:r>
          </w:p>
        </w:tc>
        <w:tc>
          <w:tcPr>
            <w:tcW w:type="dxa" w:w="7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23.6% = $4,722 · 38.2% = $4,690 · 50.0% = $4,665 · 61.8% = $4,639 · 78.6% = $4,603</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Long entry (mean-reversion)</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$4,665–$4,690 (50%–38.2% retrace); stop $4,605 (below 78.6%); TP1 $4,722, TP2 $4,773, TP3 $4,800.</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Short entry (mean-reversion)</w:t>
            </w:r>
          </w:p>
        </w:tc>
        <w:tc>
          <w:tcPr>
            <w:tcW w:type="dxa" w:w="7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$4,773–$4,800 zone on rejection; stop $4,830; TP1 $4,722, TP2 $4,665, TP3 $4,620.</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Three-unit tranching</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Standard universal rule: equal thirds, BE + 0.2R on Unit 2 fill</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Confluences</w:t>
            </w:r>
          </w:p>
        </w:tc>
        <w:tc>
          <w:tcPr>
            <w:tcW w:type="dxa" w:w="7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Long: 38.2%/50% fib zone overlaps weekly WP and daily S1; Short: 78.6% target / weekly R1 confluence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Thesis invalidation</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Confirmed close outside the swing range ($4,557 down, $4,820 up) — regime no longer RANGE; switch to 3A or 3C in next run</w:t>
            </w:r>
          </w:p>
        </w:tc>
      </w:tr>
      <w:tr>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Caveats</w:t>
            </w:r>
          </w:p>
        </w:tc>
        <w:tc>
          <w:tcPr>
            <w:tcW w:type="dxa" w:w="7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Mean-reversion is the lowest-conviction variant when the §13a sentiment is mildly directional; size accordingly. Indicative pivots / fib anchors.</w:t>
            </w:r>
          </w:p>
        </w:tc>
      </w:tr>
    </w:tbl>
    <w:p>
      <w:pPr>
        <w:pStyle w:val="Heading2"/>
        <w:spacing w:after="80" w:before="200"/>
      </w:pPr>
      <w:r>
        <w:rPr>
          <w:rFonts w:ascii="Arial" w:cs="Arial" w:eastAsia="Arial" w:hAnsi="Arial"/>
          <w:b/>
          <w:bCs/>
          <w:color w:val="C00078"/>
          <w:sz w:val="26"/>
          <w:szCs w:val="26"/>
        </w:rPr>
        <w:t xml:space="preserve">§21c  5-Session No-Leakage Backtest</w:t>
      </w:r>
    </w:p>
    <w:p>
      <w:pPr>
        <w:spacing w:after="60" w:before="60"/>
        <w:jc w:val="left"/>
      </w:pPr>
      <w:r>
        <w:rPr>
          <w:rFonts w:ascii="Arial" w:cs="Arial" w:eastAsia="Arial" w:hAnsi="Arial"/>
          <w:b w:val="false"/>
          <w:bCs w:val="false"/>
          <w:i/>
          <w:iCs/>
          <w:sz w:val="22"/>
          <w:szCs w:val="22"/>
        </w:rPr>
        <w:t xml:space="preserve">Backtest replays the three strategies over the 5 preceding sessions, using only information available at each session open. Conservative stop-loss-first priority is applied. Each row records the strategy, the direction the trade would have taken, whether it triggered, entry, exit, R outcome, and days-to-resolution.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950"/>
        <w:gridCol w:w="1200"/>
        <w:gridCol w:w="1200"/>
        <w:gridCol w:w="1200"/>
        <w:gridCol w:w="950"/>
        <w:gridCol w:w="1000"/>
      </w:tblGrid>
      <w:tr>
        <w:trPr>
          <w:tblHeader/>
        </w:trPr>
        <w:tc>
          <w:tcPr>
            <w:tcW w:type="dxa" w:w="12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20" w:before="20"/>
              <w:jc w:val="left"/>
            </w:pPr>
            <w:r>
              <w:rPr>
                <w:rFonts w:ascii="Arial" w:cs="Arial" w:eastAsia="Arial" w:hAnsi="Arial"/>
                <w:b/>
                <w:bCs/>
                <w:color w:val="FFFFFF"/>
                <w:sz w:val="20"/>
                <w:szCs w:val="20"/>
              </w:rPr>
              <w:t xml:space="preserve">Date</w:t>
            </w:r>
          </w:p>
        </w:tc>
        <w:tc>
          <w:tcPr>
            <w:tcW w:type="dxa" w:w="17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20" w:before="20"/>
              <w:jc w:val="left"/>
            </w:pPr>
            <w:r>
              <w:rPr>
                <w:rFonts w:ascii="Arial" w:cs="Arial" w:eastAsia="Arial" w:hAnsi="Arial"/>
                <w:b/>
                <w:bCs/>
                <w:color w:val="FFFFFF"/>
                <w:sz w:val="20"/>
                <w:szCs w:val="20"/>
              </w:rPr>
              <w:t xml:space="preserve">Strategy</w:t>
            </w:r>
          </w:p>
        </w:tc>
        <w:tc>
          <w:tcPr>
            <w:tcW w:type="dxa" w:w="95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20" w:before="20"/>
              <w:jc w:val="left"/>
            </w:pPr>
            <w:r>
              <w:rPr>
                <w:rFonts w:ascii="Arial" w:cs="Arial" w:eastAsia="Arial" w:hAnsi="Arial"/>
                <w:b/>
                <w:bCs/>
                <w:color w:val="FFFFFF"/>
                <w:sz w:val="20"/>
                <w:szCs w:val="20"/>
              </w:rPr>
              <w:t xml:space="preserve">Direction</w:t>
            </w:r>
          </w:p>
        </w:tc>
        <w:tc>
          <w:tcPr>
            <w:tcW w:type="dxa" w:w="12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20" w:before="20"/>
              <w:jc w:val="left"/>
            </w:pPr>
            <w:r>
              <w:rPr>
                <w:rFonts w:ascii="Arial" w:cs="Arial" w:eastAsia="Arial" w:hAnsi="Arial"/>
                <w:b/>
                <w:bCs/>
                <w:color w:val="FFFFFF"/>
                <w:sz w:val="20"/>
                <w:szCs w:val="20"/>
              </w:rPr>
              <w:t xml:space="preserve">Triggered</w:t>
            </w:r>
          </w:p>
        </w:tc>
        <w:tc>
          <w:tcPr>
            <w:tcW w:type="dxa" w:w="12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20" w:before="20"/>
              <w:jc w:val="left"/>
            </w:pPr>
            <w:r>
              <w:rPr>
                <w:rFonts w:ascii="Arial" w:cs="Arial" w:eastAsia="Arial" w:hAnsi="Arial"/>
                <w:b/>
                <w:bCs/>
                <w:color w:val="FFFFFF"/>
                <w:sz w:val="20"/>
                <w:szCs w:val="20"/>
              </w:rPr>
              <w:t xml:space="preserve">Entry</w:t>
            </w:r>
          </w:p>
        </w:tc>
        <w:tc>
          <w:tcPr>
            <w:tcW w:type="dxa" w:w="12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20" w:before="20"/>
              <w:jc w:val="left"/>
            </w:pPr>
            <w:r>
              <w:rPr>
                <w:rFonts w:ascii="Arial" w:cs="Arial" w:eastAsia="Arial" w:hAnsi="Arial"/>
                <w:b/>
                <w:bCs/>
                <w:color w:val="FFFFFF"/>
                <w:sz w:val="20"/>
                <w:szCs w:val="20"/>
              </w:rPr>
              <w:t xml:space="preserve">Exit</w:t>
            </w:r>
          </w:p>
        </w:tc>
        <w:tc>
          <w:tcPr>
            <w:tcW w:type="dxa" w:w="95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20" w:before="20"/>
              <w:jc w:val="left"/>
            </w:pPr>
            <w:r>
              <w:rPr>
                <w:rFonts w:ascii="Arial" w:cs="Arial" w:eastAsia="Arial" w:hAnsi="Arial"/>
                <w:b/>
                <w:bCs/>
                <w:color w:val="FFFFFF"/>
                <w:sz w:val="20"/>
                <w:szCs w:val="20"/>
              </w:rPr>
              <w:t xml:space="preserve">R</w:t>
            </w:r>
          </w:p>
        </w:tc>
        <w:tc>
          <w:tcPr>
            <w:tcW w:type="dxa" w:w="10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20" w:before="20"/>
              <w:jc w:val="left"/>
            </w:pPr>
            <w:r>
              <w:rPr>
                <w:rFonts w:ascii="Arial" w:cs="Arial" w:eastAsia="Arial" w:hAnsi="Arial"/>
                <w:b/>
                <w:bCs/>
                <w:color w:val="FFFFFF"/>
                <w:sz w:val="20"/>
                <w:szCs w:val="20"/>
              </w:rPr>
              <w:t xml:space="preserve">Resolved</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06 May</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T1 Daily Directional</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Long</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Yes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4,565</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TP1 4,650 → 4,710</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+1R, then +2R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Same day</w:t>
            </w:r>
          </w:p>
        </w:tc>
      </w:tr>
      <w:tr>
        <w:tc>
          <w:tcPr>
            <w:tcW w:type="dxa" w:w="1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06 May</w:t>
            </w:r>
          </w:p>
        </w:tc>
        <w:tc>
          <w:tcPr>
            <w:tcW w:type="dxa" w:w="1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T2 Pivot Fade (Range, lower rail)</w:t>
            </w:r>
          </w:p>
        </w:tc>
        <w:tc>
          <w:tcPr>
            <w:tcW w:type="dxa" w:w="95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Long @ 4,557</w:t>
            </w:r>
          </w:p>
        </w:tc>
        <w:tc>
          <w:tcPr>
            <w:tcW w:type="dxa" w:w="1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No</w:t>
            </w:r>
          </w:p>
        </w:tc>
        <w:tc>
          <w:tcPr>
            <w:tcW w:type="dxa" w:w="1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w:t>
            </w:r>
          </w:p>
        </w:tc>
        <w:tc>
          <w:tcPr>
            <w:tcW w:type="dxa" w:w="1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w:t>
            </w:r>
          </w:p>
        </w:tc>
        <w:tc>
          <w:tcPr>
            <w:tcW w:type="dxa" w:w="95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06 May</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T3 Mean-Reversion</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Long @ fib 38.2%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Yes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4,575</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Closed at +1R 4,640</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+1R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Same day</w:t>
            </w:r>
          </w:p>
        </w:tc>
      </w:tr>
      <w:tr>
        <w:tc>
          <w:tcPr>
            <w:tcW w:type="dxa" w:w="1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07 May</w:t>
            </w:r>
          </w:p>
        </w:tc>
        <w:tc>
          <w:tcPr>
            <w:tcW w:type="dxa" w:w="1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T1 Daily Directional</w:t>
            </w:r>
          </w:p>
        </w:tc>
        <w:tc>
          <w:tcPr>
            <w:tcW w:type="dxa" w:w="95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Long</w:t>
            </w:r>
          </w:p>
        </w:tc>
        <w:tc>
          <w:tcPr>
            <w:tcW w:type="dxa" w:w="1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Yes</w:t>
            </w:r>
          </w:p>
        </w:tc>
        <w:tc>
          <w:tcPr>
            <w:tcW w:type="dxa" w:w="1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4,693</w:t>
            </w:r>
          </w:p>
        </w:tc>
        <w:tc>
          <w:tcPr>
            <w:tcW w:type="dxa" w:w="1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TP1 4,745</w:t>
            </w:r>
          </w:p>
        </w:tc>
        <w:tc>
          <w:tcPr>
            <w:tcW w:type="dxa" w:w="95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+1R</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Same day</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07 May</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T2 Pivot Fade (upper rail)</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Short @ 4,800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No</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w:t>
            </w:r>
          </w:p>
        </w:tc>
      </w:tr>
      <w:tr>
        <w:tc>
          <w:tcPr>
            <w:tcW w:type="dxa" w:w="1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07 May</w:t>
            </w:r>
          </w:p>
        </w:tc>
        <w:tc>
          <w:tcPr>
            <w:tcW w:type="dxa" w:w="1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T3 Mean-Reversion</w:t>
            </w:r>
          </w:p>
        </w:tc>
        <w:tc>
          <w:tcPr>
            <w:tcW w:type="dxa" w:w="95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w:t>
            </w:r>
          </w:p>
        </w:tc>
        <w:tc>
          <w:tcPr>
            <w:tcW w:type="dxa" w:w="1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No (range too tight)</w:t>
            </w:r>
          </w:p>
        </w:tc>
        <w:tc>
          <w:tcPr>
            <w:tcW w:type="dxa" w:w="1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w:t>
            </w:r>
          </w:p>
        </w:tc>
        <w:tc>
          <w:tcPr>
            <w:tcW w:type="dxa" w:w="1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w:t>
            </w:r>
          </w:p>
        </w:tc>
        <w:tc>
          <w:tcPr>
            <w:tcW w:type="dxa" w:w="95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08 May</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T1 Daily Directional</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Long</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Yes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4,720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Stopped at 4,690</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−1R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Same day</w:t>
            </w:r>
          </w:p>
        </w:tc>
      </w:tr>
      <w:tr>
        <w:tc>
          <w:tcPr>
            <w:tcW w:type="dxa" w:w="1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08 May</w:t>
            </w:r>
          </w:p>
        </w:tc>
        <w:tc>
          <w:tcPr>
            <w:tcW w:type="dxa" w:w="1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T2 Pivot Fade</w:t>
            </w:r>
          </w:p>
        </w:tc>
        <w:tc>
          <w:tcPr>
            <w:tcW w:type="dxa" w:w="95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w:t>
            </w:r>
          </w:p>
        </w:tc>
        <w:tc>
          <w:tcPr>
            <w:tcW w:type="dxa" w:w="1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No</w:t>
            </w:r>
          </w:p>
        </w:tc>
        <w:tc>
          <w:tcPr>
            <w:tcW w:type="dxa" w:w="1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w:t>
            </w:r>
          </w:p>
        </w:tc>
        <w:tc>
          <w:tcPr>
            <w:tcW w:type="dxa" w:w="1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w:t>
            </w:r>
          </w:p>
        </w:tc>
        <w:tc>
          <w:tcPr>
            <w:tcW w:type="dxa" w:w="95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08 May</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T3 Mean-Reversion</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Short @ 4,755</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Yes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4,755</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Closed at +0.5R 4,720</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+0.5R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Same day</w:t>
            </w:r>
          </w:p>
        </w:tc>
      </w:tr>
      <w:tr>
        <w:tc>
          <w:tcPr>
            <w:tcW w:type="dxa" w:w="1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11 May</w:t>
            </w:r>
          </w:p>
        </w:tc>
        <w:tc>
          <w:tcPr>
            <w:tcW w:type="dxa" w:w="1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T1 Daily Directional</w:t>
            </w:r>
          </w:p>
        </w:tc>
        <w:tc>
          <w:tcPr>
            <w:tcW w:type="dxa" w:w="95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Long</w:t>
            </w:r>
          </w:p>
        </w:tc>
        <w:tc>
          <w:tcPr>
            <w:tcW w:type="dxa" w:w="1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Yes</w:t>
            </w:r>
          </w:p>
        </w:tc>
        <w:tc>
          <w:tcPr>
            <w:tcW w:type="dxa" w:w="1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4,724</w:t>
            </w:r>
          </w:p>
        </w:tc>
        <w:tc>
          <w:tcPr>
            <w:tcW w:type="dxa" w:w="1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TP1 4,765</w:t>
            </w:r>
          </w:p>
        </w:tc>
        <w:tc>
          <w:tcPr>
            <w:tcW w:type="dxa" w:w="95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+1R</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Same day</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11 May</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T2 Pivot Fade</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No</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w:t>
            </w:r>
          </w:p>
        </w:tc>
      </w:tr>
      <w:tr>
        <w:tc>
          <w:tcPr>
            <w:tcW w:type="dxa" w:w="1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11 May</w:t>
            </w:r>
          </w:p>
        </w:tc>
        <w:tc>
          <w:tcPr>
            <w:tcW w:type="dxa" w:w="1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T3 Mean-Reversion</w:t>
            </w:r>
          </w:p>
        </w:tc>
        <w:tc>
          <w:tcPr>
            <w:tcW w:type="dxa" w:w="95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w:t>
            </w:r>
          </w:p>
        </w:tc>
        <w:tc>
          <w:tcPr>
            <w:tcW w:type="dxa" w:w="1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No</w:t>
            </w:r>
          </w:p>
        </w:tc>
        <w:tc>
          <w:tcPr>
            <w:tcW w:type="dxa" w:w="1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w:t>
            </w:r>
          </w:p>
        </w:tc>
        <w:tc>
          <w:tcPr>
            <w:tcW w:type="dxa" w:w="1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w:t>
            </w:r>
          </w:p>
        </w:tc>
        <w:tc>
          <w:tcPr>
            <w:tcW w:type="dxa" w:w="95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12 May</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T1 Daily Directional</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Long</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Yes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4,735</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Stopped at 4,690 (post-CPI)</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−1R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Same day</w:t>
            </w:r>
          </w:p>
        </w:tc>
      </w:tr>
      <w:tr>
        <w:tc>
          <w:tcPr>
            <w:tcW w:type="dxa" w:w="1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12 May</w:t>
            </w:r>
          </w:p>
        </w:tc>
        <w:tc>
          <w:tcPr>
            <w:tcW w:type="dxa" w:w="17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T2 Pivot Fade</w:t>
            </w:r>
          </w:p>
        </w:tc>
        <w:tc>
          <w:tcPr>
            <w:tcW w:type="dxa" w:w="95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Short @ 4,773</w:t>
            </w:r>
          </w:p>
        </w:tc>
        <w:tc>
          <w:tcPr>
            <w:tcW w:type="dxa" w:w="1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Yes (intraday)</w:t>
            </w:r>
          </w:p>
        </w:tc>
        <w:tc>
          <w:tcPr>
            <w:tcW w:type="dxa" w:w="1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4,773</w:t>
            </w:r>
          </w:p>
        </w:tc>
        <w:tc>
          <w:tcPr>
            <w:tcW w:type="dxa" w:w="1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TP1 4,720</w:t>
            </w:r>
          </w:p>
        </w:tc>
        <w:tc>
          <w:tcPr>
            <w:tcW w:type="dxa" w:w="95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+1R</w:t>
            </w:r>
          </w:p>
        </w:tc>
        <w:tc>
          <w:tcPr>
            <w:tcW w:type="dxa" w:w="1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20" w:before="20"/>
              <w:jc w:val="left"/>
            </w:pPr>
            <w:r>
              <w:rPr>
                <w:rFonts w:ascii="Arial" w:cs="Arial" w:eastAsia="Arial" w:hAnsi="Arial"/>
                <w:sz w:val="20"/>
                <w:szCs w:val="20"/>
              </w:rPr>
              <w:t xml:space="preserve">Same day</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12 May</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T3 Mean-Reversion</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Short @ 4,773 (top of fib swing)</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Yes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4,773</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TP1 4,722, exit 4,704</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+1R, then +1.4R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jc w:val="left"/>
            </w:pPr>
            <w:r>
              <w:rPr>
                <w:rFonts w:ascii="Arial" w:cs="Arial" w:eastAsia="Arial" w:hAnsi="Arial"/>
                <w:sz w:val="20"/>
                <w:szCs w:val="20"/>
              </w:rPr>
              <w:t xml:space="preserve">Same day</w:t>
            </w:r>
          </w:p>
        </w:tc>
      </w:tr>
    </w:tbl>
    <w:p>
      <w:pPr>
        <w:pStyle w:val="Heading2"/>
        <w:spacing w:after="80" w:before="200"/>
      </w:pPr>
      <w:r>
        <w:rPr>
          <w:rFonts w:ascii="Arial" w:cs="Arial" w:eastAsia="Arial" w:hAnsi="Arial"/>
          <w:b/>
          <w:bCs/>
          <w:color w:val="C00078"/>
          <w:sz w:val="26"/>
          <w:szCs w:val="26"/>
        </w:rPr>
        <w:t xml:space="preserve">§21d  What is working — aggregate</w:t>
      </w:r>
    </w:p>
    <w:p>
      <w:pPr>
        <w:spacing w:after="60" w:before="60"/>
        <w:jc w:val="left"/>
      </w:pPr>
      <w:r>
        <w:rPr>
          <w:rFonts w:ascii="Arial" w:cs="Arial" w:eastAsia="Arial" w:hAnsi="Arial"/>
          <w:b w:val="false"/>
          <w:bCs w:val="false"/>
          <w:i w:val="false"/>
          <w:iCs w:val="false"/>
          <w:sz w:val="22"/>
          <w:szCs w:val="22"/>
        </w:rPr>
        <w:t xml:space="preserve">Triggered trades in the 5-session window: 11 of 15 setups (73% trigger rate). Mean R outcome across closed positions: approximately +0.62R per triggered trade. Trade 1 (Daily Directional, long) hit TP1 in 3 of 5 sessions, stopped in 2 of 5; the two stop-outs were the 8 May indecision candle and the 12 May post-CPI reversal. Trade 2 (Pivot Fade) triggered only once — the 12 May intraday rejection at $4,773 — and resolved at +1R. Trade 3 (Mean-Reversion) triggered 3 of 5 times and resolved positive on each occasion.</w:t>
      </w:r>
    </w:p>
    <w:p>
      <w:pPr>
        <w:spacing w:after="60" w:before="60"/>
        <w:jc w:val="left"/>
      </w:pPr>
      <w:r>
        <w:rPr>
          <w:rFonts w:ascii="Arial" w:cs="Arial" w:eastAsia="Arial" w:hAnsi="Arial"/>
          <w:b w:val="false"/>
          <w:bCs w:val="false"/>
          <w:i w:val="false"/>
          <w:iCs w:val="false"/>
          <w:sz w:val="22"/>
          <w:szCs w:val="22"/>
        </w:rPr>
        <w:t xml:space="preserve">TP1 hit rate: ~70% across triggered trades. TP2 hit rate: ~40%. TP3 hit rate: ~20%. The runner profile is weak in the recent range, which is consistent with the mean-reversion regime.</w:t>
      </w:r>
    </w:p>
    <w:p>
      <w:pPr>
        <w:spacing w:after="60" w:before="60"/>
        <w:jc w:val="left"/>
      </w:pPr>
      <w:r>
        <w:rPr>
          <w:rFonts w:ascii="Arial" w:cs="Arial" w:eastAsia="Arial" w:hAnsi="Arial"/>
          <w:b w:val="false"/>
          <w:bCs w:val="false"/>
          <w:i/>
          <w:iCs/>
          <w:sz w:val="22"/>
          <w:szCs w:val="22"/>
        </w:rPr>
        <w:t xml:space="preserve">Aggregate read: in the current RANGE regime, pivot fades and mean-reversion setups out-performed daily-directional longs. The Trade 1 conviction-floor of 0.25 would have suppressed the 8 and 12 May Trade 1 entries — both losing — so the conviction filter, applied prospectively, improves the 5-session simulated equity curve. This is structural support for the §H direction-score gate and is consistent with the M5 design intent.</w:t>
      </w:r>
    </w:p>
    <w:p>
      <w:pPr>
        <w:spacing w:after="60" w:before="60"/>
        <w:jc w:val="left"/>
      </w:pPr>
      <w:r>
        <w:rPr>
          <w:rFonts w:ascii="Arial" w:cs="Arial" w:eastAsia="Arial" w:hAnsi="Arial"/>
          <w:b w:val="false"/>
          <w:bCs w:val="false"/>
          <w:i/>
          <w:iCs/>
          <w:sz w:val="22"/>
          <w:szCs w:val="22"/>
        </w:rPr>
        <w:t xml:space="preserve">Limitations: five-session windows are too small for statistical claims. The framework cannot model intraday tick-level fills, slippage, or commission. Backtest is reconstructed from indicative OHLC and is sensitive to the single-source flags noted in §19.</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Gold Daily Report  │  13 May 2026  │  Senior Commodities Analyst — Precious Metals  │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Arial" w:cs="Arial" w:eastAsia="Arial" w:hAnsi="Arial"/>
        <w:b/>
        <w:bCs/>
        <w:color w:val="1F3864"/>
        <w:sz w:val="18"/>
        <w:szCs w:val="18"/>
      </w:rPr>
      <w:t xml:space="preserve">Gold Daily Report  │  13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Gold Daily Report — 13 May 2026</dc:title>
  <dc:creator>Senior Commodities Analyst — Precious Metals</dc:creator>
  <cp:lastModifiedBy>Un-named</cp:lastModifiedBy>
  <cp:revision>1</cp:revision>
  <dcterms:created xsi:type="dcterms:W3CDTF">2026-05-12T21:42:37.627Z</dcterms:created>
  <dcterms:modified xsi:type="dcterms:W3CDTF">2026-05-12T21:42:37.628Z</dcterms:modified>
</cp:coreProperties>
</file>

<file path=docProps/custom.xml><?xml version="1.0" encoding="utf-8"?>
<Properties xmlns="http://schemas.openxmlformats.org/officeDocument/2006/custom-properties" xmlns:vt="http://schemas.openxmlformats.org/officeDocument/2006/docPropsVTypes"/>
</file>