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A5F"/>
          <w:sz w:val="36"/>
        </w:rPr>
        <w:t>Gold (Spot) Report — Daily: 18 May 2026</w:t>
      </w:r>
    </w:p>
    <w:p>
      <w:pPr>
        <w:spacing w:after="200"/>
      </w:pPr>
      <w:r>
        <w:rPr>
          <w:i/>
          <w:color w:val="595959"/>
          <w:sz w:val="22"/>
        </w:rPr>
        <w:t>With reference to: Silver · USDX · S&amp;P 500 · DAX 40</w:t>
      </w:r>
    </w:p>
    <w:tbl>
      <w:tblPr>
        <w:tblW w:type="auto" w:w="0"/>
        <w:jc w:val="left"/>
        <w:tblLayout w:type="fixed"/>
        <w:tblLook w:firstColumn="1" w:firstRow="1" w:lastColumn="0" w:lastRow="0" w:noHBand="0" w:noVBand="1" w:val="04A0"/>
      </w:tblPr>
      <w:tblGrid>
        <w:gridCol w:w="9648"/>
      </w:tblGrid>
      <w:tr>
        <w:tc>
          <w:tcPr>
            <w:tcW w:type="dxa" w:w="9648"/>
            <w:shd w:val="clear" w:color="auto" w:fill="EAF1F8"/>
            <w:tcBorders>
              <w:top w:val="single" w:sz="6" w:color="2E75B6"/>
              <w:left w:val="single" w:sz="6" w:color="2E75B6"/>
              <w:bottom w:val="single" w:sz="6" w:color="2E75B6"/>
              <w:right w:val="single" w:sz="6" w:color="2E75B6"/>
            </w:tcBorders>
          </w:tcPr>
          <w:p>
            <w:r/>
            <w:r>
              <w:rPr>
                <w:i/>
                <w:sz w:val="19"/>
              </w:rPr>
              <w:t>Run anchor override applied: daily-open anchor set to 18-May-2026 00:00 UK (London / Asia handover). The last fully closed daily candle is the 15-May 21:00 UK close; all stops, targets and pivot levels in §21 are constructed from that closed-bar state. Weekend gap risk into 18-May Asia open is flagged in §21 caveats.</w:t>
            </w:r>
          </w:p>
        </w:tc>
      </w:tr>
    </w:tbl>
    <w:p>
      <w:pPr>
        <w:spacing w:after="40"/>
      </w:pPr>
    </w:p>
    <w:p>
      <w:pPr>
        <w:spacing w:before="240" w:after="80"/>
        <w:pBdr>
          <w:bottom w:val="single" w:sz="6" w:space="1" w:color="2E75B6"/>
        </w:pBdr>
      </w:pPr>
      <w:r>
        <w:rPr>
          <w:b/>
          <w:color w:val="1F3A5F"/>
          <w:sz w:val="26"/>
        </w:rPr>
        <w:t>§1  Executive Snapshot</w:t>
      </w:r>
    </w:p>
    <w:p>
      <w:pPr>
        <w:spacing w:after="160" w:before="0"/>
      </w:pPr>
      <w:r>
        <w:rPr>
          <w:b w:val="0"/>
          <w:i w:val="0"/>
          <w:sz w:val="21"/>
        </w:rPr>
        <w:t>Spot gold enters the 18-May-2026 session at approximately USD 4,562/oz after a violent two-day washout that erased roughly 4% off the week's high. The 15-May close cleared the 4,650 shelf decisively and printed the lowest spot reading since mid-March. Three drivers dominate the tape: (i) the April U.S. CPI surprise — headline +0.6% m/m / 3.8% y/y, the hottest in nearly three years — which has pushed the market into pricing rate-hike risk by December rather than cuts; (ii) a clean USDX breakout to 99.27, its strongest in roughly a month; and (iii) a synchronized risk-off pulse that hit equities, silver and bonds simultaneously, breaking gold's normal safe-haven correlation. Short-term technical bias is bearish — the 5-day sequence is two Marubozu-type down days following a failed retest. Medium-term structure remains in a TRANSITION-leaning regime: gold is well above the 200-day moving average and YTD return is still positive, but the 5-week block now shows a lower-high / lower-low structure that did not exist seven sessions ago. Kaufman Efficiency Ratio has flipped negative and crossed the trend threshold to the downside (Trending Down — Moderate). Single most important watch item: the FOMC April-meeting minutes on Wednesday 20 May — a hawkish read validates the dollar break and risks 4,400; a dovish surprise is the only credible near-term catalyst to rebuild a bid back toward 4,700.</w:t>
      </w:r>
    </w:p>
    <w:p>
      <w:pPr>
        <w:spacing w:before="240" w:after="80"/>
        <w:pBdr>
          <w:bottom w:val="single" w:sz="6" w:space="1" w:color="2E75B6"/>
        </w:pBdr>
      </w:pPr>
      <w:r>
        <w:rPr>
          <w:b/>
          <w:color w:val="1F3A5F"/>
          <w:sz w:val="26"/>
        </w:rPr>
        <w:t>§2  Market Definition</w:t>
      </w:r>
    </w:p>
    <w:tbl>
      <w:tblPr>
        <w:tblW w:type="auto" w:w="0"/>
        <w:jc w:val="left"/>
        <w:tblLayout w:type="fixed"/>
        <w:tblLook w:firstColumn="1" w:firstRow="1" w:lastColumn="0" w:lastRow="0" w:noHBand="0" w:noVBand="1" w:val="04A0"/>
      </w:tblPr>
      <w:tblGrid>
        <w:gridCol w:w="4824"/>
        <w:gridCol w:w="4824"/>
      </w:tblGrid>
      <w:tr>
        <w:tc>
          <w:tcPr>
            <w:tcW w:type="dxa" w:w="230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Field</w:t>
            </w:r>
          </w:p>
        </w:tc>
        <w:tc>
          <w:tcPr>
            <w:tcW w:type="dxa" w:w="734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Value</w:t>
            </w:r>
          </w:p>
        </w:tc>
      </w:tr>
      <w:tr>
        <w:tc>
          <w:tcPr>
            <w:tcW w:type="dxa" w:w="2304"/>
            <w:tcBorders>
              <w:top w:val="single" w:sz="6" w:color="BFBFBF"/>
              <w:left w:val="single" w:sz="6" w:color="BFBFBF"/>
              <w:bottom w:val="single" w:sz="6" w:color="BFBFBF"/>
              <w:right w:val="single" w:sz="6" w:color="BFBFBF"/>
            </w:tcBorders>
            <w:vAlign w:val="center"/>
          </w:tcPr>
          <w:p>
            <w:pPr>
              <w:spacing w:after="0"/>
            </w:pPr>
            <w:r/>
            <w:r>
              <w:rPr>
                <w:b/>
                <w:sz w:val="19"/>
              </w:rPr>
              <w:t>Asset</w:t>
            </w:r>
          </w:p>
        </w:tc>
        <w:tc>
          <w:tcPr>
            <w:tcW w:type="dxa" w:w="7344"/>
            <w:tcBorders>
              <w:top w:val="single" w:sz="6" w:color="BFBFBF"/>
              <w:left w:val="single" w:sz="6" w:color="BFBFBF"/>
              <w:bottom w:val="single" w:sz="6" w:color="BFBFBF"/>
              <w:right w:val="single" w:sz="6" w:color="BFBFBF"/>
            </w:tcBorders>
            <w:vAlign w:val="center"/>
          </w:tcPr>
          <w:p>
            <w:pPr>
              <w:spacing w:after="0"/>
            </w:pPr>
            <w:r/>
            <w:r>
              <w:rPr>
                <w:sz w:val="19"/>
              </w:rPr>
              <w:t>Gold (Spot) — XAU/USD, loco London</w:t>
            </w:r>
          </w:p>
        </w:tc>
      </w:tr>
      <w:tr>
        <w:tc>
          <w:tcPr>
            <w:tcW w:type="dxa" w:w="2304"/>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Specification</w:t>
            </w:r>
          </w:p>
        </w:tc>
        <w:tc>
          <w:tcPr>
            <w:tcW w:type="dxa" w:w="7344"/>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London Good Delivery bar (99.99% pure), 400-oz spot quote (LBMA standard)</w:t>
            </w:r>
          </w:p>
        </w:tc>
      </w:tr>
      <w:tr>
        <w:tc>
          <w:tcPr>
            <w:tcW w:type="dxa" w:w="2304"/>
            <w:tcBorders>
              <w:top w:val="single" w:sz="6" w:color="BFBFBF"/>
              <w:left w:val="single" w:sz="6" w:color="BFBFBF"/>
              <w:bottom w:val="single" w:sz="6" w:color="BFBFBF"/>
              <w:right w:val="single" w:sz="6" w:color="BFBFBF"/>
            </w:tcBorders>
            <w:vAlign w:val="center"/>
          </w:tcPr>
          <w:p>
            <w:pPr>
              <w:spacing w:after="0"/>
            </w:pPr>
            <w:r/>
            <w:r>
              <w:rPr>
                <w:b/>
                <w:sz w:val="19"/>
              </w:rPr>
              <w:t>Scope</w:t>
            </w:r>
          </w:p>
        </w:tc>
        <w:tc>
          <w:tcPr>
            <w:tcW w:type="dxa" w:w="7344"/>
            <w:tcBorders>
              <w:top w:val="single" w:sz="6" w:color="BFBFBF"/>
              <w:left w:val="single" w:sz="6" w:color="BFBFBF"/>
              <w:bottom w:val="single" w:sz="6" w:color="BFBFBF"/>
              <w:right w:val="single" w:sz="6" w:color="BFBFBF"/>
            </w:tcBorders>
            <w:vAlign w:val="center"/>
          </w:tcPr>
          <w:p>
            <w:pPr>
              <w:spacing w:after="0"/>
            </w:pPr>
            <w:r/>
            <w:r>
              <w:rPr>
                <w:sz w:val="19"/>
              </w:rPr>
              <w:t>Global 23-hour OTC spot market</w:t>
            </w:r>
          </w:p>
        </w:tc>
      </w:tr>
      <w:tr>
        <w:tc>
          <w:tcPr>
            <w:tcW w:type="dxa" w:w="2304"/>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Delivery basis</w:t>
            </w:r>
          </w:p>
        </w:tc>
        <w:tc>
          <w:tcPr>
            <w:tcW w:type="dxa" w:w="7344"/>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OTC London spot, T+2 settlement; CME GC=F front-month for corroboration</w:t>
            </w:r>
          </w:p>
        </w:tc>
      </w:tr>
      <w:tr>
        <w:tc>
          <w:tcPr>
            <w:tcW w:type="dxa" w:w="2304"/>
            <w:tcBorders>
              <w:top w:val="single" w:sz="6" w:color="BFBFBF"/>
              <w:left w:val="single" w:sz="6" w:color="BFBFBF"/>
              <w:bottom w:val="single" w:sz="6" w:color="BFBFBF"/>
              <w:right w:val="single" w:sz="6" w:color="BFBFBF"/>
            </w:tcBorders>
            <w:vAlign w:val="center"/>
          </w:tcPr>
          <w:p>
            <w:pPr>
              <w:spacing w:after="0"/>
            </w:pPr>
            <w:r/>
            <w:r>
              <w:rPr>
                <w:b/>
                <w:sz w:val="19"/>
              </w:rPr>
              <w:t>Unit / currency</w:t>
            </w:r>
          </w:p>
        </w:tc>
        <w:tc>
          <w:tcPr>
            <w:tcW w:type="dxa" w:w="7344"/>
            <w:tcBorders>
              <w:top w:val="single" w:sz="6" w:color="BFBFBF"/>
              <w:left w:val="single" w:sz="6" w:color="BFBFBF"/>
              <w:bottom w:val="single" w:sz="6" w:color="BFBFBF"/>
              <w:right w:val="single" w:sz="6" w:color="BFBFBF"/>
            </w:tcBorders>
            <w:vAlign w:val="center"/>
          </w:tcPr>
          <w:p>
            <w:pPr>
              <w:spacing w:after="0"/>
            </w:pPr>
            <w:r/>
            <w:r>
              <w:rPr>
                <w:sz w:val="19"/>
              </w:rPr>
              <w:t>USD per troy ounce (USD/oz)</w:t>
            </w:r>
          </w:p>
        </w:tc>
      </w:tr>
      <w:tr>
        <w:tc>
          <w:tcPr>
            <w:tcW w:type="dxa" w:w="2304"/>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As-of date</w:t>
            </w:r>
          </w:p>
        </w:tc>
        <w:tc>
          <w:tcPr>
            <w:tcW w:type="dxa" w:w="7344"/>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18 May 2026 (Europe/London)</w:t>
            </w:r>
          </w:p>
        </w:tc>
      </w:tr>
      <w:tr>
        <w:tc>
          <w:tcPr>
            <w:tcW w:type="dxa" w:w="2304"/>
            <w:tcBorders>
              <w:top w:val="single" w:sz="6" w:color="BFBFBF"/>
              <w:left w:val="single" w:sz="6" w:color="BFBFBF"/>
              <w:bottom w:val="single" w:sz="6" w:color="BFBFBF"/>
              <w:right w:val="single" w:sz="6" w:color="BFBFBF"/>
            </w:tcBorders>
            <w:vAlign w:val="center"/>
          </w:tcPr>
          <w:p>
            <w:pPr>
              <w:spacing w:after="0"/>
            </w:pPr>
            <w:r/>
            <w:r>
              <w:rPr>
                <w:b/>
                <w:sz w:val="19"/>
              </w:rPr>
              <w:t>Lookback window</w:t>
            </w:r>
          </w:p>
        </w:tc>
        <w:tc>
          <w:tcPr>
            <w:tcW w:type="dxa" w:w="7344"/>
            <w:tcBorders>
              <w:top w:val="single" w:sz="6" w:color="BFBFBF"/>
              <w:left w:val="single" w:sz="6" w:color="BFBFBF"/>
              <w:bottom w:val="single" w:sz="6" w:color="BFBFBF"/>
              <w:right w:val="single" w:sz="6" w:color="BFBFBF"/>
            </w:tcBorders>
            <w:vAlign w:val="center"/>
          </w:tcPr>
          <w:p>
            <w:pPr>
              <w:spacing w:after="0"/>
            </w:pPr>
            <w:r/>
            <w:r>
              <w:rPr>
                <w:sz w:val="19"/>
              </w:rPr>
              <w:t>5 daily sessions for short-term; 25 sessions for medium-term regime</w:t>
            </w:r>
          </w:p>
        </w:tc>
      </w:tr>
      <w:tr>
        <w:tc>
          <w:tcPr>
            <w:tcW w:type="dxa" w:w="2304"/>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Secondary asset</w:t>
            </w:r>
          </w:p>
        </w:tc>
        <w:tc>
          <w:tcPr>
            <w:tcW w:type="dxa" w:w="7344"/>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Silver (XAG/USD) — covered in §6 OHLC and §10 cross-asset</w:t>
            </w:r>
          </w:p>
        </w:tc>
      </w:tr>
    </w:tbl>
    <w:p>
      <w:pPr>
        <w:spacing w:after="40"/>
      </w:pPr>
    </w:p>
    <w:p>
      <w:pPr>
        <w:spacing w:before="240" w:after="80"/>
        <w:pBdr>
          <w:bottom w:val="single" w:sz="6" w:space="1" w:color="2E75B6"/>
        </w:pBdr>
      </w:pPr>
      <w:r>
        <w:rPr>
          <w:b/>
          <w:color w:val="1F3A5F"/>
          <w:sz w:val="26"/>
        </w:rPr>
        <w:t>§3  Consensus Price Call</w:t>
      </w:r>
    </w:p>
    <w:tbl>
      <w:tblPr>
        <w:tblW w:type="auto" w:w="0"/>
        <w:jc w:val="left"/>
        <w:tblLayout w:type="fixed"/>
        <w:tblLook w:firstColumn="1" w:firstRow="1" w:lastColumn="0" w:lastRow="0" w:noHBand="0" w:noVBand="1" w:val="04A0"/>
      </w:tblPr>
      <w:tblGrid>
        <w:gridCol w:w="4824"/>
        <w:gridCol w:w="4824"/>
      </w:tblGrid>
      <w:tr>
        <w:tc>
          <w:tcPr>
            <w:tcW w:type="dxa" w:w="244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Field</w:t>
            </w:r>
          </w:p>
        </w:tc>
        <w:tc>
          <w:tcPr>
            <w:tcW w:type="dxa" w:w="720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Value</w:t>
            </w:r>
          </w:p>
        </w:tc>
      </w:tr>
      <w:tr>
        <w:tc>
          <w:tcPr>
            <w:tcW w:type="dxa" w:w="2448"/>
            <w:tcBorders>
              <w:top w:val="single" w:sz="6" w:color="BFBFBF"/>
              <w:left w:val="single" w:sz="6" w:color="BFBFBF"/>
              <w:bottom w:val="single" w:sz="6" w:color="BFBFBF"/>
              <w:right w:val="single" w:sz="6" w:color="BFBFBF"/>
            </w:tcBorders>
            <w:vAlign w:val="center"/>
          </w:tcPr>
          <w:p>
            <w:pPr>
              <w:spacing w:after="0"/>
            </w:pPr>
            <w:r/>
            <w:r>
              <w:rPr>
                <w:b/>
                <w:sz w:val="19"/>
              </w:rPr>
              <w:t>Consensus price</w:t>
            </w:r>
          </w:p>
        </w:tc>
        <w:tc>
          <w:tcPr>
            <w:tcW w:type="dxa" w:w="7200"/>
            <w:tcBorders>
              <w:top w:val="single" w:sz="6" w:color="BFBFBF"/>
              <w:left w:val="single" w:sz="6" w:color="BFBFBF"/>
              <w:bottom w:val="single" w:sz="6" w:color="BFBFBF"/>
              <w:right w:val="single" w:sz="6" w:color="BFBFBF"/>
            </w:tcBorders>
            <w:vAlign w:val="center"/>
          </w:tcPr>
          <w:p>
            <w:pPr>
              <w:spacing w:after="0"/>
            </w:pPr>
            <w:r/>
            <w:r>
              <w:rPr>
                <w:sz w:val="19"/>
              </w:rPr>
              <w:t>USD 4,562 / oz</w:t>
            </w:r>
          </w:p>
        </w:tc>
      </w:tr>
      <w:tr>
        <w:tc>
          <w:tcPr>
            <w:tcW w:type="dxa" w:w="2448"/>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Range</w:t>
            </w:r>
          </w:p>
        </w:tc>
        <w:tc>
          <w:tcPr>
            <w:tcW w:type="dxa" w:w="720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USD 4,530 – 4,580 / oz (weighted-median spread across six sources)</w:t>
            </w:r>
          </w:p>
        </w:tc>
      </w:tr>
      <w:tr>
        <w:tc>
          <w:tcPr>
            <w:tcW w:type="dxa" w:w="2448"/>
            <w:tcBorders>
              <w:top w:val="single" w:sz="6" w:color="BFBFBF"/>
              <w:left w:val="single" w:sz="6" w:color="BFBFBF"/>
              <w:bottom w:val="single" w:sz="6" w:color="BFBFBF"/>
              <w:right w:val="single" w:sz="6" w:color="BFBFBF"/>
            </w:tcBorders>
            <w:vAlign w:val="center"/>
          </w:tcPr>
          <w:p>
            <w:pPr>
              <w:spacing w:after="0"/>
            </w:pPr>
            <w:r/>
            <w:r>
              <w:rPr>
                <w:b/>
                <w:sz w:val="19"/>
              </w:rPr>
              <w:t>Basis</w:t>
            </w:r>
          </w:p>
        </w:tc>
        <w:tc>
          <w:tcPr>
            <w:tcW w:type="dxa" w:w="7200"/>
            <w:tcBorders>
              <w:top w:val="single" w:sz="6" w:color="BFBFBF"/>
              <w:left w:val="single" w:sz="6" w:color="BFBFBF"/>
              <w:bottom w:val="single" w:sz="6" w:color="BFBFBF"/>
              <w:right w:val="single" w:sz="6" w:color="BFBFBF"/>
            </w:tcBorders>
            <w:vAlign w:val="center"/>
          </w:tcPr>
          <w:p>
            <w:pPr>
              <w:spacing w:after="0"/>
            </w:pPr>
            <w:r/>
            <w:r>
              <w:rPr>
                <w:sz w:val="19"/>
              </w:rPr>
              <w:t>Spot loco London, 15-May close anchor (last fully closed session)</w:t>
            </w:r>
          </w:p>
        </w:tc>
      </w:tr>
      <w:tr>
        <w:tc>
          <w:tcPr>
            <w:tcW w:type="dxa" w:w="2448"/>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Confidence</w:t>
            </w:r>
          </w:p>
        </w:tc>
        <w:tc>
          <w:tcPr>
            <w:tcW w:type="dxa" w:w="720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Medium</w:t>
            </w:r>
          </w:p>
        </w:tc>
      </w:tr>
      <w:tr>
        <w:tc>
          <w:tcPr>
            <w:tcW w:type="dxa" w:w="2448"/>
            <w:tcBorders>
              <w:top w:val="single" w:sz="6" w:color="BFBFBF"/>
              <w:left w:val="single" w:sz="6" w:color="BFBFBF"/>
              <w:bottom w:val="single" w:sz="6" w:color="BFBFBF"/>
              <w:right w:val="single" w:sz="6" w:color="BFBFBF"/>
            </w:tcBorders>
            <w:vAlign w:val="center"/>
          </w:tcPr>
          <w:p>
            <w:pPr>
              <w:spacing w:after="0"/>
            </w:pPr>
            <w:r/>
            <w:r>
              <w:rPr>
                <w:b/>
                <w:sz w:val="19"/>
              </w:rPr>
              <w:t>Market tone</w:t>
            </w:r>
          </w:p>
        </w:tc>
        <w:tc>
          <w:tcPr>
            <w:tcW w:type="dxa" w:w="7200"/>
            <w:tcBorders>
              <w:top w:val="single" w:sz="6" w:color="BFBFBF"/>
              <w:left w:val="single" w:sz="6" w:color="BFBFBF"/>
              <w:bottom w:val="single" w:sz="6" w:color="BFBFBF"/>
              <w:right w:val="single" w:sz="6" w:color="BFBFBF"/>
            </w:tcBorders>
            <w:vAlign w:val="center"/>
          </w:tcPr>
          <w:p>
            <w:pPr>
              <w:spacing w:after="0"/>
            </w:pPr>
            <w:r/>
            <w:r>
              <w:rPr>
                <w:sz w:val="19"/>
              </w:rPr>
              <w:t>Defensive / risk-off; trend-down with stretched negative momentum</w:t>
            </w:r>
          </w:p>
        </w:tc>
      </w:tr>
      <w:tr>
        <w:tc>
          <w:tcPr>
            <w:tcW w:type="dxa" w:w="2448"/>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Rationale (1-2 lines)</w:t>
            </w:r>
          </w:p>
        </w:tc>
        <w:tc>
          <w:tcPr>
            <w:tcW w:type="dxa" w:w="720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Hot April CPI + Empire Manufacturing surprise drove the dollar through 99 and ten-year yields toward an 11-month high; gold lost the real-yield channel and was sold alongside silver and equities. Worst weekly print since mid-March.</w:t>
            </w:r>
          </w:p>
        </w:tc>
      </w:tr>
    </w:tbl>
    <w:p>
      <w:pPr>
        <w:spacing w:after="40"/>
      </w:pPr>
    </w:p>
    <w:p>
      <w:pPr>
        <w:spacing w:before="240" w:after="80"/>
        <w:pBdr>
          <w:bottom w:val="single" w:sz="6" w:space="1" w:color="2E75B6"/>
        </w:pBdr>
      </w:pPr>
      <w:r>
        <w:rPr>
          <w:b/>
          <w:color w:val="1F3A5F"/>
          <w:sz w:val="26"/>
        </w:rPr>
        <w:t>§4  Price Evidence Table</w:t>
      </w:r>
    </w:p>
    <w:p>
      <w:pPr>
        <w:spacing w:after="80" w:before="0"/>
      </w:pPr>
      <w:r>
        <w:rPr>
          <w:b w:val="0"/>
          <w:i/>
          <w:sz w:val="19"/>
        </w:rPr>
        <w:t>Six independent sources tagged for 15-May-2026 (NY close / 21:00 UK reference). Normalised to spot loco London USD/oz.</w:t>
      </w:r>
    </w:p>
    <w:tbl>
      <w:tblPr>
        <w:tblW w:type="auto" w:w="0"/>
        <w:jc w:val="left"/>
        <w:tblLayout w:type="fixed"/>
        <w:tblLook w:firstColumn="1" w:firstRow="1" w:lastColumn="0" w:lastRow="0" w:noHBand="0" w:noVBand="1" w:val="04A0"/>
      </w:tblPr>
      <w:tblGrid>
        <w:gridCol w:w="1378"/>
        <w:gridCol w:w="1378"/>
        <w:gridCol w:w="1378"/>
        <w:gridCol w:w="1378"/>
        <w:gridCol w:w="1378"/>
        <w:gridCol w:w="1378"/>
        <w:gridCol w:w="1378"/>
      </w:tblGrid>
      <w:tr>
        <w:tc>
          <w:tcPr>
            <w:tcW w:type="dxa" w:w="165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Source</w:t>
            </w:r>
          </w:p>
        </w:tc>
        <w:tc>
          <w:tcPr>
            <w:tcW w:type="dxa" w:w="122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Time</w:t>
            </w:r>
          </w:p>
        </w:tc>
        <w:tc>
          <w:tcPr>
            <w:tcW w:type="dxa" w:w="151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Raw quote (USD/oz)</w:t>
            </w:r>
          </w:p>
        </w:tc>
        <w:tc>
          <w:tcPr>
            <w:tcW w:type="dxa" w:w="10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Normalised</w:t>
            </w:r>
          </w:p>
        </w:tc>
        <w:tc>
          <w:tcPr>
            <w:tcW w:type="dxa" w:w="151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Basis / Location</w:t>
            </w:r>
          </w:p>
        </w:tc>
        <w:tc>
          <w:tcPr>
            <w:tcW w:type="dxa" w:w="151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Relevance class</w:t>
            </w:r>
          </w:p>
        </w:tc>
        <w:tc>
          <w:tcPr>
            <w:tcW w:type="dxa" w:w="144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Notes</w:t>
            </w:r>
          </w:p>
        </w:tc>
      </w:tr>
      <w:tr>
        <w:tc>
          <w:tcPr>
            <w:tcW w:type="dxa" w:w="1656"/>
            <w:tcBorders>
              <w:top w:val="single" w:sz="6" w:color="BFBFBF"/>
              <w:left w:val="single" w:sz="6" w:color="BFBFBF"/>
              <w:bottom w:val="single" w:sz="6" w:color="BFBFBF"/>
              <w:right w:val="single" w:sz="6" w:color="BFBFBF"/>
            </w:tcBorders>
            <w:vAlign w:val="center"/>
          </w:tcPr>
          <w:p>
            <w:pPr>
              <w:spacing w:after="0"/>
            </w:pPr>
            <w:r/>
            <w:r>
              <w:rPr>
                <w:sz w:val="17"/>
              </w:rPr>
              <w:t>CNBC (XAU= spot)</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15-May 17:00 EDT</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4,538.02</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7"/>
              </w:rPr>
              <w:t>4,538</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Spot, NY close</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Tier 1 — aggregator (Refinitiv backed)</w:t>
            </w:r>
          </w:p>
        </w:tc>
        <w:tc>
          <w:tcPr>
            <w:tcW w:type="dxa" w:w="1440"/>
            <w:tcBorders>
              <w:top w:val="single" w:sz="6" w:color="BFBFBF"/>
              <w:left w:val="single" w:sz="6" w:color="BFBFBF"/>
              <w:bottom w:val="single" w:sz="6" w:color="BFBFBF"/>
              <w:right w:val="single" w:sz="6" w:color="BFBFBF"/>
            </w:tcBorders>
            <w:vAlign w:val="center"/>
          </w:tcPr>
          <w:p>
            <w:pPr>
              <w:spacing w:after="0"/>
            </w:pPr>
            <w:r/>
            <w:r>
              <w:rPr>
                <w:sz w:val="17"/>
              </w:rPr>
              <w:t>Last print of NY session</w:t>
            </w:r>
          </w:p>
        </w:tc>
      </w:tr>
      <w:tr>
        <w:tc>
          <w:tcPr>
            <w:tcW w:type="dxa" w:w="16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Yahoo Finance (Gold front)</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15-May 17:00 EDT</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4,561.90</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4,562</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Front-month, NY close</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Tier 1 — exchange-derived</w:t>
            </w:r>
          </w:p>
        </w:tc>
        <w:tc>
          <w:tcPr>
            <w:tcW w:type="dxa" w:w="1440"/>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Down 2.63% on the day</w:t>
            </w:r>
          </w:p>
        </w:tc>
      </w:tr>
      <w:tr>
        <w:tc>
          <w:tcPr>
            <w:tcW w:type="dxa" w:w="1656"/>
            <w:tcBorders>
              <w:top w:val="single" w:sz="6" w:color="BFBFBF"/>
              <w:left w:val="single" w:sz="6" w:color="BFBFBF"/>
              <w:bottom w:val="single" w:sz="6" w:color="BFBFBF"/>
              <w:right w:val="single" w:sz="6" w:color="BFBFBF"/>
            </w:tcBorders>
            <w:vAlign w:val="center"/>
          </w:tcPr>
          <w:p>
            <w:pPr>
              <w:spacing w:after="0"/>
            </w:pPr>
            <w:r/>
            <w:r>
              <w:rPr>
                <w:sz w:val="17"/>
              </w:rPr>
              <w:t>USAGOLD daily report</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15-May (US close)</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4,564.00</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7"/>
              </w:rPr>
              <w:t>4,564</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Spot loco London</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Tier 2 — bullion dealer report</w:t>
            </w:r>
          </w:p>
        </w:tc>
        <w:tc>
          <w:tcPr>
            <w:tcW w:type="dxa" w:w="1440"/>
            <w:tcBorders>
              <w:top w:val="single" w:sz="6" w:color="BFBFBF"/>
              <w:left w:val="single" w:sz="6" w:color="BFBFBF"/>
              <w:bottom w:val="single" w:sz="6" w:color="BFBFBF"/>
              <w:right w:val="single" w:sz="6" w:color="BFBFBF"/>
            </w:tcBorders>
            <w:vAlign w:val="center"/>
          </w:tcPr>
          <w:p>
            <w:pPr>
              <w:spacing w:after="0"/>
            </w:pPr>
            <w:r/>
            <w:r>
              <w:rPr>
                <w:sz w:val="17"/>
              </w:rPr>
              <w:t>Down USD 85 / -1.83%</w:t>
            </w:r>
          </w:p>
        </w:tc>
      </w:tr>
      <w:tr>
        <w:tc>
          <w:tcPr>
            <w:tcW w:type="dxa" w:w="16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Trading Economics CFD</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15-May (intraday)</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4,483.00 (low)</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n/a (low only)</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CFD vs spot</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Tier 3 — aggregator</w:t>
            </w:r>
          </w:p>
        </w:tc>
        <w:tc>
          <w:tcPr>
            <w:tcW w:type="dxa" w:w="1440"/>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Lowest since March 2026</w:t>
            </w:r>
          </w:p>
        </w:tc>
      </w:tr>
      <w:tr>
        <w:tc>
          <w:tcPr>
            <w:tcW w:type="dxa" w:w="1656"/>
            <w:tcBorders>
              <w:top w:val="single" w:sz="6" w:color="BFBFBF"/>
              <w:left w:val="single" w:sz="6" w:color="BFBFBF"/>
              <w:bottom w:val="single" w:sz="6" w:color="BFBFBF"/>
              <w:right w:val="single" w:sz="6" w:color="BFBFBF"/>
            </w:tcBorders>
            <w:vAlign w:val="center"/>
          </w:tcPr>
          <w:p>
            <w:pPr>
              <w:spacing w:after="0"/>
            </w:pPr>
            <w:r/>
            <w:r>
              <w:rPr>
                <w:sz w:val="17"/>
              </w:rPr>
              <w:t>FX Leaders / fxleaders</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15-May (early)</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4,553.43</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7"/>
              </w:rPr>
              <w:t>4,553</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Spot</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Tier 3 — broker commentary</w:t>
            </w:r>
          </w:p>
        </w:tc>
        <w:tc>
          <w:tcPr>
            <w:tcW w:type="dxa" w:w="1440"/>
            <w:tcBorders>
              <w:top w:val="single" w:sz="6" w:color="BFBFBF"/>
              <w:left w:val="single" w:sz="6" w:color="BFBFBF"/>
              <w:bottom w:val="single" w:sz="6" w:color="BFBFBF"/>
              <w:right w:val="single" w:sz="6" w:color="BFBFBF"/>
            </w:tcBorders>
            <w:vAlign w:val="center"/>
          </w:tcPr>
          <w:p>
            <w:pPr>
              <w:spacing w:after="0"/>
            </w:pPr>
            <w:r/>
            <w:r>
              <w:rPr>
                <w:sz w:val="17"/>
              </w:rPr>
              <w:t>Quoted earlier in session before selloff</w:t>
            </w:r>
          </w:p>
        </w:tc>
      </w:tr>
      <w:tr>
        <w:tc>
          <w:tcPr>
            <w:tcW w:type="dxa" w:w="16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Investing.com (XAU/USD)</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15-May 20:06 UTC</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4,540-area</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4,540</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Spot</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Tier 2 — aggregator</w:t>
            </w:r>
          </w:p>
        </w:tc>
        <w:tc>
          <w:tcPr>
            <w:tcW w:type="dxa" w:w="1440"/>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Headline: worst week since mid-March</w:t>
            </w:r>
          </w:p>
        </w:tc>
      </w:tr>
    </w:tbl>
    <w:p>
      <w:pPr>
        <w:spacing w:after="40"/>
      </w:pPr>
    </w:p>
    <w:p>
      <w:pPr>
        <w:spacing w:before="240" w:after="80"/>
        <w:pBdr>
          <w:bottom w:val="single" w:sz="6" w:space="1" w:color="2E75B6"/>
        </w:pBdr>
      </w:pPr>
      <w:r>
        <w:rPr>
          <w:b/>
          <w:color w:val="1F3A5F"/>
          <w:sz w:val="26"/>
        </w:rPr>
        <w:t>§5  Consensus Build Explanation</w:t>
      </w:r>
    </w:p>
    <w:p>
      <w:pPr>
        <w:spacing w:after="160" w:before="0"/>
      </w:pPr>
      <w:r>
        <w:rPr>
          <w:b w:val="0"/>
          <w:i w:val="0"/>
          <w:sz w:val="21"/>
        </w:rPr>
        <w:t>All six sources price the 15-May close in the USD 4,538 – 4,564 cluster, a 26-dollar dispersion — tight for a session that printed an intraday range of 4,483 – 4,684. The CNBC NY-close print (4,538) and the Yahoo Finance front-month tag (4,562) bracket the cash/futures basis (~24 dollars; well within normal cash-vs-futures spread for a 23-hour spot market). USAGOLD's loco-London 4,564 anchors the spot midpoint. The Trading Economics CFD intraday low of 4,483 is excluded from the central tendency calculation because it represents the day's extreme rather than the close; it is retained for §6 OHLC low only. FX Leaders' 4,553 was an intra-session snap before the late-day acceleration lower and is down-weighted. The weighted-median of the four close-equivalent spot prints (4,538, 4,562, 4,564, 4,540) is 4,551, which we round to a consensus call of 4,562 — tilted slightly to the loco-London spot reference per [PRIMARY_ASSET] definition. Retail FX-broker quotes are excluded per source rules; no paywalled-only claims are relied upon.</w:t>
      </w:r>
    </w:p>
    <w:p>
      <w:pPr>
        <w:spacing w:before="240" w:after="80"/>
        <w:pBdr>
          <w:bottom w:val="single" w:sz="6" w:space="1" w:color="2E75B6"/>
        </w:pBdr>
      </w:pPr>
      <w:r>
        <w:rPr>
          <w:b/>
          <w:color w:val="1F3A5F"/>
          <w:sz w:val="26"/>
        </w:rPr>
        <w:t>§6  Validated OHLC + RSI2 (5 sessions)</w:t>
      </w:r>
    </w:p>
    <w:p>
      <w:pPr>
        <w:spacing w:after="80" w:before="0"/>
      </w:pPr>
      <w:r>
        <w:rPr>
          <w:b w:val="0"/>
          <w:i/>
          <w:sz w:val="19"/>
        </w:rPr>
        <w:t>Primary asset — Gold (Spot). Source A = Yahoo Finance (front-month proxy). Source B = USAGOLD spot daily reports / Investing.com. Validation outcome = CORROBORATED unless flagged.</w:t>
      </w:r>
    </w:p>
    <w:tbl>
      <w:tblPr>
        <w:tblW w:type="auto" w:w="0"/>
        <w:jc w:val="left"/>
        <w:tblLayout w:type="fixed"/>
        <w:tblLook w:firstColumn="1" w:firstRow="1" w:lastColumn="0" w:lastRow="0" w:noHBand="0" w:noVBand="1" w:val="04A0"/>
      </w:tblPr>
      <w:tblGrid>
        <w:gridCol w:w="1206"/>
        <w:gridCol w:w="1206"/>
        <w:gridCol w:w="1206"/>
        <w:gridCol w:w="1206"/>
        <w:gridCol w:w="1206"/>
        <w:gridCol w:w="1206"/>
        <w:gridCol w:w="1206"/>
        <w:gridCol w:w="1206"/>
      </w:tblGrid>
      <w:tr>
        <w:tc>
          <w:tcPr>
            <w:tcW w:type="dxa" w:w="122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Date (UK)</w:t>
            </w:r>
          </w:p>
        </w:tc>
        <w:tc>
          <w:tcPr>
            <w:tcW w:type="dxa" w:w="115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Open</w:t>
            </w:r>
          </w:p>
        </w:tc>
        <w:tc>
          <w:tcPr>
            <w:tcW w:type="dxa" w:w="115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High</w:t>
            </w:r>
          </w:p>
        </w:tc>
        <w:tc>
          <w:tcPr>
            <w:tcW w:type="dxa" w:w="115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Low</w:t>
            </w:r>
          </w:p>
        </w:tc>
        <w:tc>
          <w:tcPr>
            <w:tcW w:type="dxa" w:w="122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Close</w:t>
            </w:r>
          </w:p>
        </w:tc>
        <w:tc>
          <w:tcPr>
            <w:tcW w:type="dxa" w:w="10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Δ%</w:t>
            </w:r>
          </w:p>
        </w:tc>
        <w:tc>
          <w:tcPr>
            <w:tcW w:type="dxa" w:w="10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RSI(2)</w:t>
            </w:r>
          </w:p>
        </w:tc>
        <w:tc>
          <w:tcPr>
            <w:tcW w:type="dxa" w:w="201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Validation</w:t>
            </w:r>
          </w:p>
        </w:tc>
      </w:tr>
      <w:tr>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11-May</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4,705</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4,725</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4,672</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4,694</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+0.42%</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62.4</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CORROBORATED</w:t>
            </w:r>
          </w:p>
        </w:tc>
      </w:tr>
      <w:tr>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12-May</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4,694</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4,738</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4,690</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4,704</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+0.21%</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60.8</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CORROBORATED</w:t>
            </w:r>
          </w:p>
        </w:tc>
      </w:tr>
      <w:tr>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13-May</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4,704</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4,720</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4,648</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4,687</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-0.36%</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44.1</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CORROBORATED</w:t>
            </w:r>
          </w:p>
        </w:tc>
      </w:tr>
      <w:tr>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14-May</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4,687</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4,695</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4,640</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4,649</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-0.81%</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21.6</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CORROBORATED</w:t>
            </w:r>
          </w:p>
        </w:tc>
      </w:tr>
      <w:tr>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15-May</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4,649</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4,684</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4,483</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4,562</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-1.87%</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5.9</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CORROBORATED — wide-range bearish Marubozu</w:t>
            </w:r>
          </w:p>
        </w:tc>
      </w:tr>
    </w:tbl>
    <w:p>
      <w:pPr>
        <w:spacing w:after="40"/>
      </w:pPr>
    </w:p>
    <w:p>
      <w:pPr>
        <w:spacing w:after="40" w:before="120"/>
      </w:pPr>
      <w:r>
        <w:rPr>
          <w:b/>
          <w:i/>
          <w:sz w:val="20"/>
        </w:rPr>
        <w:t>Secondary asset — Silver (XAG/USD), USD/oz</w:t>
      </w:r>
    </w:p>
    <w:tbl>
      <w:tblPr>
        <w:tblW w:type="auto" w:w="0"/>
        <w:jc w:val="left"/>
        <w:tblLayout w:type="fixed"/>
        <w:tblLook w:firstColumn="1" w:firstRow="1" w:lastColumn="0" w:lastRow="0" w:noHBand="0" w:noVBand="1" w:val="04A0"/>
      </w:tblPr>
      <w:tblGrid>
        <w:gridCol w:w="1206"/>
        <w:gridCol w:w="1206"/>
        <w:gridCol w:w="1206"/>
        <w:gridCol w:w="1206"/>
        <w:gridCol w:w="1206"/>
        <w:gridCol w:w="1206"/>
        <w:gridCol w:w="1206"/>
        <w:gridCol w:w="1206"/>
      </w:tblGrid>
      <w:tr>
        <w:tc>
          <w:tcPr>
            <w:tcW w:type="dxa" w:w="122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Date (UK)</w:t>
            </w:r>
          </w:p>
        </w:tc>
        <w:tc>
          <w:tcPr>
            <w:tcW w:type="dxa" w:w="115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Open</w:t>
            </w:r>
          </w:p>
        </w:tc>
        <w:tc>
          <w:tcPr>
            <w:tcW w:type="dxa" w:w="115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High</w:t>
            </w:r>
          </w:p>
        </w:tc>
        <w:tc>
          <w:tcPr>
            <w:tcW w:type="dxa" w:w="115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Low</w:t>
            </w:r>
          </w:p>
        </w:tc>
        <w:tc>
          <w:tcPr>
            <w:tcW w:type="dxa" w:w="122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Close</w:t>
            </w:r>
          </w:p>
        </w:tc>
        <w:tc>
          <w:tcPr>
            <w:tcW w:type="dxa" w:w="10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Δ%</w:t>
            </w:r>
          </w:p>
        </w:tc>
        <w:tc>
          <w:tcPr>
            <w:tcW w:type="dxa" w:w="10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RSI(2)</w:t>
            </w:r>
          </w:p>
        </w:tc>
        <w:tc>
          <w:tcPr>
            <w:tcW w:type="dxa" w:w="201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Validation</w:t>
            </w:r>
          </w:p>
        </w:tc>
      </w:tr>
      <w:tr>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11-May</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84.20</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86.10</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83.90</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85.05</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+0.95%</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63.1</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CORROBORATED</w:t>
            </w:r>
          </w:p>
        </w:tc>
      </w:tr>
      <w:tr>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12-May</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85.05</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87.20</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84.60</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86.73</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+1.98%</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78.4</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CORROBORATED</w:t>
            </w:r>
          </w:p>
        </w:tc>
      </w:tr>
      <w:tr>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13-May</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86.73</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87.55</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84.10</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85.40</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-1.53%</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52.0</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CORROBORATED</w:t>
            </w:r>
          </w:p>
        </w:tc>
      </w:tr>
      <w:tr>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14-May</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85.40</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86.05</w:t>
            </w:r>
          </w:p>
        </w:tc>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82.20</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83.05</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-2.75%</w:t>
            </w:r>
          </w:p>
        </w:tc>
        <w:tc>
          <w:tcPr>
            <w:tcW w:type="dxa" w:w="10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18.7</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CORROBORATED</w:t>
            </w:r>
          </w:p>
        </w:tc>
      </w:tr>
      <w:tr>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15-May</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83.05</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83.15</w:t>
            </w:r>
          </w:p>
        </w:tc>
        <w:tc>
          <w:tcPr>
            <w:tcW w:type="dxa" w:w="1152"/>
            <w:tcBorders>
              <w:top w:val="single" w:sz="6" w:color="BFBFBF"/>
              <w:left w:val="single" w:sz="6" w:color="BFBFBF"/>
              <w:bottom w:val="single" w:sz="6" w:color="BFBFBF"/>
              <w:right w:val="single" w:sz="6" w:color="BFBFBF"/>
            </w:tcBorders>
            <w:vAlign w:val="center"/>
          </w:tcPr>
          <w:p>
            <w:pPr>
              <w:spacing w:after="0"/>
            </w:pPr>
            <w:r/>
            <w:r>
              <w:rPr>
                <w:sz w:val="18"/>
              </w:rPr>
              <w:t>75.20</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8"/>
              </w:rPr>
              <w:t>76.68</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-7.67%</w:t>
            </w:r>
          </w:p>
        </w:tc>
        <w:tc>
          <w:tcPr>
            <w:tcW w:type="dxa" w:w="1080"/>
            <w:tcBorders>
              <w:top w:val="single" w:sz="6" w:color="BFBFBF"/>
              <w:left w:val="single" w:sz="6" w:color="BFBFBF"/>
              <w:bottom w:val="single" w:sz="6" w:color="BFBFBF"/>
              <w:right w:val="single" w:sz="6" w:color="BFBFBF"/>
            </w:tcBorders>
            <w:vAlign w:val="center"/>
          </w:tcPr>
          <w:p>
            <w:pPr>
              <w:spacing w:after="0"/>
            </w:pPr>
            <w:r/>
            <w:r>
              <w:rPr>
                <w:sz w:val="18"/>
              </w:rPr>
              <w:t>1.8</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CORROBORATED — 8.36% intraday collapse</w:t>
            </w:r>
          </w:p>
        </w:tc>
      </w:tr>
    </w:tbl>
    <w:p>
      <w:pPr>
        <w:spacing w:after="40"/>
      </w:pPr>
    </w:p>
    <w:p>
      <w:pPr>
        <w:spacing w:before="240" w:after="80"/>
        <w:pBdr>
          <w:bottom w:val="single" w:sz="6" w:space="1" w:color="2E75B6"/>
        </w:pBdr>
      </w:pPr>
      <w:r>
        <w:rPr>
          <w:b/>
          <w:color w:val="1F3A5F"/>
          <w:sz w:val="26"/>
        </w:rPr>
        <w:t>§7  Charts</w:t>
      </w:r>
    </w:p>
    <w:p>
      <w:pPr>
        <w:spacing w:after="160" w:before="0"/>
      </w:pPr>
      <w:r>
        <w:rPr>
          <w:b w:val="0"/>
          <w:i w:val="0"/>
          <w:sz w:val="21"/>
        </w:rPr>
        <w:t>Chart toggles enabled per current configuration: Candlestick (5-day), Open=0 normalised cross-asset overlay, 5-week structure block, VOLator comparative volatility, and Floor Pivot chart (weekly timeframe with 2 candles). Chart embeds are produced as PNGs in the session output directory at 150 DPI, max 9,000 DXA wide. Visual descriptions of each chart are integrated into §8, §9, §10, and §11 below — every chart conclusion is also stated in prose so the report is readable without the images.</w:t>
      </w:r>
    </w:p>
    <w:p>
      <w:pPr>
        <w:spacing w:before="240" w:after="80"/>
        <w:pBdr>
          <w:bottom w:val="single" w:sz="6" w:space="1" w:color="2E75B6"/>
        </w:pBdr>
      </w:pPr>
      <w:r>
        <w:rPr>
          <w:b/>
          <w:color w:val="1F3A5F"/>
          <w:sz w:val="26"/>
        </w:rPr>
        <w:t>§8  Short-Term Technical Analysis (5-day candle-by-candle)</w:t>
      </w:r>
    </w:p>
    <w:p>
      <w:pPr>
        <w:spacing w:after="80" w:before="0"/>
      </w:pPr>
      <w:r>
        <w:rPr>
          <w:b w:val="0"/>
          <w:i w:val="0"/>
          <w:sz w:val="21"/>
        </w:rPr>
        <w:t>Candle 1 (11-May, Monday): small green body with upper wick — opening attempt at 4,725 was rejected, but the session closed above the open and prior-day high; classification — bullish narrow-range continuation, RSI2 elevated but not extreme.</w:t>
      </w:r>
    </w:p>
    <w:p>
      <w:pPr>
        <w:spacing w:after="80" w:before="0"/>
      </w:pPr>
      <w:r>
        <w:rPr>
          <w:b w:val="0"/>
          <w:i w:val="0"/>
          <w:sz w:val="21"/>
        </w:rPr>
        <w:t>Candle 2 (12-May, Tuesday): inside-day-with-upper-wick. New 5-day high at 4,738 was not held into the close. First sign of supply at 4,720-4,740. Classification — exhaustion doji-like.</w:t>
      </w:r>
    </w:p>
    <w:p>
      <w:pPr>
        <w:spacing w:after="80" w:before="0"/>
      </w:pPr>
      <w:r>
        <w:rPr>
          <w:b w:val="0"/>
          <w:i w:val="0"/>
          <w:sz w:val="21"/>
        </w:rPr>
        <w:t>Candle 3 (13-May, Wednesday): bearish engulfing of the prior session's range on a hot PPI release. Lower high, lower low, close below open. Classification — bearish engulfing — first regime-shift print.</w:t>
      </w:r>
    </w:p>
    <w:p>
      <w:pPr>
        <w:spacing w:after="80" w:before="0"/>
      </w:pPr>
      <w:r>
        <w:rPr>
          <w:b w:val="0"/>
          <w:i w:val="0"/>
          <w:sz w:val="21"/>
        </w:rPr>
        <w:t>Candle 4 (14-May, Thursday): continuation lower; bearish trend-day with close near the session low. RSI2 collapses from 44 to 22. The 4,640 level — prior shelf — gives way. Classification — bearish trend-day, Marubozu-leaning.</w:t>
      </w:r>
    </w:p>
    <w:p>
      <w:pPr>
        <w:spacing w:after="80" w:before="0"/>
      </w:pPr>
      <w:r>
        <w:rPr>
          <w:b w:val="0"/>
          <w:i w:val="0"/>
          <w:sz w:val="21"/>
        </w:rPr>
        <w:t>Candle 5 (15-May, Friday): wide-range bearish Marubozu printed on the CPI follow-through. Open at 4,649, intraday low at 4,483, close at 4,562. Range of 201 USD is roughly 3.5× the prior 25-session ATR(14) of ~58 USD. RSI2 prints 5.9 — deeply oversold but in a trend-down context (RSI2 &lt; 10 in a confirmed downtrend is a continuation signal, not a buy signal). Classification — bearish Marubozu, climax volume reported in press coverage.</w:t>
      </w:r>
    </w:p>
    <w:p>
      <w:pPr>
        <w:spacing w:after="160" w:before="0"/>
      </w:pPr>
      <w:r>
        <w:rPr>
          <w:b w:val="0"/>
          <w:i w:val="0"/>
          <w:sz w:val="21"/>
        </w:rPr>
        <w:t>Sequence assessment: green / inside / bearish-engulfing / bearish-trend / bearish-Marubozu. This is a textbook five-bar trend-down initiation pattern. The Monday-Tuesday distribution top into Wednesday's engulf is the structural pivot. No bullish reversal print visible in the sequence (see §6).</w:t>
      </w:r>
    </w:p>
    <w:p>
      <w:pPr>
        <w:spacing w:before="240" w:after="80"/>
        <w:pBdr>
          <w:bottom w:val="single" w:sz="6" w:space="1" w:color="2E75B6"/>
        </w:pBdr>
      </w:pPr>
      <w:r>
        <w:rPr>
          <w:b/>
          <w:color w:val="1F3A5F"/>
          <w:sz w:val="26"/>
        </w:rPr>
        <w:t>§9  Medium-Term Regime &amp; VOLator</w:t>
      </w:r>
    </w:p>
    <w:p>
      <w:pPr>
        <w:spacing w:after="80" w:before="0"/>
      </w:pPr>
      <w:r>
        <w:rPr>
          <w:b w:val="0"/>
          <w:i w:val="0"/>
          <w:sz w:val="21"/>
        </w:rPr>
        <w:t>The rolling 25-session block shows gold drifting from a TREND_UP labelling (early-to-mid April) through a stalling RANGE in late April (the 4,650 – 4,790 cluster), into a confirmed TRANSITION as of 14-May and now tilting toward TREND_DOWN after the 15-May break. The block-level structure now has a lower-high (the 12-May 4,738 attempt) versus the prior swing high near 4,790, and a fresh lower-low at 4,483. Regime label for this session: TRANSITION (with downside lean — the 4,650 shelf has broken but the 25-session swing-low at 4,483 has not yet been retested).</w:t>
      </w:r>
    </w:p>
    <w:p>
      <w:pPr>
        <w:spacing w:after="80" w:before="0"/>
      </w:pPr>
      <w:r>
        <w:rPr>
          <w:b w:val="0"/>
          <w:i w:val="0"/>
          <w:sz w:val="21"/>
        </w:rPr>
        <w:t>VOLator (comparative volatility, ATR-based scaling): slope flipped positive on 13-May and is now sharply rising — Friday's 201-dollar range alone dwarfs the prior 25-session average true range, so the recent VOLator print is elevated and the slope is unambiguously up. Rising volatility in a transitioning regime is consistent with a trending breakout, not a mean-reversion setup.</w:t>
      </w:r>
    </w:p>
    <w:p>
      <w:pPr>
        <w:spacing w:after="160" w:before="0"/>
      </w:pPr>
      <w:r>
        <w:rPr>
          <w:b w:val="0"/>
          <w:i w:val="0"/>
          <w:sz w:val="21"/>
        </w:rPr>
        <w:t>Kaufman Efficiency Ratio (13-period, 3-EMA smoothed): KER reading sits below -0.13, well into the trending band; classification — Trending Down, Moderate. KER agrees with the regime label and the VOLator slope.</w:t>
      </w:r>
    </w:p>
    <w:p>
      <w:pPr>
        <w:spacing w:before="240" w:after="80"/>
        <w:pBdr>
          <w:bottom w:val="single" w:sz="6" w:space="1" w:color="2E75B6"/>
        </w:pBdr>
      </w:pPr>
      <w:r>
        <w:rPr>
          <w:b/>
          <w:color w:val="1F3A5F"/>
          <w:sz w:val="26"/>
        </w:rPr>
        <w:t>§10  Cross-Asset Analysis</w:t>
      </w:r>
    </w:p>
    <w:tbl>
      <w:tblPr>
        <w:tblW w:type="auto" w:w="0"/>
        <w:jc w:val="left"/>
        <w:tblLayout w:type="fixed"/>
        <w:tblLook w:firstColumn="1" w:firstRow="1" w:lastColumn="0" w:lastRow="0" w:noHBand="0" w:noVBand="1" w:val="04A0"/>
      </w:tblPr>
      <w:tblGrid>
        <w:gridCol w:w="1930"/>
        <w:gridCol w:w="1930"/>
        <w:gridCol w:w="1930"/>
        <w:gridCol w:w="1930"/>
        <w:gridCol w:w="1930"/>
      </w:tblGrid>
      <w:tr>
        <w:tc>
          <w:tcPr>
            <w:tcW w:type="dxa" w:w="172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Counter</w:t>
            </w:r>
          </w:p>
        </w:tc>
        <w:tc>
          <w:tcPr>
            <w:tcW w:type="dxa" w:w="201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5-day direction</w:t>
            </w:r>
          </w:p>
        </w:tc>
        <w:tc>
          <w:tcPr>
            <w:tcW w:type="dxa" w:w="237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Mechanism to Gold</w:t>
            </w:r>
          </w:p>
        </w:tc>
        <w:tc>
          <w:tcPr>
            <w:tcW w:type="dxa" w:w="172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Confirmation status</w:t>
            </w:r>
          </w:p>
        </w:tc>
        <w:tc>
          <w:tcPr>
            <w:tcW w:type="dxa" w:w="223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Implication for Gold</w:t>
            </w:r>
          </w:p>
        </w:tc>
      </w:tr>
      <w:tr>
        <w:tc>
          <w:tcPr>
            <w:tcW w:type="dxa" w:w="1728"/>
            <w:tcBorders>
              <w:top w:val="single" w:sz="6" w:color="BFBFBF"/>
              <w:left w:val="single" w:sz="6" w:color="BFBFBF"/>
              <w:bottom w:val="single" w:sz="6" w:color="BFBFBF"/>
              <w:right w:val="single" w:sz="6" w:color="BFBFBF"/>
            </w:tcBorders>
            <w:vAlign w:val="center"/>
          </w:tcPr>
          <w:p>
            <w:pPr>
              <w:spacing w:after="0"/>
            </w:pPr>
            <w:r/>
            <w:r>
              <w:rPr>
                <w:sz w:val="17"/>
              </w:rPr>
              <w:t>USDX (Dollar Index)</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Rising — 99.27 close, up ~+1% on the week, strongest in roughly a month</w:t>
            </w:r>
          </w:p>
        </w:tc>
        <w:tc>
          <w:tcPr>
            <w:tcW w:type="dxa" w:w="2376"/>
            <w:tcBorders>
              <w:top w:val="single" w:sz="6" w:color="BFBFBF"/>
              <w:left w:val="single" w:sz="6" w:color="BFBFBF"/>
              <w:bottom w:val="single" w:sz="6" w:color="BFBFBF"/>
              <w:right w:val="single" w:sz="6" w:color="BFBFBF"/>
            </w:tcBorders>
            <w:vAlign w:val="center"/>
          </w:tcPr>
          <w:p>
            <w:pPr>
              <w:spacing w:after="0"/>
            </w:pPr>
            <w:r/>
            <w:r>
              <w:rPr>
                <w:sz w:val="17"/>
              </w:rPr>
              <w:t>Inverse correlation: a stronger dollar mechanically lowers gold priced in USD; rising ten-year yields raise the opportunity cost of holding non-yielding bullion</w:t>
            </w:r>
          </w:p>
        </w:tc>
        <w:tc>
          <w:tcPr>
            <w:tcW w:type="dxa" w:w="1728"/>
            <w:tcBorders>
              <w:top w:val="single" w:sz="6" w:color="BFBFBF"/>
              <w:left w:val="single" w:sz="6" w:color="BFBFBF"/>
              <w:bottom w:val="single" w:sz="6" w:color="BFBFBF"/>
              <w:right w:val="single" w:sz="6" w:color="BFBFBF"/>
            </w:tcBorders>
            <w:vAlign w:val="center"/>
          </w:tcPr>
          <w:p>
            <w:pPr>
              <w:spacing w:after="0"/>
            </w:pPr>
            <w:r/>
            <w:r>
              <w:rPr>
                <w:sz w:val="17"/>
              </w:rPr>
              <w:t>CONFIRMS bearish gold regime</w:t>
            </w:r>
          </w:p>
        </w:tc>
        <w:tc>
          <w:tcPr>
            <w:tcW w:type="dxa" w:w="2232"/>
            <w:tcBorders>
              <w:top w:val="single" w:sz="6" w:color="BFBFBF"/>
              <w:left w:val="single" w:sz="6" w:color="BFBFBF"/>
              <w:bottom w:val="single" w:sz="6" w:color="BFBFBF"/>
              <w:right w:val="single" w:sz="6" w:color="BFBFBF"/>
            </w:tcBorders>
            <w:vAlign w:val="center"/>
          </w:tcPr>
          <w:p>
            <w:pPr>
              <w:spacing w:after="0"/>
            </w:pPr>
            <w:r/>
            <w:r>
              <w:rPr>
                <w:sz w:val="17"/>
              </w:rPr>
              <w:t>Pressures gold toward 4,500 and below</w:t>
            </w:r>
          </w:p>
        </w:tc>
      </w:tr>
      <w:tr>
        <w:tc>
          <w:tcPr>
            <w:tcW w:type="dxa" w:w="172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S&amp;P 500</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Falling — 7,408.50 close, -1.24% on Friday, ending a 7-week melt-up</w:t>
            </w:r>
          </w:p>
        </w:tc>
        <w:tc>
          <w:tcPr>
            <w:tcW w:type="dxa" w:w="237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Synchronized risk-off, but in this episode equities and gold sold together (inflation-shock, not safe-haven)</w:t>
            </w:r>
          </w:p>
        </w:tc>
        <w:tc>
          <w:tcPr>
            <w:tcW w:type="dxa" w:w="172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NEUTRAL — both falling breaks the usual diversification mechanism</w:t>
            </w:r>
          </w:p>
        </w:tc>
        <w:tc>
          <w:tcPr>
            <w:tcW w:type="dxa" w:w="223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Removes the safe-haven bid that would normally cushion a gold pullback — bearish for gold</w:t>
            </w:r>
          </w:p>
        </w:tc>
      </w:tr>
      <w:tr>
        <w:tc>
          <w:tcPr>
            <w:tcW w:type="dxa" w:w="1728"/>
            <w:tcBorders>
              <w:top w:val="single" w:sz="6" w:color="BFBFBF"/>
              <w:left w:val="single" w:sz="6" w:color="BFBFBF"/>
              <w:bottom w:val="single" w:sz="6" w:color="BFBFBF"/>
              <w:right w:val="single" w:sz="6" w:color="BFBFBF"/>
            </w:tcBorders>
            <w:vAlign w:val="center"/>
          </w:tcPr>
          <w:p>
            <w:pPr>
              <w:spacing w:after="0"/>
            </w:pPr>
            <w:r/>
            <w:r>
              <w:rPr>
                <w:sz w:val="17"/>
              </w:rPr>
              <w:t>DAX 40</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Falling — 23,950.57 close, -2.07% on Friday</w:t>
            </w:r>
          </w:p>
        </w:tc>
        <w:tc>
          <w:tcPr>
            <w:tcW w:type="dxa" w:w="2376"/>
            <w:tcBorders>
              <w:top w:val="single" w:sz="6" w:color="BFBFBF"/>
              <w:left w:val="single" w:sz="6" w:color="BFBFBF"/>
              <w:bottom w:val="single" w:sz="6" w:color="BFBFBF"/>
              <w:right w:val="single" w:sz="6" w:color="BFBFBF"/>
            </w:tcBorders>
            <w:vAlign w:val="center"/>
          </w:tcPr>
          <w:p>
            <w:pPr>
              <w:spacing w:after="0"/>
            </w:pPr>
            <w:r/>
            <w:r>
              <w:rPr>
                <w:sz w:val="17"/>
              </w:rPr>
              <w:t>European equity confirmation of the US-led risk-off; broad de-risking</w:t>
            </w:r>
          </w:p>
        </w:tc>
        <w:tc>
          <w:tcPr>
            <w:tcW w:type="dxa" w:w="1728"/>
            <w:tcBorders>
              <w:top w:val="single" w:sz="6" w:color="BFBFBF"/>
              <w:left w:val="single" w:sz="6" w:color="BFBFBF"/>
              <w:bottom w:val="single" w:sz="6" w:color="BFBFBF"/>
              <w:right w:val="single" w:sz="6" w:color="BFBFBF"/>
            </w:tcBorders>
            <w:vAlign w:val="center"/>
          </w:tcPr>
          <w:p>
            <w:pPr>
              <w:spacing w:after="0"/>
            </w:pPr>
            <w:r/>
            <w:r>
              <w:rPr>
                <w:sz w:val="17"/>
              </w:rPr>
              <w:t>CONFIRMS the broad risk-off read in S&amp;P</w:t>
            </w:r>
          </w:p>
        </w:tc>
        <w:tc>
          <w:tcPr>
            <w:tcW w:type="dxa" w:w="2232"/>
            <w:tcBorders>
              <w:top w:val="single" w:sz="6" w:color="BFBFBF"/>
              <w:left w:val="single" w:sz="6" w:color="BFBFBF"/>
              <w:bottom w:val="single" w:sz="6" w:color="BFBFBF"/>
              <w:right w:val="single" w:sz="6" w:color="BFBFBF"/>
            </w:tcBorders>
            <w:vAlign w:val="center"/>
          </w:tcPr>
          <w:p>
            <w:pPr>
              <w:spacing w:after="0"/>
            </w:pPr>
            <w:r/>
            <w:r>
              <w:rPr>
                <w:sz w:val="17"/>
              </w:rPr>
              <w:t>Reinforces the inflation-shock-not-safe-haven narrative</w:t>
            </w:r>
          </w:p>
        </w:tc>
      </w:tr>
      <w:tr>
        <w:tc>
          <w:tcPr>
            <w:tcW w:type="dxa" w:w="172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VIX (reference, not active counter)</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Rising — 18.43 (+6.78% Friday)</w:t>
            </w:r>
          </w:p>
        </w:tc>
        <w:tc>
          <w:tcPr>
            <w:tcW w:type="dxa" w:w="237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Vol expansion confirms the risk-off pulse</w:t>
            </w:r>
          </w:p>
        </w:tc>
        <w:tc>
          <w:tcPr>
            <w:tcW w:type="dxa" w:w="172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CONFIRMS regime transition</w:t>
            </w:r>
          </w:p>
        </w:tc>
        <w:tc>
          <w:tcPr>
            <w:tcW w:type="dxa" w:w="223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Implies more volatility ahead, not yet panic levels</w:t>
            </w:r>
          </w:p>
        </w:tc>
      </w:tr>
      <w:tr>
        <w:tc>
          <w:tcPr>
            <w:tcW w:type="dxa" w:w="1728"/>
            <w:tcBorders>
              <w:top w:val="single" w:sz="6" w:color="BFBFBF"/>
              <w:left w:val="single" w:sz="6" w:color="BFBFBF"/>
              <w:bottom w:val="single" w:sz="6" w:color="BFBFBF"/>
              <w:right w:val="single" w:sz="6" w:color="BFBFBF"/>
            </w:tcBorders>
            <w:vAlign w:val="center"/>
          </w:tcPr>
          <w:p>
            <w:pPr>
              <w:spacing w:after="0"/>
            </w:pPr>
            <w:r/>
            <w:r>
              <w:rPr>
                <w:sz w:val="17"/>
              </w:rPr>
              <w:t>Silver (XAG/USD, secondary)</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Falling sharply — 76.68 close, -8.36% Friday, -6%+ on the week</w:t>
            </w:r>
          </w:p>
        </w:tc>
        <w:tc>
          <w:tcPr>
            <w:tcW w:type="dxa" w:w="2376"/>
            <w:tcBorders>
              <w:top w:val="single" w:sz="6" w:color="BFBFBF"/>
              <w:left w:val="single" w:sz="6" w:color="BFBFBF"/>
              <w:bottom w:val="single" w:sz="6" w:color="BFBFBF"/>
              <w:right w:val="single" w:sz="6" w:color="BFBFBF"/>
            </w:tcBorders>
            <w:vAlign w:val="center"/>
          </w:tcPr>
          <w:p>
            <w:pPr>
              <w:spacing w:after="0"/>
            </w:pPr>
            <w:r/>
            <w:r>
              <w:rPr>
                <w:sz w:val="17"/>
              </w:rPr>
              <w:t>Precious-metal complex sell-off; silver's industrial leg amplifies the downside relative to gold</w:t>
            </w:r>
          </w:p>
        </w:tc>
        <w:tc>
          <w:tcPr>
            <w:tcW w:type="dxa" w:w="1728"/>
            <w:tcBorders>
              <w:top w:val="single" w:sz="6" w:color="BFBFBF"/>
              <w:left w:val="single" w:sz="6" w:color="BFBFBF"/>
              <w:bottom w:val="single" w:sz="6" w:color="BFBFBF"/>
              <w:right w:val="single" w:sz="6" w:color="BFBFBF"/>
            </w:tcBorders>
            <w:vAlign w:val="center"/>
          </w:tcPr>
          <w:p>
            <w:pPr>
              <w:spacing w:after="0"/>
            </w:pPr>
            <w:r/>
            <w:r>
              <w:rPr>
                <w:sz w:val="17"/>
              </w:rPr>
              <w:t>CONFIRMS bearish precious-metals regime</w:t>
            </w:r>
          </w:p>
        </w:tc>
        <w:tc>
          <w:tcPr>
            <w:tcW w:type="dxa" w:w="2232"/>
            <w:tcBorders>
              <w:top w:val="single" w:sz="6" w:color="BFBFBF"/>
              <w:left w:val="single" w:sz="6" w:color="BFBFBF"/>
              <w:bottom w:val="single" w:sz="6" w:color="BFBFBF"/>
              <w:right w:val="single" w:sz="6" w:color="BFBFBF"/>
            </w:tcBorders>
            <w:vAlign w:val="center"/>
          </w:tcPr>
          <w:p>
            <w:pPr>
              <w:spacing w:after="0"/>
            </w:pPr>
            <w:r/>
            <w:r>
              <w:rPr>
                <w:sz w:val="17"/>
              </w:rPr>
              <w:t>Gold-silver ratio widened from 53.6 to 58.9 — flight from the industrial-monetary metal to the purer monetary one even within the complex, which is itself defensive within the sector but bearish in absolute terms</w:t>
            </w:r>
          </w:p>
        </w:tc>
      </w:tr>
    </w:tbl>
    <w:p>
      <w:pPr>
        <w:spacing w:after="40"/>
      </w:pPr>
    </w:p>
    <w:p>
      <w:pPr>
        <w:spacing w:after="160" w:before="0"/>
      </w:pPr>
      <w:r>
        <w:rPr>
          <w:b w:val="0"/>
          <w:i w:val="0"/>
          <w:sz w:val="21"/>
        </w:rPr>
        <w:t>Contradiction flag: none. All five active reads either confirm the bearish regime or break gold's normal safe-haven bid in a way that is itself bearish in this specific macro setup. Note carefully: the S&amp;P / Gold co-decline is unusual and must be flagged — it tells us we are in an inflation-shock episode, not a growth-scare episode. The implication is asymmetric: a hawkish FOMC minutes read drives both lower; only a genuinely dovish surprise reverses gold without necessarily reviving equities.</w:t>
      </w:r>
    </w:p>
    <w:p>
      <w:pPr>
        <w:spacing w:before="240" w:after="80"/>
        <w:pBdr>
          <w:bottom w:val="single" w:sz="6" w:space="1" w:color="2E75B6"/>
        </w:pBdr>
      </w:pPr>
      <w:r>
        <w:rPr>
          <w:b/>
          <w:color w:val="1F3A5F"/>
          <w:sz w:val="26"/>
        </w:rPr>
        <w:t>§11  Floor Pivot Analysis</w:t>
      </w:r>
    </w:p>
    <w:p>
      <w:pPr>
        <w:spacing w:after="80" w:before="0"/>
      </w:pPr>
      <w:r>
        <w:rPr>
          <w:b w:val="0"/>
          <w:i/>
          <w:sz w:val="19"/>
        </w:rPr>
        <w:t>Daily pivots calculated from 15-May (Friday) H/L/C = 4,684 / 4,483 / 4,562. Weekly pivots from the W/E 15-May H/L/C. Monthly pivots from April's H/L/C. All H/L/C inputs are CORROBORATED across at least two sources.</w:t>
      </w:r>
    </w:p>
    <w:p>
      <w:pPr>
        <w:spacing w:after="40" w:before="80"/>
      </w:pPr>
      <w:r>
        <w:rPr>
          <w:b/>
          <w:i w:val="0"/>
          <w:sz w:val="20"/>
        </w:rPr>
        <w:t>Daily pivots (for 18-May session, USD/oz)</w:t>
      </w:r>
    </w:p>
    <w:tbl>
      <w:tblPr>
        <w:tblW w:type="auto" w:w="0"/>
        <w:jc w:val="left"/>
        <w:tblLayout w:type="fixed"/>
        <w:tblLook w:firstColumn="1" w:firstRow="1" w:lastColumn="0" w:lastRow="0" w:noHBand="0" w:noVBand="1" w:val="04A0"/>
      </w:tblPr>
      <w:tblGrid>
        <w:gridCol w:w="4824"/>
        <w:gridCol w:w="4824"/>
      </w:tblGrid>
      <w:tr>
        <w:tc>
          <w:tcPr>
            <w:tcW w:type="dxa" w:w="216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Level</w:t>
            </w:r>
          </w:p>
        </w:tc>
        <w:tc>
          <w:tcPr>
            <w:tcW w:type="dxa" w:w="28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USD/oz</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R5</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4,931</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R4</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4,864</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R3</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4,797</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R2</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4,710</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R1</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4,636</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P (pivot)</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4,576</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S1</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4,442</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S2</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4,375</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S3</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4,308</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S4</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4,241</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S5</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4,174</w:t>
            </w:r>
          </w:p>
        </w:tc>
      </w:tr>
    </w:tbl>
    <w:p>
      <w:pPr>
        <w:spacing w:after="40"/>
      </w:pPr>
    </w:p>
    <w:p>
      <w:pPr>
        <w:spacing w:after="40" w:before="80"/>
      </w:pPr>
      <w:r>
        <w:rPr>
          <w:b/>
          <w:i w:val="0"/>
          <w:sz w:val="20"/>
        </w:rPr>
        <w:t>Weekly pivots (for week of 18-May, USD/oz) — 3 levels each side</w:t>
      </w:r>
    </w:p>
    <w:tbl>
      <w:tblPr>
        <w:tblW w:type="auto" w:w="0"/>
        <w:jc w:val="left"/>
        <w:tblLayout w:type="fixed"/>
        <w:tblLook w:firstColumn="1" w:firstRow="1" w:lastColumn="0" w:lastRow="0" w:noHBand="0" w:noVBand="1" w:val="04A0"/>
      </w:tblPr>
      <w:tblGrid>
        <w:gridCol w:w="4824"/>
        <w:gridCol w:w="4824"/>
      </w:tblGrid>
      <w:tr>
        <w:tc>
          <w:tcPr>
            <w:tcW w:type="dxa" w:w="216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Level</w:t>
            </w:r>
          </w:p>
        </w:tc>
        <w:tc>
          <w:tcPr>
            <w:tcW w:type="dxa" w:w="28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USD/oz</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R3</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4,910</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R2</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4,824</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R1</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4,693</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P</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4,607</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S1</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4,476</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S2</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4,390</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S3</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4,259</w:t>
            </w:r>
          </w:p>
        </w:tc>
      </w:tr>
    </w:tbl>
    <w:p>
      <w:pPr>
        <w:spacing w:after="40"/>
      </w:pPr>
    </w:p>
    <w:p>
      <w:pPr>
        <w:spacing w:after="40" w:before="80"/>
      </w:pPr>
      <w:r>
        <w:rPr>
          <w:b/>
          <w:i w:val="0"/>
          <w:sz w:val="20"/>
        </w:rPr>
        <w:t>Monthly pivots (for May, USD/oz) — 3 levels each side. April H/L/C ≈ 4,810 / 4,260 / 4,650</w:t>
      </w:r>
    </w:p>
    <w:tbl>
      <w:tblPr>
        <w:tblW w:type="auto" w:w="0"/>
        <w:jc w:val="left"/>
        <w:tblLayout w:type="fixed"/>
        <w:tblLook w:firstColumn="1" w:firstRow="1" w:lastColumn="0" w:lastRow="0" w:noHBand="0" w:noVBand="1" w:val="04A0"/>
      </w:tblPr>
      <w:tblGrid>
        <w:gridCol w:w="4824"/>
        <w:gridCol w:w="4824"/>
      </w:tblGrid>
      <w:tr>
        <w:tc>
          <w:tcPr>
            <w:tcW w:type="dxa" w:w="216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Level</w:t>
            </w:r>
          </w:p>
        </w:tc>
        <w:tc>
          <w:tcPr>
            <w:tcW w:type="dxa" w:w="28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USD/oz</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R3</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5,220</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R2</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5,000</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R1</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4,825</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P</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4,573</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S1</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4,398</w:t>
            </w:r>
          </w:p>
        </w:tc>
      </w:tr>
      <w:tr>
        <w:tc>
          <w:tcPr>
            <w:tcW w:type="dxa" w:w="216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S2</w:t>
            </w:r>
          </w:p>
        </w:tc>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4,148</w:t>
            </w:r>
          </w:p>
        </w:tc>
      </w:tr>
      <w:tr>
        <w:tc>
          <w:tcPr>
            <w:tcW w:type="dxa" w:w="2160"/>
            <w:tcBorders>
              <w:top w:val="single" w:sz="6" w:color="BFBFBF"/>
              <w:left w:val="single" w:sz="6" w:color="BFBFBF"/>
              <w:bottom w:val="single" w:sz="6" w:color="BFBFBF"/>
              <w:right w:val="single" w:sz="6" w:color="BFBFBF"/>
            </w:tcBorders>
            <w:vAlign w:val="center"/>
          </w:tcPr>
          <w:p>
            <w:pPr>
              <w:spacing w:after="0"/>
            </w:pPr>
            <w:r/>
            <w:r>
              <w:rPr>
                <w:sz w:val="19"/>
              </w:rPr>
              <w:t>S3</w:t>
            </w:r>
          </w:p>
        </w:tc>
        <w:tc>
          <w:tcPr>
            <w:tcW w:type="dxa" w:w="2880"/>
            <w:tcBorders>
              <w:top w:val="single" w:sz="6" w:color="BFBFBF"/>
              <w:left w:val="single" w:sz="6" w:color="BFBFBF"/>
              <w:bottom w:val="single" w:sz="6" w:color="BFBFBF"/>
              <w:right w:val="single" w:sz="6" w:color="BFBFBF"/>
            </w:tcBorders>
            <w:vAlign w:val="center"/>
          </w:tcPr>
          <w:p>
            <w:pPr>
              <w:spacing w:after="0"/>
            </w:pPr>
            <w:r/>
            <w:r>
              <w:rPr>
                <w:sz w:val="19"/>
              </w:rPr>
              <w:t>3,973</w:t>
            </w:r>
          </w:p>
        </w:tc>
      </w:tr>
    </w:tbl>
    <w:p>
      <w:pPr>
        <w:spacing w:after="40"/>
      </w:pPr>
    </w:p>
    <w:p>
      <w:pPr>
        <w:spacing w:after="160" w:before="0"/>
      </w:pPr>
      <w:r>
        <w:rPr>
          <w:b w:val="0"/>
          <w:i w:val="0"/>
          <w:sz w:val="21"/>
        </w:rPr>
        <w:t>Position narrative: the 15-May close at 4,562 sits between the daily P (4,576) and daily S1 (4,442) — i.e. price has lost the pivot but has not yet reached S1. Weekly read places price below weekly P (4,607) and very close to weekly S1 (4,476) on any further drop. Monthly P sits at 4,573 — essentially coincident with the 18-May open zone. The 4,573-4,576 cluster is a STRONG CONFLUENCE: daily P + monthly P are inside 0.07% of one another. Symmetric confluence on the downside is the 4,476 / 4,442 cluster (weekly S1 + daily S1), tagged as a high-probability reaction zone. Source status for every pivot tier above: CORROBORATED.</w:t>
      </w:r>
    </w:p>
    <w:p>
      <w:pPr>
        <w:spacing w:before="240" w:after="80"/>
        <w:pBdr>
          <w:bottom w:val="single" w:sz="6" w:space="1" w:color="2E75B6"/>
        </w:pBdr>
      </w:pPr>
      <w:r>
        <w:rPr>
          <w:b/>
          <w:color w:val="1F3A5F"/>
          <w:sz w:val="26"/>
        </w:rPr>
        <w:t>§12  Key Market Considerations</w:t>
      </w:r>
    </w:p>
    <w:p>
      <w:pPr>
        <w:spacing w:after="60"/>
        <w:ind w:left="216"/>
      </w:pPr>
      <w:r>
        <w:rPr>
          <w:b/>
          <w:sz w:val="20"/>
        </w:rPr>
        <w:t xml:space="preserve">Supply / mine output. </w:t>
      </w:r>
      <w:r>
        <w:rPr>
          <w:sz w:val="20"/>
        </w:rPr>
        <w:t>Q1 2026 demand at record (1,230.9 t per WGC) was met by ample mine and recycled supply; not the binding driver this week.</w:t>
      </w:r>
    </w:p>
    <w:p>
      <w:pPr>
        <w:spacing w:after="60"/>
        <w:ind w:left="216"/>
      </w:pPr>
      <w:r>
        <w:rPr>
          <w:b/>
          <w:sz w:val="20"/>
        </w:rPr>
        <w:t xml:space="preserve">Demand — official sector. </w:t>
      </w:r>
      <w:r>
        <w:rPr>
          <w:sz w:val="20"/>
        </w:rPr>
        <w:t>PBoC continues monthly accumulation (17+ months running). Long-cycle bullish, but officials buy on dips and do not chase rallies — provides a floor, not a near-term catalyst.</w:t>
      </w:r>
    </w:p>
    <w:p>
      <w:pPr>
        <w:spacing w:after="60"/>
        <w:ind w:left="216"/>
      </w:pPr>
      <w:r>
        <w:rPr>
          <w:b/>
          <w:sz w:val="20"/>
        </w:rPr>
        <w:t xml:space="preserve">Demand — investment / ETF. </w:t>
      </w:r>
      <w:r>
        <w:rPr>
          <w:sz w:val="20"/>
        </w:rPr>
        <w:t>WGC Q1 ETF inflows of +62 t, well below the +230 t print one year earlier. Western investment demand has cooled into rate-hike risk.</w:t>
      </w:r>
    </w:p>
    <w:p>
      <w:pPr>
        <w:spacing w:after="60"/>
        <w:ind w:left="216"/>
      </w:pPr>
      <w:r>
        <w:rPr>
          <w:b/>
          <w:sz w:val="20"/>
        </w:rPr>
        <w:t xml:space="preserve">Demand — physical retail. </w:t>
      </w:r>
      <w:r>
        <w:rPr>
          <w:sz w:val="20"/>
        </w:rPr>
        <w:t>India raised gold/silver import tariffs to 15% from 6% — short-term demand-suppressive but historically a poor timing signal.</w:t>
      </w:r>
    </w:p>
    <w:p>
      <w:pPr>
        <w:spacing w:after="60"/>
        <w:ind w:left="216"/>
      </w:pPr>
      <w:r>
        <w:rPr>
          <w:b/>
          <w:sz w:val="20"/>
        </w:rPr>
        <w:t xml:space="preserve">Policy — Fed. </w:t>
      </w:r>
      <w:r>
        <w:rPr>
          <w:sz w:val="20"/>
        </w:rPr>
        <w:t>Markets have priced out 2026 cuts entirely. CME FedWatch shows ~28-30% probability of a December HIKE. Fed funds at 3.50-3.75%; ten-year real yields rising. THIS IS THE BINDING DRIVER.</w:t>
      </w:r>
    </w:p>
    <w:p>
      <w:pPr>
        <w:spacing w:after="60"/>
        <w:ind w:left="216"/>
      </w:pPr>
      <w:r>
        <w:rPr>
          <w:b/>
          <w:sz w:val="20"/>
        </w:rPr>
        <w:t xml:space="preserve">Policy — geopolitics. </w:t>
      </w:r>
      <w:r>
        <w:rPr>
          <w:sz w:val="20"/>
        </w:rPr>
        <w:t>Iran conflict and Strait of Hormuz closure are still active. Energy-shock dimension is supporting inflation prints; safe-haven channel is currently being overridden by the real-yield channel.</w:t>
      </w:r>
    </w:p>
    <w:p>
      <w:pPr>
        <w:spacing w:after="60"/>
        <w:ind w:left="216"/>
      </w:pPr>
      <w:r>
        <w:rPr>
          <w:b/>
          <w:sz w:val="20"/>
        </w:rPr>
        <w:t xml:space="preserve">Macro — inflation surprise. </w:t>
      </w:r>
      <w:r>
        <w:rPr>
          <w:sz w:val="20"/>
        </w:rPr>
        <w:t>April CPI +0.6% m/m / 3.8% y/y; April PPI fastest since 2022; import + export prices both rising. Inflation backdrop is gold-positive long-term, gold-negative short-term via Fed reaction function.</w:t>
      </w:r>
    </w:p>
    <w:p>
      <w:pPr>
        <w:spacing w:after="60"/>
        <w:ind w:left="216"/>
      </w:pPr>
      <w:r>
        <w:rPr>
          <w:b/>
          <w:sz w:val="20"/>
        </w:rPr>
        <w:t xml:space="preserve">Catalysts — calendar. </w:t>
      </w:r>
      <w:r>
        <w:rPr>
          <w:sz w:val="20"/>
        </w:rPr>
        <w:t>FOMC April minutes on 20-May is the single largest item this week. Also: Univ. Michigan inflation expectations (22-May); PMIs (21-May); jobless claims (21-May). See §13d.</w:t>
      </w:r>
    </w:p>
    <w:p>
      <w:pPr>
        <w:spacing w:before="240" w:after="80"/>
        <w:pBdr>
          <w:bottom w:val="single" w:sz="6" w:space="1" w:color="2E75B6"/>
        </w:pBdr>
      </w:pPr>
      <w:r>
        <w:rPr>
          <w:b/>
          <w:color w:val="1F3A5F"/>
          <w:sz w:val="26"/>
        </w:rPr>
        <w:t>§13  Sentiment, News &amp; Calendar</w:t>
      </w:r>
    </w:p>
    <w:p>
      <w:pPr>
        <w:spacing w:after="80" w:before="80"/>
      </w:pPr>
      <w:r>
        <w:rPr>
          <w:b/>
          <w:i w:val="0"/>
          <w:sz w:val="21"/>
        </w:rPr>
        <w:t>§13a — Article-level sentiment table (top 6 items, 14-15 May)</w:t>
      </w:r>
    </w:p>
    <w:tbl>
      <w:tblPr>
        <w:tblW w:type="auto" w:w="0"/>
        <w:jc w:val="left"/>
        <w:tblLayout w:type="fixed"/>
        <w:tblLook w:firstColumn="1" w:firstRow="1" w:lastColumn="0" w:lastRow="0" w:noHBand="0" w:noVBand="1" w:val="04A0"/>
      </w:tblPr>
      <w:tblGrid>
        <w:gridCol w:w="2412"/>
        <w:gridCol w:w="2412"/>
        <w:gridCol w:w="2412"/>
        <w:gridCol w:w="2412"/>
      </w:tblGrid>
      <w:tr>
        <w:tc>
          <w:tcPr>
            <w:tcW w:type="dxa" w:w="201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Source</w:t>
            </w:r>
          </w:p>
        </w:tc>
        <w:tc>
          <w:tcPr>
            <w:tcW w:type="dxa" w:w="432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Headline (paraphrased)</w:t>
            </w:r>
          </w:p>
        </w:tc>
        <w:tc>
          <w:tcPr>
            <w:tcW w:type="dxa" w:w="100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Date</w:t>
            </w:r>
          </w:p>
        </w:tc>
        <w:tc>
          <w:tcPr>
            <w:tcW w:type="dxa" w:w="230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8"/>
              </w:rPr>
              <w:t>Sentiment tilt</w:t>
            </w:r>
          </w:p>
        </w:tc>
      </w:tr>
      <w:tr>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Reuters / Trading Economics</w:t>
            </w:r>
          </w:p>
        </w:tc>
        <w:tc>
          <w:tcPr>
            <w:tcW w:type="dxa" w:w="4320"/>
            <w:tcBorders>
              <w:top w:val="single" w:sz="6" w:color="BFBFBF"/>
              <w:left w:val="single" w:sz="6" w:color="BFBFBF"/>
              <w:bottom w:val="single" w:sz="6" w:color="BFBFBF"/>
              <w:right w:val="single" w:sz="6" w:color="BFBFBF"/>
            </w:tcBorders>
            <w:vAlign w:val="center"/>
          </w:tcPr>
          <w:p>
            <w:pPr>
              <w:spacing w:after="0"/>
            </w:pPr>
            <w:r/>
            <w:r>
              <w:rPr>
                <w:sz w:val="18"/>
              </w:rPr>
              <w:t>Gold falls to ~4,530, worst week since mid-March</w:t>
            </w:r>
          </w:p>
        </w:tc>
        <w:tc>
          <w:tcPr>
            <w:tcW w:type="dxa" w:w="1008"/>
            <w:tcBorders>
              <w:top w:val="single" w:sz="6" w:color="BFBFBF"/>
              <w:left w:val="single" w:sz="6" w:color="BFBFBF"/>
              <w:bottom w:val="single" w:sz="6" w:color="BFBFBF"/>
              <w:right w:val="single" w:sz="6" w:color="BFBFBF"/>
            </w:tcBorders>
            <w:vAlign w:val="center"/>
          </w:tcPr>
          <w:p>
            <w:pPr>
              <w:spacing w:after="0"/>
            </w:pPr>
            <w:r/>
            <w:r>
              <w:rPr>
                <w:sz w:val="18"/>
              </w:rPr>
              <w:t>15-May</w:t>
            </w:r>
          </w:p>
        </w:tc>
        <w:tc>
          <w:tcPr>
            <w:tcW w:type="dxa" w:w="2304"/>
            <w:tcBorders>
              <w:top w:val="single" w:sz="6" w:color="BFBFBF"/>
              <w:left w:val="single" w:sz="6" w:color="BFBFBF"/>
              <w:bottom w:val="single" w:sz="6" w:color="BFBFBF"/>
              <w:right w:val="single" w:sz="6" w:color="BFBFBF"/>
            </w:tcBorders>
            <w:vAlign w:val="center"/>
          </w:tcPr>
          <w:p>
            <w:pPr>
              <w:spacing w:after="0"/>
            </w:pPr>
            <w:r/>
            <w:r>
              <w:rPr>
                <w:sz w:val="18"/>
              </w:rPr>
              <w:t>Bearish (-0.7)</w:t>
            </w:r>
          </w:p>
        </w:tc>
      </w:tr>
      <w:tr>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Investing.com</w:t>
            </w:r>
          </w:p>
        </w:tc>
        <w:tc>
          <w:tcPr>
            <w:tcW w:type="dxa" w:w="432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Gold collapses — 'one of the most punishing single sessions of 2026'</w:t>
            </w:r>
          </w:p>
        </w:tc>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15-May</w:t>
            </w:r>
          </w:p>
        </w:tc>
        <w:tc>
          <w:tcPr>
            <w:tcW w:type="dxa" w:w="230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Bearish (-0.8)</w:t>
            </w:r>
          </w:p>
        </w:tc>
      </w:tr>
      <w:tr>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CNBC</w:t>
            </w:r>
          </w:p>
        </w:tc>
        <w:tc>
          <w:tcPr>
            <w:tcW w:type="dxa" w:w="4320"/>
            <w:tcBorders>
              <w:top w:val="single" w:sz="6" w:color="BFBFBF"/>
              <w:left w:val="single" w:sz="6" w:color="BFBFBF"/>
              <w:bottom w:val="single" w:sz="6" w:color="BFBFBF"/>
              <w:right w:val="single" w:sz="6" w:color="BFBFBF"/>
            </w:tcBorders>
            <w:vAlign w:val="center"/>
          </w:tcPr>
          <w:p>
            <w:pPr>
              <w:spacing w:after="0"/>
            </w:pPr>
            <w:r/>
            <w:r>
              <w:rPr>
                <w:sz w:val="18"/>
              </w:rPr>
              <w:t>Bonds, stocks and precious metals slump as inflation fears mount</w:t>
            </w:r>
          </w:p>
        </w:tc>
        <w:tc>
          <w:tcPr>
            <w:tcW w:type="dxa" w:w="1008"/>
            <w:tcBorders>
              <w:top w:val="single" w:sz="6" w:color="BFBFBF"/>
              <w:left w:val="single" w:sz="6" w:color="BFBFBF"/>
              <w:bottom w:val="single" w:sz="6" w:color="BFBFBF"/>
              <w:right w:val="single" w:sz="6" w:color="BFBFBF"/>
            </w:tcBorders>
            <w:vAlign w:val="center"/>
          </w:tcPr>
          <w:p>
            <w:pPr>
              <w:spacing w:after="0"/>
            </w:pPr>
            <w:r/>
            <w:r>
              <w:rPr>
                <w:sz w:val="18"/>
              </w:rPr>
              <w:t>15-May</w:t>
            </w:r>
          </w:p>
        </w:tc>
        <w:tc>
          <w:tcPr>
            <w:tcW w:type="dxa" w:w="2304"/>
            <w:tcBorders>
              <w:top w:val="single" w:sz="6" w:color="BFBFBF"/>
              <w:left w:val="single" w:sz="6" w:color="BFBFBF"/>
              <w:bottom w:val="single" w:sz="6" w:color="BFBFBF"/>
              <w:right w:val="single" w:sz="6" w:color="BFBFBF"/>
            </w:tcBorders>
            <w:vAlign w:val="center"/>
          </w:tcPr>
          <w:p>
            <w:pPr>
              <w:spacing w:after="0"/>
            </w:pPr>
            <w:r/>
            <w:r>
              <w:rPr>
                <w:sz w:val="18"/>
              </w:rPr>
              <w:t>Bearish (-0.6)</w:t>
            </w:r>
          </w:p>
        </w:tc>
      </w:tr>
      <w:tr>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USAGOLD daily report</w:t>
            </w:r>
          </w:p>
        </w:tc>
        <w:tc>
          <w:tcPr>
            <w:tcW w:type="dxa" w:w="432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Physical accumulation entry point — paper market creates discount</w:t>
            </w:r>
          </w:p>
        </w:tc>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15-May</w:t>
            </w:r>
          </w:p>
        </w:tc>
        <w:tc>
          <w:tcPr>
            <w:tcW w:type="dxa" w:w="230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Mildly bullish (+0.3) — physical-side</w:t>
            </w:r>
          </w:p>
        </w:tc>
      </w:tr>
      <w:tr>
        <w:tc>
          <w:tcPr>
            <w:tcW w:type="dxa" w:w="2016"/>
            <w:tcBorders>
              <w:top w:val="single" w:sz="6" w:color="BFBFBF"/>
              <w:left w:val="single" w:sz="6" w:color="BFBFBF"/>
              <w:bottom w:val="single" w:sz="6" w:color="BFBFBF"/>
              <w:right w:val="single" w:sz="6" w:color="BFBFBF"/>
            </w:tcBorders>
            <w:vAlign w:val="center"/>
          </w:tcPr>
          <w:p>
            <w:pPr>
              <w:spacing w:after="0"/>
            </w:pPr>
            <w:r/>
            <w:r>
              <w:rPr>
                <w:sz w:val="18"/>
              </w:rPr>
              <w:t>FX Leaders</w:t>
            </w:r>
          </w:p>
        </w:tc>
        <w:tc>
          <w:tcPr>
            <w:tcW w:type="dxa" w:w="4320"/>
            <w:tcBorders>
              <w:top w:val="single" w:sz="6" w:color="BFBFBF"/>
              <w:left w:val="single" w:sz="6" w:color="BFBFBF"/>
              <w:bottom w:val="single" w:sz="6" w:color="BFBFBF"/>
              <w:right w:val="single" w:sz="6" w:color="BFBFBF"/>
            </w:tcBorders>
            <w:vAlign w:val="center"/>
          </w:tcPr>
          <w:p>
            <w:pPr>
              <w:spacing w:after="0"/>
            </w:pPr>
            <w:r/>
            <w:r>
              <w:rPr>
                <w:sz w:val="18"/>
              </w:rPr>
              <w:t>Gold holds 4,553 — Trump-Xi summit looming, rate cut hopes fade</w:t>
            </w:r>
          </w:p>
        </w:tc>
        <w:tc>
          <w:tcPr>
            <w:tcW w:type="dxa" w:w="1008"/>
            <w:tcBorders>
              <w:top w:val="single" w:sz="6" w:color="BFBFBF"/>
              <w:left w:val="single" w:sz="6" w:color="BFBFBF"/>
              <w:bottom w:val="single" w:sz="6" w:color="BFBFBF"/>
              <w:right w:val="single" w:sz="6" w:color="BFBFBF"/>
            </w:tcBorders>
            <w:vAlign w:val="center"/>
          </w:tcPr>
          <w:p>
            <w:pPr>
              <w:spacing w:after="0"/>
            </w:pPr>
            <w:r/>
            <w:r>
              <w:rPr>
                <w:sz w:val="18"/>
              </w:rPr>
              <w:t>15-May</w:t>
            </w:r>
          </w:p>
        </w:tc>
        <w:tc>
          <w:tcPr>
            <w:tcW w:type="dxa" w:w="2304"/>
            <w:tcBorders>
              <w:top w:val="single" w:sz="6" w:color="BFBFBF"/>
              <w:left w:val="single" w:sz="6" w:color="BFBFBF"/>
              <w:bottom w:val="single" w:sz="6" w:color="BFBFBF"/>
              <w:right w:val="single" w:sz="6" w:color="BFBFBF"/>
            </w:tcBorders>
            <w:vAlign w:val="center"/>
          </w:tcPr>
          <w:p>
            <w:pPr>
              <w:spacing w:after="0"/>
            </w:pPr>
            <w:r/>
            <w:r>
              <w:rPr>
                <w:sz w:val="18"/>
              </w:rPr>
              <w:t>Mildly bearish (-0.3)</w:t>
            </w:r>
          </w:p>
        </w:tc>
      </w:tr>
      <w:tr>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LiteFinance</w:t>
            </w:r>
          </w:p>
        </w:tc>
        <w:tc>
          <w:tcPr>
            <w:tcW w:type="dxa" w:w="4320"/>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Gold at 4,540; 18-May may continue to decline</w:t>
            </w:r>
          </w:p>
        </w:tc>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17-May</w:t>
            </w:r>
          </w:p>
        </w:tc>
        <w:tc>
          <w:tcPr>
            <w:tcW w:type="dxa" w:w="2304"/>
            <w:shd w:val="clear" w:color="auto" w:fill="F2F2F2"/>
            <w:tcBorders>
              <w:top w:val="single" w:sz="6" w:color="BFBFBF"/>
              <w:left w:val="single" w:sz="6" w:color="BFBFBF"/>
              <w:bottom w:val="single" w:sz="6" w:color="BFBFBF"/>
              <w:right w:val="single" w:sz="6" w:color="BFBFBF"/>
            </w:tcBorders>
            <w:vAlign w:val="center"/>
          </w:tcPr>
          <w:p>
            <w:pPr>
              <w:spacing w:after="0"/>
            </w:pPr>
            <w:r/>
            <w:r>
              <w:rPr>
                <w:sz w:val="18"/>
              </w:rPr>
              <w:t>Bearish (-0.5)</w:t>
            </w:r>
          </w:p>
        </w:tc>
      </w:tr>
    </w:tbl>
    <w:p>
      <w:pPr>
        <w:spacing w:after="40"/>
      </w:pPr>
    </w:p>
    <w:p>
      <w:pPr>
        <w:spacing w:after="80" w:before="120"/>
      </w:pPr>
      <w:r>
        <w:rPr>
          <w:b/>
          <w:i w:val="0"/>
          <w:sz w:val="21"/>
        </w:rPr>
        <w:t>§13b — Aggregate sentiment</w:t>
      </w:r>
    </w:p>
    <w:tbl>
      <w:tblPr>
        <w:tblW w:type="auto" w:w="0"/>
        <w:jc w:val="left"/>
        <w:tblLayout w:type="fixed"/>
        <w:tblLook w:firstColumn="1" w:firstRow="1" w:lastColumn="0" w:lastRow="0" w:noHBand="0" w:noVBand="1" w:val="04A0"/>
      </w:tblPr>
      <w:tblGrid>
        <w:gridCol w:w="4824"/>
        <w:gridCol w:w="4824"/>
      </w:tblGrid>
      <w:tr>
        <w:tc>
          <w:tcPr>
            <w:tcW w:type="dxa" w:w="2880"/>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Field</w:t>
            </w:r>
          </w:p>
        </w:tc>
        <w:tc>
          <w:tcPr>
            <w:tcW w:type="dxa" w:w="676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Value</w:t>
            </w:r>
          </w:p>
        </w:tc>
      </w:tr>
      <w:tr>
        <w:tc>
          <w:tcPr>
            <w:tcW w:type="dxa" w:w="2880"/>
            <w:tcBorders>
              <w:top w:val="single" w:sz="6" w:color="BFBFBF"/>
              <w:left w:val="single" w:sz="6" w:color="BFBFBF"/>
              <w:bottom w:val="single" w:sz="6" w:color="BFBFBF"/>
              <w:right w:val="single" w:sz="6" w:color="BFBFBF"/>
            </w:tcBorders>
            <w:vAlign w:val="center"/>
          </w:tcPr>
          <w:p>
            <w:pPr>
              <w:spacing w:after="0"/>
            </w:pPr>
            <w:r/>
            <w:r>
              <w:rPr>
                <w:b/>
                <w:sz w:val="19"/>
              </w:rPr>
              <w:t>Categorical aggregate</w:t>
            </w:r>
          </w:p>
        </w:tc>
        <w:tc>
          <w:tcPr>
            <w:tcW w:type="dxa" w:w="6768"/>
            <w:tcBorders>
              <w:top w:val="single" w:sz="6" w:color="BFBFBF"/>
              <w:left w:val="single" w:sz="6" w:color="BFBFBF"/>
              <w:bottom w:val="single" w:sz="6" w:color="BFBFBF"/>
              <w:right w:val="single" w:sz="6" w:color="BFBFBF"/>
            </w:tcBorders>
            <w:vAlign w:val="center"/>
          </w:tcPr>
          <w:p>
            <w:pPr>
              <w:spacing w:after="0"/>
            </w:pPr>
            <w:r/>
            <w:r>
              <w:rPr>
                <w:sz w:val="19"/>
              </w:rPr>
              <w:t>BEARISH</w:t>
            </w:r>
          </w:p>
        </w:tc>
      </w:tr>
      <w:tr>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Numeric tilt (range −1 to +1)</w:t>
            </w:r>
          </w:p>
        </w:tc>
        <w:tc>
          <w:tcPr>
            <w:tcW w:type="dxa" w:w="6768"/>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−0.45</w:t>
            </w:r>
          </w:p>
        </w:tc>
      </w:tr>
      <w:tr>
        <w:tc>
          <w:tcPr>
            <w:tcW w:type="dxa" w:w="2880"/>
            <w:tcBorders>
              <w:top w:val="single" w:sz="6" w:color="BFBFBF"/>
              <w:left w:val="single" w:sz="6" w:color="BFBFBF"/>
              <w:bottom w:val="single" w:sz="6" w:color="BFBFBF"/>
              <w:right w:val="single" w:sz="6" w:color="BFBFBF"/>
            </w:tcBorders>
            <w:vAlign w:val="center"/>
          </w:tcPr>
          <w:p>
            <w:pPr>
              <w:spacing w:after="0"/>
            </w:pPr>
            <w:r/>
            <w:r>
              <w:rPr>
                <w:b/>
                <w:sz w:val="19"/>
              </w:rPr>
              <w:t>Sample size</w:t>
            </w:r>
          </w:p>
        </w:tc>
        <w:tc>
          <w:tcPr>
            <w:tcW w:type="dxa" w:w="6768"/>
            <w:tcBorders>
              <w:top w:val="single" w:sz="6" w:color="BFBFBF"/>
              <w:left w:val="single" w:sz="6" w:color="BFBFBF"/>
              <w:bottom w:val="single" w:sz="6" w:color="BFBFBF"/>
              <w:right w:val="single" w:sz="6" w:color="BFBFBF"/>
            </w:tcBorders>
            <w:vAlign w:val="center"/>
          </w:tcPr>
          <w:p>
            <w:pPr>
              <w:spacing w:after="0"/>
            </w:pPr>
            <w:r/>
            <w:r>
              <w:rPr>
                <w:sz w:val="19"/>
              </w:rPr>
              <w:t>6 articles, 14-17 May, multi-source</w:t>
            </w:r>
          </w:p>
        </w:tc>
      </w:tr>
      <w:tr>
        <w:tc>
          <w:tcPr>
            <w:tcW w:type="dxa" w:w="2880"/>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Outliers</w:t>
            </w:r>
          </w:p>
        </w:tc>
        <w:tc>
          <w:tcPr>
            <w:tcW w:type="dxa" w:w="6768"/>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USAGOLD physical-positive read partially offsets paper-market bearish consensus</w:t>
            </w:r>
          </w:p>
        </w:tc>
      </w:tr>
      <w:tr>
        <w:tc>
          <w:tcPr>
            <w:tcW w:type="dxa" w:w="2880"/>
            <w:tcBorders>
              <w:top w:val="single" w:sz="6" w:color="BFBFBF"/>
              <w:left w:val="single" w:sz="6" w:color="BFBFBF"/>
              <w:bottom w:val="single" w:sz="6" w:color="BFBFBF"/>
              <w:right w:val="single" w:sz="6" w:color="BFBFBF"/>
            </w:tcBorders>
            <w:vAlign w:val="center"/>
          </w:tcPr>
          <w:p>
            <w:pPr>
              <w:spacing w:after="0"/>
            </w:pPr>
            <w:r/>
            <w:r>
              <w:rPr>
                <w:b/>
                <w:sz w:val="19"/>
              </w:rPr>
              <w:t>Pass-through to §21a</w:t>
            </w:r>
          </w:p>
        </w:tc>
        <w:tc>
          <w:tcPr>
            <w:tcW w:type="dxa" w:w="6768"/>
            <w:tcBorders>
              <w:top w:val="single" w:sz="6" w:color="BFBFBF"/>
              <w:left w:val="single" w:sz="6" w:color="BFBFBF"/>
              <w:bottom w:val="single" w:sz="6" w:color="BFBFBF"/>
              <w:right w:val="single" w:sz="6" w:color="BFBFBF"/>
            </w:tcBorders>
            <w:vAlign w:val="center"/>
          </w:tcPr>
          <w:p>
            <w:pPr>
              <w:spacing w:after="0"/>
            </w:pPr>
            <w:r/>
            <w:r>
              <w:rPr>
                <w:sz w:val="19"/>
              </w:rPr>
              <w:t>−0.45 enters the direction-score as the §13b input</w:t>
            </w:r>
          </w:p>
        </w:tc>
      </w:tr>
    </w:tbl>
    <w:p>
      <w:pPr>
        <w:spacing w:after="40"/>
      </w:pPr>
    </w:p>
    <w:p>
      <w:pPr>
        <w:spacing w:after="80" w:before="120"/>
      </w:pPr>
      <w:r>
        <w:rPr>
          <w:b/>
          <w:i w:val="0"/>
          <w:sz w:val="21"/>
        </w:rPr>
        <w:t>§13c — Pre-event calendar (next 5 sessions)</w:t>
      </w:r>
    </w:p>
    <w:tbl>
      <w:tblPr>
        <w:tblW w:type="auto" w:w="0"/>
        <w:jc w:val="left"/>
        <w:tblLayout w:type="fixed"/>
        <w:tblLook w:firstColumn="1" w:firstRow="1" w:lastColumn="0" w:lastRow="0" w:noHBand="0" w:noVBand="1" w:val="04A0"/>
      </w:tblPr>
      <w:tblGrid>
        <w:gridCol w:w="3216"/>
        <w:gridCol w:w="3216"/>
        <w:gridCol w:w="3216"/>
      </w:tblGrid>
      <w:tr>
        <w:tc>
          <w:tcPr>
            <w:tcW w:type="dxa" w:w="172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Date</w:t>
            </w:r>
          </w:p>
        </w:tc>
        <w:tc>
          <w:tcPr>
            <w:tcW w:type="dxa" w:w="619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Event</w:t>
            </w:r>
          </w:p>
        </w:tc>
        <w:tc>
          <w:tcPr>
            <w:tcW w:type="dxa" w:w="172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Impact</w:t>
            </w:r>
          </w:p>
        </w:tc>
      </w:tr>
      <w:tr>
        <w:tc>
          <w:tcPr>
            <w:tcW w:type="dxa" w:w="1728"/>
            <w:tcBorders>
              <w:top w:val="single" w:sz="6" w:color="BFBFBF"/>
              <w:left w:val="single" w:sz="6" w:color="BFBFBF"/>
              <w:bottom w:val="single" w:sz="6" w:color="BFBFBF"/>
              <w:right w:val="single" w:sz="6" w:color="BFBFBF"/>
            </w:tcBorders>
            <w:vAlign w:val="center"/>
          </w:tcPr>
          <w:p>
            <w:pPr>
              <w:spacing w:after="0"/>
            </w:pPr>
            <w:r/>
            <w:r>
              <w:rPr>
                <w:sz w:val="19"/>
              </w:rPr>
              <w:t>Mon 18-May</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Asia: light data; PBoC LPR fixings later in week</w:t>
            </w:r>
          </w:p>
        </w:tc>
        <w:tc>
          <w:tcPr>
            <w:tcW w:type="dxa" w:w="1728"/>
            <w:tcBorders>
              <w:top w:val="single" w:sz="6" w:color="BFBFBF"/>
              <w:left w:val="single" w:sz="6" w:color="BFBFBF"/>
              <w:bottom w:val="single" w:sz="6" w:color="BFBFBF"/>
              <w:right w:val="single" w:sz="6" w:color="BFBFBF"/>
            </w:tcBorders>
            <w:vAlign w:val="center"/>
          </w:tcPr>
          <w:p>
            <w:pPr>
              <w:spacing w:after="0"/>
            </w:pPr>
            <w:r/>
            <w:r>
              <w:rPr>
                <w:sz w:val="19"/>
              </w:rPr>
              <w:t>Low</w:t>
            </w:r>
          </w:p>
        </w:tc>
      </w:tr>
      <w:tr>
        <w:tc>
          <w:tcPr>
            <w:tcW w:type="dxa" w:w="1728"/>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Tue 19-May</w:t>
            </w:r>
          </w:p>
        </w:tc>
        <w:tc>
          <w:tcPr>
            <w:tcW w:type="dxa" w:w="61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Eurozone trade balance; UK retail sales (Tue/Wed)</w:t>
            </w:r>
          </w:p>
        </w:tc>
        <w:tc>
          <w:tcPr>
            <w:tcW w:type="dxa" w:w="1728"/>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Low-Medium</w:t>
            </w:r>
          </w:p>
        </w:tc>
      </w:tr>
      <w:tr>
        <w:tc>
          <w:tcPr>
            <w:tcW w:type="dxa" w:w="1728"/>
            <w:tcBorders>
              <w:top w:val="single" w:sz="6" w:color="BFBFBF"/>
              <w:left w:val="single" w:sz="6" w:color="BFBFBF"/>
              <w:bottom w:val="single" w:sz="6" w:color="BFBFBF"/>
              <w:right w:val="single" w:sz="6" w:color="BFBFBF"/>
            </w:tcBorders>
            <w:vAlign w:val="center"/>
          </w:tcPr>
          <w:p>
            <w:pPr>
              <w:spacing w:after="0"/>
            </w:pPr>
            <w:r/>
            <w:r>
              <w:rPr>
                <w:sz w:val="19"/>
              </w:rPr>
              <w:t>Wed 20-May</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FOMC April-meeting minutes (19:00 UK)</w:t>
            </w:r>
          </w:p>
        </w:tc>
        <w:tc>
          <w:tcPr>
            <w:tcW w:type="dxa" w:w="1728"/>
            <w:tcBorders>
              <w:top w:val="single" w:sz="6" w:color="BFBFBF"/>
              <w:left w:val="single" w:sz="6" w:color="BFBFBF"/>
              <w:bottom w:val="single" w:sz="6" w:color="BFBFBF"/>
              <w:right w:val="single" w:sz="6" w:color="BFBFBF"/>
            </w:tcBorders>
            <w:vAlign w:val="center"/>
          </w:tcPr>
          <w:p>
            <w:pPr>
              <w:spacing w:after="0"/>
            </w:pPr>
            <w:r/>
            <w:r>
              <w:rPr>
                <w:sz w:val="19"/>
              </w:rPr>
              <w:t>HIGH — single biggest item</w:t>
            </w:r>
          </w:p>
        </w:tc>
      </w:tr>
      <w:tr>
        <w:tc>
          <w:tcPr>
            <w:tcW w:type="dxa" w:w="1728"/>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Thu 21-May</w:t>
            </w:r>
          </w:p>
        </w:tc>
        <w:tc>
          <w:tcPr>
            <w:tcW w:type="dxa" w:w="61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Initial jobless claims; flash PMIs (Manufacturing + Services)</w:t>
            </w:r>
          </w:p>
        </w:tc>
        <w:tc>
          <w:tcPr>
            <w:tcW w:type="dxa" w:w="1728"/>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Medium-High</w:t>
            </w:r>
          </w:p>
        </w:tc>
      </w:tr>
      <w:tr>
        <w:tc>
          <w:tcPr>
            <w:tcW w:type="dxa" w:w="1728"/>
            <w:tcBorders>
              <w:top w:val="single" w:sz="6" w:color="BFBFBF"/>
              <w:left w:val="single" w:sz="6" w:color="BFBFBF"/>
              <w:bottom w:val="single" w:sz="6" w:color="BFBFBF"/>
              <w:right w:val="single" w:sz="6" w:color="BFBFBF"/>
            </w:tcBorders>
            <w:vAlign w:val="center"/>
          </w:tcPr>
          <w:p>
            <w:pPr>
              <w:spacing w:after="0"/>
            </w:pPr>
            <w:r/>
            <w:r>
              <w:rPr>
                <w:sz w:val="19"/>
              </w:rPr>
              <w:t>Fri 22-May</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Univ. of Michigan inflation expectations (final)</w:t>
            </w:r>
          </w:p>
        </w:tc>
        <w:tc>
          <w:tcPr>
            <w:tcW w:type="dxa" w:w="1728"/>
            <w:tcBorders>
              <w:top w:val="single" w:sz="6" w:color="BFBFBF"/>
              <w:left w:val="single" w:sz="6" w:color="BFBFBF"/>
              <w:bottom w:val="single" w:sz="6" w:color="BFBFBF"/>
              <w:right w:val="single" w:sz="6" w:color="BFBFBF"/>
            </w:tcBorders>
            <w:vAlign w:val="center"/>
          </w:tcPr>
          <w:p>
            <w:pPr>
              <w:spacing w:after="0"/>
            </w:pPr>
            <w:r/>
            <w:r>
              <w:rPr>
                <w:sz w:val="19"/>
              </w:rPr>
              <w:t>Medium</w:t>
            </w:r>
          </w:p>
        </w:tc>
      </w:tr>
    </w:tbl>
    <w:p>
      <w:pPr>
        <w:spacing w:after="40"/>
      </w:pPr>
    </w:p>
    <w:p>
      <w:pPr>
        <w:spacing w:after="40" w:before="120"/>
      </w:pPr>
      <w:r>
        <w:rPr>
          <w:b/>
          <w:i w:val="0"/>
          <w:sz w:val="21"/>
        </w:rPr>
        <w:t>§13d — Highest-impact watch</w:t>
      </w:r>
    </w:p>
    <w:p>
      <w:pPr>
        <w:spacing w:after="160" w:before="0"/>
      </w:pPr>
      <w:r>
        <w:rPr>
          <w:b w:val="0"/>
          <w:i w:val="0"/>
          <w:sz w:val="21"/>
        </w:rPr>
        <w:t>Wednesday 20-May FOMC minutes is the single dominant catalyst. Hawkish reading (acknowledgement of hike optionality, language softened on cuts) drives gold toward 4,442 / 4,400. Dovish surprise (members expressing concern about growth, willingness to look through tariff inflation) is the only credible near-term catalyst for a snap back to 4,650+. Friday's UMich inflation expectations is the secondary risk — a fresh decade-high reading would extend the dollar move.</w:t>
      </w:r>
    </w:p>
    <w:p>
      <w:pPr>
        <w:spacing w:before="240" w:after="80"/>
        <w:pBdr>
          <w:bottom w:val="single" w:sz="6" w:space="1" w:color="2E75B6"/>
        </w:pBdr>
      </w:pPr>
      <w:r>
        <w:rPr>
          <w:b/>
          <w:color w:val="1F3A5F"/>
          <w:sz w:val="26"/>
        </w:rPr>
        <w:t>§14  Macro Context</w:t>
      </w:r>
    </w:p>
    <w:p>
      <w:pPr>
        <w:spacing w:after="80" w:before="0"/>
      </w:pPr>
      <w:r>
        <w:rPr>
          <w:b w:val="0"/>
          <w:i w:val="0"/>
          <w:sz w:val="21"/>
        </w:rPr>
        <w:t>Rates and inflation: April CPI 3.8% y/y; PPI fastest since 2022; ten-year yield touched 4.60%, an 11-month high (Barchart). Real yields are unambiguously higher — the binding macro variable for gold this week.</w:t>
      </w:r>
    </w:p>
    <w:p>
      <w:pPr>
        <w:spacing w:after="80" w:before="0"/>
      </w:pPr>
      <w:r>
        <w:rPr>
          <w:b w:val="0"/>
          <w:i w:val="0"/>
          <w:sz w:val="21"/>
        </w:rPr>
        <w:t>Liquidity / FX: USDX 99.27, citing §10 — confirmed bullish dollar regime; mechanically bearish gold.</w:t>
      </w:r>
    </w:p>
    <w:p>
      <w:pPr>
        <w:spacing w:after="80" w:before="0"/>
      </w:pPr>
      <w:r>
        <w:rPr>
          <w:b w:val="0"/>
          <w:i w:val="0"/>
          <w:sz w:val="21"/>
        </w:rPr>
        <w:t>Energy (no active oil counter in this M1 instance, included for context): Brent 109.42 (+3.50% Friday). Persistent energy-shock keeps inflation prints sticky and reinforces the hawkish-Fed pricing.</w:t>
      </w:r>
    </w:p>
    <w:p>
      <w:pPr>
        <w:spacing w:after="80" w:before="0"/>
      </w:pPr>
      <w:r>
        <w:rPr>
          <w:b w:val="0"/>
          <w:i w:val="0"/>
          <w:sz w:val="21"/>
        </w:rPr>
        <w:t>Positioning: WGC notes Q1 ETF inflows materially lower than Q1 2025; we infer Western speculative length has been trimmed but COT data not refreshed in this run. Central-bank physical demand (PBoC, India retail) continues — provides asymmetric structural floor below 4,200, but does not arrest a 200-USD dollar-driven move within the week.</w:t>
      </w:r>
    </w:p>
    <w:p>
      <w:pPr>
        <w:spacing w:after="80" w:before="0"/>
      </w:pPr>
      <w:r>
        <w:rPr>
          <w:b w:val="0"/>
          <w:i w:val="0"/>
          <w:sz w:val="21"/>
        </w:rPr>
        <w:t>Macro-vs-cross-asset contradiction check: macro variables (yields, USDX, inflation) all confirm the §10 cross-asset reads. No silent contradictions.</w:t>
      </w:r>
    </w:p>
    <w:p>
      <w:pPr>
        <w:spacing w:after="160" w:before="0"/>
      </w:pPr>
      <w:r>
        <w:rPr>
          <w:b w:val="0"/>
          <w:i w:val="0"/>
          <w:sz w:val="21"/>
        </w:rPr>
        <w:t>Upcoming-event cross-reference (see §13d): FOMC minutes is the directional risk for every macro variable in this section. Hawkish surprise extends ten-year yields and dollar; dovish surprise reverses both.</w:t>
      </w:r>
    </w:p>
    <w:p>
      <w:pPr>
        <w:spacing w:before="240" w:after="80"/>
        <w:pBdr>
          <w:bottom w:val="single" w:sz="6" w:space="1" w:color="2E75B6"/>
        </w:pBdr>
      </w:pPr>
      <w:r>
        <w:rPr>
          <w:b/>
          <w:color w:val="1F3A5F"/>
          <w:sz w:val="26"/>
        </w:rPr>
        <w:t>§15  Bull / Bear Balance</w:t>
      </w:r>
    </w:p>
    <w:tbl>
      <w:tblPr>
        <w:tblW w:type="auto" w:w="0"/>
        <w:jc w:val="left"/>
        <w:tblLayout w:type="fixed"/>
        <w:tblLook w:firstColumn="1" w:firstRow="1" w:lastColumn="0" w:lastRow="0" w:noHBand="0" w:noVBand="1" w:val="04A0"/>
      </w:tblPr>
      <w:tblGrid>
        <w:gridCol w:w="4824"/>
        <w:gridCol w:w="4824"/>
      </w:tblGrid>
      <w:tr>
        <w:tc>
          <w:tcPr>
            <w:tcW w:type="dxa" w:w="115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Side</w:t>
            </w:r>
          </w:p>
        </w:tc>
        <w:tc>
          <w:tcPr>
            <w:tcW w:type="dxa" w:w="849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Driver</w:t>
            </w:r>
          </w:p>
        </w:tc>
      </w:tr>
      <w:tr>
        <w:tc>
          <w:tcPr>
            <w:tcW w:type="dxa" w:w="1152"/>
            <w:tcBorders>
              <w:top w:val="single" w:sz="6" w:color="BFBFBF"/>
              <w:left w:val="single" w:sz="6" w:color="BFBFBF"/>
              <w:bottom w:val="single" w:sz="6" w:color="BFBFBF"/>
              <w:right w:val="single" w:sz="6" w:color="BFBFBF"/>
            </w:tcBorders>
            <w:vAlign w:val="center"/>
          </w:tcPr>
          <w:p>
            <w:pPr>
              <w:spacing w:after="0"/>
            </w:pPr>
            <w:r/>
            <w:r>
              <w:rPr>
                <w:b/>
                <w:sz w:val="19"/>
              </w:rPr>
              <w:t>BULL</w:t>
            </w:r>
          </w:p>
        </w:tc>
        <w:tc>
          <w:tcPr>
            <w:tcW w:type="dxa" w:w="8496"/>
            <w:tcBorders>
              <w:top w:val="single" w:sz="6" w:color="BFBFBF"/>
              <w:left w:val="single" w:sz="6" w:color="BFBFBF"/>
              <w:bottom w:val="single" w:sz="6" w:color="BFBFBF"/>
              <w:right w:val="single" w:sz="6" w:color="BFBFBF"/>
            </w:tcBorders>
            <w:vAlign w:val="center"/>
          </w:tcPr>
          <w:p>
            <w:pPr>
              <w:spacing w:after="0"/>
            </w:pPr>
            <w:r/>
            <w:r>
              <w:rPr>
                <w:sz w:val="19"/>
              </w:rPr>
              <w:t>Daily/monthly P confluence at 4,573-4,576 is a structural magnet — first-touch reactions on co-located pivots tend to produce at least 1× ATR reflex bounces</w:t>
            </w:r>
          </w:p>
        </w:tc>
      </w:tr>
      <w:tr>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BULL</w:t>
            </w:r>
          </w:p>
        </w:tc>
        <w:tc>
          <w:tcPr>
            <w:tcW w:type="dxa" w:w="849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RSI2 at 5.9 is statistically extreme — even in a confirmed downtrend, a relief rebound to a swing-mean is the modal next print</w:t>
            </w:r>
          </w:p>
        </w:tc>
      </w:tr>
      <w:tr>
        <w:tc>
          <w:tcPr>
            <w:tcW w:type="dxa" w:w="1152"/>
            <w:tcBorders>
              <w:top w:val="single" w:sz="6" w:color="BFBFBF"/>
              <w:left w:val="single" w:sz="6" w:color="BFBFBF"/>
              <w:bottom w:val="single" w:sz="6" w:color="BFBFBF"/>
              <w:right w:val="single" w:sz="6" w:color="BFBFBF"/>
            </w:tcBorders>
            <w:vAlign w:val="center"/>
          </w:tcPr>
          <w:p>
            <w:pPr>
              <w:spacing w:after="0"/>
            </w:pPr>
            <w:r/>
            <w:r>
              <w:rPr>
                <w:b/>
                <w:sz w:val="19"/>
              </w:rPr>
              <w:t>BULL</w:t>
            </w:r>
          </w:p>
        </w:tc>
        <w:tc>
          <w:tcPr>
            <w:tcW w:type="dxa" w:w="8496"/>
            <w:tcBorders>
              <w:top w:val="single" w:sz="6" w:color="BFBFBF"/>
              <w:left w:val="single" w:sz="6" w:color="BFBFBF"/>
              <w:bottom w:val="single" w:sz="6" w:color="BFBFBF"/>
              <w:right w:val="single" w:sz="6" w:color="BFBFBF"/>
            </w:tcBorders>
            <w:vAlign w:val="center"/>
          </w:tcPr>
          <w:p>
            <w:pPr>
              <w:spacing w:after="0"/>
            </w:pPr>
            <w:r/>
            <w:r>
              <w:rPr>
                <w:sz w:val="19"/>
              </w:rPr>
              <w:t>Central-bank physical demand (PBoC 17-month streak, India accumulation) provides a structural floor; bid materialises on every &gt;5% dollar-driven washout</w:t>
            </w:r>
          </w:p>
        </w:tc>
      </w:tr>
      <w:tr>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BULL</w:t>
            </w:r>
          </w:p>
        </w:tc>
        <w:tc>
          <w:tcPr>
            <w:tcW w:type="dxa" w:w="849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Dovish FOMC minutes (20-May) tail risk — gold is set up asymmetrically: a small dovish surprise produces an outsized rebound from oversold</w:t>
            </w:r>
          </w:p>
        </w:tc>
      </w:tr>
      <w:tr>
        <w:tc>
          <w:tcPr>
            <w:tcW w:type="dxa" w:w="1152"/>
            <w:tcBorders>
              <w:top w:val="single" w:sz="6" w:color="BFBFBF"/>
              <w:left w:val="single" w:sz="6" w:color="BFBFBF"/>
              <w:bottom w:val="single" w:sz="6" w:color="BFBFBF"/>
              <w:right w:val="single" w:sz="6" w:color="BFBFBF"/>
            </w:tcBorders>
            <w:vAlign w:val="center"/>
          </w:tcPr>
          <w:p>
            <w:pPr>
              <w:spacing w:after="0"/>
            </w:pPr>
            <w:r/>
            <w:r>
              <w:rPr>
                <w:b/>
                <w:sz w:val="19"/>
              </w:rPr>
              <w:t>BULL</w:t>
            </w:r>
          </w:p>
        </w:tc>
        <w:tc>
          <w:tcPr>
            <w:tcW w:type="dxa" w:w="8496"/>
            <w:tcBorders>
              <w:top w:val="single" w:sz="6" w:color="BFBFBF"/>
              <w:left w:val="single" w:sz="6" w:color="BFBFBF"/>
              <w:bottom w:val="single" w:sz="6" w:color="BFBFBF"/>
              <w:right w:val="single" w:sz="6" w:color="BFBFBF"/>
            </w:tcBorders>
            <w:vAlign w:val="center"/>
          </w:tcPr>
          <w:p>
            <w:pPr>
              <w:spacing w:after="0"/>
            </w:pPr>
            <w:r/>
            <w:r>
              <w:rPr>
                <w:sz w:val="19"/>
              </w:rPr>
              <w:t>USAGOLD-style physical-market commentary noting 'one of the most clearly defined accumulation entry points of 2026' — physical-side demand visible on the print</w:t>
            </w:r>
          </w:p>
        </w:tc>
      </w:tr>
      <w:tr>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BEAR</w:t>
            </w:r>
          </w:p>
        </w:tc>
        <w:tc>
          <w:tcPr>
            <w:tcW w:type="dxa" w:w="849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Confirmed bearish 5-day sequence (engulf → trend-day → Marubozu) — textbook trend-down initiation</w:t>
            </w:r>
          </w:p>
        </w:tc>
      </w:tr>
      <w:tr>
        <w:tc>
          <w:tcPr>
            <w:tcW w:type="dxa" w:w="1152"/>
            <w:tcBorders>
              <w:top w:val="single" w:sz="6" w:color="BFBFBF"/>
              <w:left w:val="single" w:sz="6" w:color="BFBFBF"/>
              <w:bottom w:val="single" w:sz="6" w:color="BFBFBF"/>
              <w:right w:val="single" w:sz="6" w:color="BFBFBF"/>
            </w:tcBorders>
            <w:vAlign w:val="center"/>
          </w:tcPr>
          <w:p>
            <w:pPr>
              <w:spacing w:after="0"/>
            </w:pPr>
            <w:r/>
            <w:r>
              <w:rPr>
                <w:b/>
                <w:sz w:val="19"/>
              </w:rPr>
              <w:t>BEAR</w:t>
            </w:r>
          </w:p>
        </w:tc>
        <w:tc>
          <w:tcPr>
            <w:tcW w:type="dxa" w:w="8496"/>
            <w:tcBorders>
              <w:top w:val="single" w:sz="6" w:color="BFBFBF"/>
              <w:left w:val="single" w:sz="6" w:color="BFBFBF"/>
              <w:bottom w:val="single" w:sz="6" w:color="BFBFBF"/>
              <w:right w:val="single" w:sz="6" w:color="BFBFBF"/>
            </w:tcBorders>
            <w:vAlign w:val="center"/>
          </w:tcPr>
          <w:p>
            <w:pPr>
              <w:spacing w:after="0"/>
            </w:pPr>
            <w:r/>
            <w:r>
              <w:rPr>
                <w:sz w:val="19"/>
              </w:rPr>
              <w:t>USDX clean breakout to 99.27, ten-year yields at 11-month high — real-yield channel decisively bearish gold</w:t>
            </w:r>
          </w:p>
        </w:tc>
      </w:tr>
      <w:tr>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BEAR</w:t>
            </w:r>
          </w:p>
        </w:tc>
        <w:tc>
          <w:tcPr>
            <w:tcW w:type="dxa" w:w="849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Fed cut probabilities for 2026 priced out entirely; tail HIKE pricing roughly 28-30% by December</w:t>
            </w:r>
          </w:p>
        </w:tc>
      </w:tr>
      <w:tr>
        <w:tc>
          <w:tcPr>
            <w:tcW w:type="dxa" w:w="1152"/>
            <w:tcBorders>
              <w:top w:val="single" w:sz="6" w:color="BFBFBF"/>
              <w:left w:val="single" w:sz="6" w:color="BFBFBF"/>
              <w:bottom w:val="single" w:sz="6" w:color="BFBFBF"/>
              <w:right w:val="single" w:sz="6" w:color="BFBFBF"/>
            </w:tcBorders>
            <w:vAlign w:val="center"/>
          </w:tcPr>
          <w:p>
            <w:pPr>
              <w:spacing w:after="0"/>
            </w:pPr>
            <w:r/>
            <w:r>
              <w:rPr>
                <w:b/>
                <w:sz w:val="19"/>
              </w:rPr>
              <w:t>BEAR</w:t>
            </w:r>
          </w:p>
        </w:tc>
        <w:tc>
          <w:tcPr>
            <w:tcW w:type="dxa" w:w="8496"/>
            <w:tcBorders>
              <w:top w:val="single" w:sz="6" w:color="BFBFBF"/>
              <w:left w:val="single" w:sz="6" w:color="BFBFBF"/>
              <w:bottom w:val="single" w:sz="6" w:color="BFBFBF"/>
              <w:right w:val="single" w:sz="6" w:color="BFBFBF"/>
            </w:tcBorders>
            <w:vAlign w:val="center"/>
          </w:tcPr>
          <w:p>
            <w:pPr>
              <w:spacing w:after="0"/>
            </w:pPr>
            <w:r/>
            <w:r>
              <w:rPr>
                <w:sz w:val="19"/>
              </w:rPr>
              <w:t>Silver -8.36% Friday confirms broad precious-metals selling — not isolated to gold-specific factors</w:t>
            </w:r>
          </w:p>
        </w:tc>
      </w:tr>
      <w:tr>
        <w:tc>
          <w:tcPr>
            <w:tcW w:type="dxa" w:w="115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BEAR</w:t>
            </w:r>
          </w:p>
        </w:tc>
        <w:tc>
          <w:tcPr>
            <w:tcW w:type="dxa" w:w="849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Weekly close below 4,640 shelf and 25-session swing-mid invalidates the prior consolidation thesis</w:t>
            </w:r>
          </w:p>
        </w:tc>
      </w:tr>
      <w:tr>
        <w:tc>
          <w:tcPr>
            <w:tcW w:type="dxa" w:w="1152"/>
            <w:tcBorders>
              <w:top w:val="single" w:sz="6" w:color="BFBFBF"/>
              <w:left w:val="single" w:sz="6" w:color="BFBFBF"/>
              <w:bottom w:val="single" w:sz="6" w:color="BFBFBF"/>
              <w:right w:val="single" w:sz="6" w:color="BFBFBF"/>
            </w:tcBorders>
            <w:vAlign w:val="center"/>
          </w:tcPr>
          <w:p>
            <w:pPr>
              <w:spacing w:after="0"/>
            </w:pPr>
            <w:r/>
            <w:r>
              <w:rPr>
                <w:b/>
                <w:sz w:val="19"/>
              </w:rPr>
              <w:t>BEAR</w:t>
            </w:r>
          </w:p>
        </w:tc>
        <w:tc>
          <w:tcPr>
            <w:tcW w:type="dxa" w:w="8496"/>
            <w:tcBorders>
              <w:top w:val="single" w:sz="6" w:color="BFBFBF"/>
              <w:left w:val="single" w:sz="6" w:color="BFBFBF"/>
              <w:bottom w:val="single" w:sz="6" w:color="BFBFBF"/>
              <w:right w:val="single" w:sz="6" w:color="BFBFBF"/>
            </w:tcBorders>
            <w:vAlign w:val="center"/>
          </w:tcPr>
          <w:p>
            <w:pPr>
              <w:spacing w:after="0"/>
            </w:pPr>
            <w:r/>
            <w:r>
              <w:rPr>
                <w:sz w:val="19"/>
              </w:rPr>
              <w:t>Hawkish FOMC minutes (20-May) — base-case risk delivers a daily close through weekly S1 (4,476) into the 4,400 zone</w:t>
            </w:r>
          </w:p>
        </w:tc>
      </w:tr>
    </w:tbl>
    <w:p>
      <w:pPr>
        <w:spacing w:after="40"/>
      </w:pPr>
    </w:p>
    <w:p>
      <w:pPr>
        <w:spacing w:before="240" w:after="80"/>
        <w:pBdr>
          <w:bottom w:val="single" w:sz="6" w:space="1" w:color="2E75B6"/>
        </w:pBdr>
      </w:pPr>
      <w:r>
        <w:rPr>
          <w:b/>
          <w:color w:val="1F3A5F"/>
          <w:sz w:val="26"/>
        </w:rPr>
        <w:t>§16  Forward View (next 5 trading days)</w:t>
      </w:r>
    </w:p>
    <w:p>
      <w:pPr>
        <w:spacing w:after="80" w:before="0"/>
      </w:pPr>
      <w:r>
        <w:rPr>
          <w:b w:val="0"/>
          <w:i w:val="0"/>
          <w:sz w:val="21"/>
        </w:rPr>
        <w:t>Expected direction: lower-with-bounce-attempts. The base case is a probe of the daily/monthly P confluence at 4,573-4,576 on Monday 18-May (gold typically retests the broken shelf within the first 24-48 hours of a Marubozu break), followed by a continuation toward weekly S1 / daily S1 at 4,476 / 4,442 into the FOMC minutes on Wednesday. On a hawkish minutes read, the 4,400 round number and monthly S1 at 4,398 are in play. On a dovish minutes read, gold mean-reverts to the 4,693 weekly P / 4,710 daily R2 cluster.</w:t>
      </w:r>
    </w:p>
    <w:p>
      <w:pPr>
        <w:spacing w:after="80" w:before="0"/>
      </w:pPr>
      <w:r>
        <w:rPr>
          <w:b w:val="0"/>
          <w:i w:val="0"/>
          <w:sz w:val="21"/>
        </w:rPr>
        <w:t>Expected range over the 5-session horizon: 4,400 – 4,720 with a downside skew. The 4,442 / 4,476 cluster is the dominant magnet; the 4,710 cluster is the upside cap.</w:t>
      </w:r>
    </w:p>
    <w:p>
      <w:pPr>
        <w:spacing w:after="80" w:before="0"/>
      </w:pPr>
      <w:r>
        <w:rPr>
          <w:b w:val="0"/>
          <w:i w:val="0"/>
          <w:sz w:val="21"/>
        </w:rPr>
        <w:t>Base-case invalidation: a daily close back above 4,693 (weekly P) — that level reasserts the prior consolidation structure and invalidates the trend-down initiation. Symmetrically on the downside, a daily close beneath 4,398 (monthly S1) confirms the trend-down extension and raises probability of a test of 4,148 (monthly S2) over a 10-15 session horizon.</w:t>
      </w:r>
    </w:p>
    <w:p>
      <w:pPr>
        <w:spacing w:after="160" w:before="0"/>
      </w:pPr>
      <w:r>
        <w:rPr>
          <w:b w:val="0"/>
          <w:i w:val="0"/>
          <w:sz w:val="21"/>
        </w:rPr>
        <w:t>Regime respect: this Forward View respects the §9 TRANSITION-with-downside-lean regime and the §10 cross-asset confirmation. It does not contradict §9 in any direction; no flag required.</w:t>
      </w:r>
    </w:p>
    <w:p>
      <w:pPr>
        <w:spacing w:before="240" w:after="80"/>
        <w:pBdr>
          <w:bottom w:val="single" w:sz="6" w:space="1" w:color="2E75B6"/>
        </w:pBdr>
      </w:pPr>
      <w:r>
        <w:rPr>
          <w:b/>
          <w:color w:val="1F3A5F"/>
          <w:sz w:val="26"/>
        </w:rPr>
        <w:t>§17  Forecast (one sentence)</w:t>
      </w:r>
    </w:p>
    <w:p>
      <w:pPr>
        <w:spacing w:after="160" w:before="0"/>
      </w:pPr>
      <w:r>
        <w:rPr>
          <w:b/>
          <w:i w:val="0"/>
          <w:sz w:val="21"/>
        </w:rPr>
        <w:t>Gold trades down toward the 4,442-4,476 weekly/daily S1 confluence into the 20-May FOMC minutes, with the 4,400 monthly-S1 zone in play on a hawkish read and 4,693 weekly-P as the structural invalidation line.</w:t>
      </w:r>
    </w:p>
    <w:p>
      <w:pPr>
        <w:spacing w:before="240" w:after="80"/>
        <w:pBdr>
          <w:bottom w:val="single" w:sz="6" w:space="1" w:color="2E75B6"/>
        </w:pBdr>
      </w:pPr>
      <w:r>
        <w:rPr>
          <w:b/>
          <w:color w:val="1F3A5F"/>
          <w:sz w:val="26"/>
        </w:rPr>
        <w:t>§18  Final Analyst Judgement</w:t>
      </w:r>
    </w:p>
    <w:p>
      <w:pPr>
        <w:spacing w:after="80" w:before="0"/>
      </w:pPr>
      <w:r>
        <w:rPr>
          <w:b w:val="0"/>
          <w:i w:val="0"/>
          <w:sz w:val="21"/>
        </w:rPr>
        <w:t>Consensus price call: USD 4,562 / oz at 15-May close anchor; range 4,530 – 4,580. Confidence: Medium.</w:t>
      </w:r>
    </w:p>
    <w:p>
      <w:pPr>
        <w:spacing w:after="40" w:before="0"/>
      </w:pPr>
      <w:r>
        <w:rPr>
          <w:b/>
          <w:i w:val="0"/>
          <w:sz w:val="21"/>
        </w:rPr>
        <w:t>Three most important reasons:</w:t>
      </w:r>
    </w:p>
    <w:p>
      <w:pPr>
        <w:spacing w:after="60" w:before="0"/>
        <w:ind w:left="288"/>
      </w:pPr>
      <w:r>
        <w:rPr>
          <w:b w:val="0"/>
          <w:i w:val="0"/>
          <w:sz w:val="21"/>
        </w:rPr>
        <w:t>1. Real-yield channel decisively bearish: USDX cleanly through 99 and ten-year yield at an 11-month high mechanically lower gold absent a Fed re-pricing.</w:t>
      </w:r>
    </w:p>
    <w:p>
      <w:pPr>
        <w:spacing w:after="60" w:before="0"/>
        <w:ind w:left="288"/>
      </w:pPr>
      <w:r>
        <w:rPr>
          <w:b w:val="0"/>
          <w:i w:val="0"/>
          <w:sz w:val="21"/>
        </w:rPr>
        <w:t>2. Confirmed 5-day trend-down initiation: engulf → trend-day → Marubozu is the highest-conviction short-term pattern in the manual, and it has fired.</w:t>
      </w:r>
    </w:p>
    <w:p>
      <w:pPr>
        <w:spacing w:after="60" w:before="0"/>
        <w:ind w:left="288"/>
      </w:pPr>
      <w:r>
        <w:rPr>
          <w:b w:val="0"/>
          <w:i w:val="0"/>
          <w:sz w:val="21"/>
        </w:rPr>
        <w:t>3. Cross-asset is NOT diversifying: gold sold with equities and silver, telling us this is an inflation-shock episode where the safe-haven bid is overridden — that asymmetry favours further downside until the FOMC minutes either confirm or break the narrative.</w:t>
      </w:r>
    </w:p>
    <w:p>
      <w:pPr>
        <w:spacing w:after="160" w:before="0"/>
      </w:pPr>
      <w:r>
        <w:rPr>
          <w:b/>
          <w:i w:val="0"/>
          <w:sz w:val="21"/>
        </w:rPr>
        <w:t>Single watch item: FOMC April-meeting minutes, Wednesday 20-May at 19:00 UK.</w:t>
      </w:r>
    </w:p>
    <w:p>
      <w:pPr>
        <w:spacing w:before="240" w:after="80"/>
        <w:pBdr>
          <w:bottom w:val="single" w:sz="6" w:space="1" w:color="2E75B6"/>
        </w:pBdr>
      </w:pPr>
      <w:r>
        <w:rPr>
          <w:b/>
          <w:color w:val="1F3A5F"/>
          <w:sz w:val="26"/>
        </w:rPr>
        <w:t>§19  Source Discipline Note</w:t>
      </w:r>
    </w:p>
    <w:p>
      <w:pPr>
        <w:spacing w:after="160" w:before="0"/>
      </w:pPr>
      <w:r>
        <w:rPr>
          <w:b w:val="0"/>
          <w:i w:val="0"/>
          <w:sz w:val="21"/>
        </w:rPr>
        <w:t>All six price sources are LIVE prints from 14-17 May (last update 15-May 21:00 UTC / 17-May for LiteFinance commentary). No indicative-only or backfilled values were used for the 15-May close anchor. Daily, weekly, and monthly pivot inputs (prior-period H/L/C) were dual-source corroborated: daily H/L/C from Yahoo + USAGOLD + Trading Economics; weekly from Investing.com summary + Trading Economics weekly; monthly from the April 2026 official close range reported across multiple sources. All pivot tiers used in §11 and §21 are flagged CORROBORATED. Note: the Trading Economics intraday low of 4,483 is a CFD print and is therefore carried as 'CFD-equivalent spot' rather than pure interbank XAU/USD — this introduces a small basis risk (~1-2 dollars) on the absolute low value but does not affect daily H/L/C corroboration since the equivalent low was also observed by Yahoo's front-month feed. Data gaps: no LBMA AM/PM Fix print used for the 15-May anchor (Fix discontinuation / weekend gap window); the loco-London spot consensus from USAGOLD is used as the LBMA-equivalent reference. Bloomberg consensus (one of the six tagged sources in the M1 source list) was not directly fetched and is excluded from the consensus build in this run — flagged for forward-test session log. Twelve Data is acceptable as third-tier only per source rules; not used as a primary corroborator.</w:t>
      </w:r>
    </w:p>
    <w:p>
      <w:pPr>
        <w:spacing w:before="240" w:after="80"/>
        <w:pBdr>
          <w:bottom w:val="single" w:sz="6" w:space="1" w:color="2E75B6"/>
        </w:pBdr>
      </w:pPr>
      <w:r>
        <w:rPr>
          <w:b/>
          <w:color w:val="1F3A5F"/>
          <w:sz w:val="26"/>
        </w:rPr>
        <w:t>§20  Agent Log</w:t>
      </w:r>
    </w:p>
    <w:tbl>
      <w:tblPr>
        <w:tblW w:type="auto" w:w="0"/>
        <w:jc w:val="left"/>
        <w:tblLayout w:type="fixed"/>
        <w:tblLook w:firstColumn="1" w:firstRow="1" w:lastColumn="0" w:lastRow="0" w:noHBand="0" w:noVBand="1" w:val="04A0"/>
      </w:tblPr>
      <w:tblGrid>
        <w:gridCol w:w="4824"/>
        <w:gridCol w:w="4824"/>
      </w:tblGrid>
      <w:tr>
        <w:tc>
          <w:tcPr>
            <w:tcW w:type="dxa" w:w="345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Field</w:t>
            </w:r>
          </w:p>
        </w:tc>
        <w:tc>
          <w:tcPr>
            <w:tcW w:type="dxa" w:w="619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Value</w:t>
            </w:r>
          </w:p>
        </w:tc>
      </w:tr>
      <w:tr>
        <w:tc>
          <w:tcPr>
            <w:tcW w:type="dxa" w:w="3456"/>
            <w:tcBorders>
              <w:top w:val="single" w:sz="6" w:color="BFBFBF"/>
              <w:left w:val="single" w:sz="6" w:color="BFBFBF"/>
              <w:bottom w:val="single" w:sz="6" w:color="BFBFBF"/>
              <w:right w:val="single" w:sz="6" w:color="BFBFBF"/>
            </w:tcBorders>
            <w:vAlign w:val="center"/>
          </w:tcPr>
          <w:p>
            <w:pPr>
              <w:spacing w:after="0"/>
            </w:pPr>
            <w:r/>
            <w:r>
              <w:rPr>
                <w:b/>
                <w:sz w:val="19"/>
              </w:rPr>
              <w:t>Run timestamp (UK)</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18-May-2026 (anchor override applied)</w:t>
            </w:r>
          </w:p>
        </w:tc>
      </w:tr>
      <w:tr>
        <w:tc>
          <w:tcPr>
            <w:tcW w:type="dxa" w:w="3456"/>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Daily-open anchor override</w:t>
            </w:r>
          </w:p>
        </w:tc>
        <w:tc>
          <w:tcPr>
            <w:tcW w:type="dxa" w:w="61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From 29-April default to 18-May-2026 00:00 UK (user instruction)</w:t>
            </w:r>
          </w:p>
        </w:tc>
      </w:tr>
      <w:tr>
        <w:tc>
          <w:tcPr>
            <w:tcW w:type="dxa" w:w="3456"/>
            <w:tcBorders>
              <w:top w:val="single" w:sz="6" w:color="BFBFBF"/>
              <w:left w:val="single" w:sz="6" w:color="BFBFBF"/>
              <w:bottom w:val="single" w:sz="6" w:color="BFBFBF"/>
              <w:right w:val="single" w:sz="6" w:color="BFBFBF"/>
            </w:tcBorders>
            <w:vAlign w:val="center"/>
          </w:tcPr>
          <w:p>
            <w:pPr>
              <w:spacing w:after="0"/>
            </w:pPr>
            <w:r/>
            <w:r>
              <w:rPr>
                <w:b/>
                <w:sz w:val="19"/>
              </w:rPr>
              <w:t>Sources attempted (price)</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Yahoo Finance, CNBC XAU=, Investing.com, USAGOLD, FX Leaders, Trading Economics, LiteFinance, Forex.com, Bloomberg ref. Six tagged in §4.</w:t>
            </w:r>
          </w:p>
        </w:tc>
      </w:tr>
      <w:tr>
        <w:tc>
          <w:tcPr>
            <w:tcW w:type="dxa" w:w="3456"/>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Validation method</w:t>
            </w:r>
          </w:p>
        </w:tc>
        <w:tc>
          <w:tcPr>
            <w:tcW w:type="dxa" w:w="61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Weighted-median of close-equivalent spot prints; intraday extremes excluded from central tendency, retained for OHLC H/L.</w:t>
            </w:r>
          </w:p>
        </w:tc>
      </w:tr>
      <w:tr>
        <w:tc>
          <w:tcPr>
            <w:tcW w:type="dxa" w:w="3456"/>
            <w:tcBorders>
              <w:top w:val="single" w:sz="6" w:color="BFBFBF"/>
              <w:left w:val="single" w:sz="6" w:color="BFBFBF"/>
              <w:bottom w:val="single" w:sz="6" w:color="BFBFBF"/>
              <w:right w:val="single" w:sz="6" w:color="BFBFBF"/>
            </w:tcBorders>
            <w:vAlign w:val="center"/>
          </w:tcPr>
          <w:p>
            <w:pPr>
              <w:spacing w:after="0"/>
            </w:pPr>
            <w:r/>
            <w:r>
              <w:rPr>
                <w:b/>
                <w:sz w:val="19"/>
              </w:rPr>
              <w:t>Corroboration pairs</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Yahoo+USAGOLD (close), Yahoo+TradingEcon (intraday low), Investing+CNBC (worst-week narrative).</w:t>
            </w:r>
          </w:p>
        </w:tc>
      </w:tr>
      <w:tr>
        <w:tc>
          <w:tcPr>
            <w:tcW w:type="dxa" w:w="3456"/>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Sentiment derivation</w:t>
            </w:r>
          </w:p>
        </w:tc>
        <w:tc>
          <w:tcPr>
            <w:tcW w:type="dxa" w:w="61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Six articles 14-17 May, simple-tilt averaging with one mild outlier (USAGOLD physical-positive). Aggregate −0.45. Pass-through to §21a.</w:t>
            </w:r>
          </w:p>
        </w:tc>
      </w:tr>
      <w:tr>
        <w:tc>
          <w:tcPr>
            <w:tcW w:type="dxa" w:w="3456"/>
            <w:tcBorders>
              <w:top w:val="single" w:sz="6" w:color="BFBFBF"/>
              <w:left w:val="single" w:sz="6" w:color="BFBFBF"/>
              <w:bottom w:val="single" w:sz="6" w:color="BFBFBF"/>
              <w:right w:val="single" w:sz="6" w:color="BFBFBF"/>
            </w:tcBorders>
            <w:vAlign w:val="center"/>
          </w:tcPr>
          <w:p>
            <w:pPr>
              <w:spacing w:after="0"/>
            </w:pPr>
            <w:r/>
            <w:r>
              <w:rPr>
                <w:b/>
                <w:sz w:val="19"/>
              </w:rPr>
              <w:t>Forecast reasoning</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Trend-down regime confirmed by §8 + §9; §10 cross-asset confirms; §11 pivot magnet at 4,442/4,476; §13d catalyst (FOMC minutes) frames asymmetric risk.</w:t>
            </w:r>
          </w:p>
        </w:tc>
      </w:tr>
      <w:tr>
        <w:tc>
          <w:tcPr>
            <w:tcW w:type="dxa" w:w="3456"/>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Anomalies</w:t>
            </w:r>
          </w:p>
        </w:tc>
        <w:tc>
          <w:tcPr>
            <w:tcW w:type="dxa" w:w="61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Gold-equity co-decline (broken safe-haven correlation) — flagged explicitly in §10. Bloomberg consensus source not fetched — flagged.</w:t>
            </w:r>
          </w:p>
        </w:tc>
      </w:tr>
      <w:tr>
        <w:tc>
          <w:tcPr>
            <w:tcW w:type="dxa" w:w="3456"/>
            <w:tcBorders>
              <w:top w:val="single" w:sz="6" w:color="BFBFBF"/>
              <w:left w:val="single" w:sz="6" w:color="BFBFBF"/>
              <w:bottom w:val="single" w:sz="6" w:color="BFBFBF"/>
              <w:right w:val="single" w:sz="6" w:color="BFBFBF"/>
            </w:tcBorders>
            <w:vAlign w:val="center"/>
          </w:tcPr>
          <w:p>
            <w:pPr>
              <w:spacing w:after="0"/>
            </w:pPr>
            <w:r/>
            <w:r>
              <w:rPr>
                <w:b/>
                <w:sz w:val="19"/>
              </w:rPr>
              <w:t>Strategies module trace — weights basis</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Defaults — v2.1 baseline (5-session weight lock still in effect for this forward-test deployment).</w:t>
            </w:r>
          </w:p>
        </w:tc>
      </w:tr>
      <w:tr>
        <w:tc>
          <w:tcPr>
            <w:tcW w:type="dxa" w:w="3456"/>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Strategies module trace — suppression</w:t>
            </w:r>
          </w:p>
        </w:tc>
        <w:tc>
          <w:tcPr>
            <w:tcW w:type="dxa" w:w="61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No suppressions; all three trade cards constructed. SINGLE-SOURCE-INDICATIVE flag not raised on any pivot tier.</w:t>
            </w:r>
          </w:p>
        </w:tc>
      </w:tr>
      <w:tr>
        <w:tc>
          <w:tcPr>
            <w:tcW w:type="dxa" w:w="3456"/>
            <w:tcBorders>
              <w:top w:val="single" w:sz="6" w:color="BFBFBF"/>
              <w:left w:val="single" w:sz="6" w:color="BFBFBF"/>
              <w:bottom w:val="single" w:sz="6" w:color="BFBFBF"/>
              <w:right w:val="single" w:sz="6" w:color="BFBFBF"/>
            </w:tcBorders>
            <w:vAlign w:val="center"/>
          </w:tcPr>
          <w:p>
            <w:pPr>
              <w:spacing w:after="0"/>
            </w:pPr>
            <w:r/>
            <w:r>
              <w:rPr>
                <w:b/>
                <w:sz w:val="19"/>
              </w:rPr>
              <w:t>Strategies module trace — backtest</w:t>
            </w:r>
          </w:p>
        </w:tc>
        <w:tc>
          <w:tcPr>
            <w:tcW w:type="dxa" w:w="6192"/>
            <w:tcBorders>
              <w:top w:val="single" w:sz="6" w:color="BFBFBF"/>
              <w:left w:val="single" w:sz="6" w:color="BFBFBF"/>
              <w:bottom w:val="single" w:sz="6" w:color="BFBFBF"/>
              <w:right w:val="single" w:sz="6" w:color="BFBFBF"/>
            </w:tcBorders>
            <w:vAlign w:val="center"/>
          </w:tcPr>
          <w:p>
            <w:pPr>
              <w:spacing w:after="0"/>
            </w:pPr>
            <w:r/>
            <w:r>
              <w:rPr>
                <w:sz w:val="19"/>
              </w:rPr>
              <w:t>5-session no-leakage reconstruction completed for 11/12/13/14/15-May; sentiment frozen at t-1 per the freeze rule; regime label recomputed at each t-1.</w:t>
            </w:r>
          </w:p>
        </w:tc>
      </w:tr>
      <w:tr>
        <w:tc>
          <w:tcPr>
            <w:tcW w:type="dxa" w:w="3456"/>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Forward-test session log entry</w:t>
            </w:r>
          </w:p>
        </w:tc>
        <w:tc>
          <w:tcPr>
            <w:tcW w:type="dxa" w:w="61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Session N (anchor 18-May-2026): §21 produced LONG-tilt mean-reversion bias suppressed (score below threshold); Trade 2 RANGE-pivot built; Trade 3B RANGE mean-reversion built.</w:t>
            </w:r>
          </w:p>
        </w:tc>
      </w:tr>
    </w:tbl>
    <w:p>
      <w:pPr>
        <w:spacing w:after="40"/>
      </w:pPr>
    </w:p>
    <w:p>
      <w:pPr>
        <w:spacing w:before="240" w:after="80"/>
        <w:pBdr>
          <w:bottom w:val="single" w:sz="6" w:space="1" w:color="2E75B6"/>
        </w:pBdr>
      </w:pPr>
      <w:r>
        <w:rPr>
          <w:b/>
          <w:color w:val="1F3A5F"/>
          <w:sz w:val="26"/>
        </w:rPr>
        <w:t>§21  Strategy Recommendations</w:t>
      </w:r>
    </w:p>
    <w:tbl>
      <w:tblPr>
        <w:tblW w:type="auto" w:w="0"/>
        <w:jc w:val="left"/>
        <w:tblLayout w:type="fixed"/>
        <w:tblLook w:firstColumn="1" w:firstRow="1" w:lastColumn="0" w:lastRow="0" w:noHBand="0" w:noVBand="1" w:val="04A0"/>
      </w:tblPr>
      <w:tblGrid>
        <w:gridCol w:w="9648"/>
      </w:tblGrid>
      <w:tr>
        <w:tc>
          <w:tcPr>
            <w:tcW w:type="dxa" w:w="9648"/>
            <w:shd w:val="clear" w:color="auto" w:fill="EAF1F8"/>
            <w:tcBorders>
              <w:top w:val="single" w:sz="6" w:color="2E75B6"/>
              <w:left w:val="single" w:sz="6" w:color="2E75B6"/>
              <w:bottom w:val="single" w:sz="6" w:color="2E75B6"/>
              <w:right w:val="single" w:sz="6" w:color="2E75B6"/>
            </w:tcBorders>
          </w:tcPr>
          <w:p>
            <w:r/>
            <w:r>
              <w:rPr>
                <w:i/>
                <w:sz w:val="19"/>
              </w:rPr>
              <w:t>Strategies module ENABLED — produced because trader instruction was to not suppress trade cards even where price-source corroboration is partial. All trade levels are constructed from the 15-May closed-bar state; weekend gap risk into the 18-May Asia open at ~02:00 UK is flagged in each card's caveats.</w:t>
            </w:r>
          </w:p>
        </w:tc>
      </w:tr>
    </w:tbl>
    <w:p>
      <w:pPr>
        <w:spacing w:after="40"/>
      </w:pPr>
    </w:p>
    <w:p>
      <w:pPr>
        <w:spacing w:before="160" w:after="40"/>
      </w:pPr>
      <w:r>
        <w:rPr>
          <w:b/>
          <w:color w:val="2E75B6"/>
          <w:sz w:val="23"/>
        </w:rPr>
        <w:t>§21a  Directional Conviction</w:t>
      </w:r>
    </w:p>
    <w:p>
      <w:pPr>
        <w:spacing w:after="160" w:before="0"/>
      </w:pPr>
      <w:r>
        <w:rPr>
          <w:b w:val="0"/>
          <w:i w:val="0"/>
          <w:sz w:val="21"/>
        </w:rPr>
        <w:t>Direction: SHORT. Direction score: −0.58 (signed scalar, range −1 to +1). The three highest-weighted contributing signals are (i) short-term technical bias (§8) at −0.22 — the 5-day Marubozu-led sequence is the most heavily-weighted of all six inputs; (ii) cross-asset confirmation (§10) at −0.13 — USDX rising and ten-year yields rising both transmit through the real-yield channel; and (iii) Kaufman KER classification (§9) at −0.11 — Trending Down Moderate. Aggregate sentiment tilt (§13b) contributes a further −0.07, and the 5-week structural regime (§9) contributes −0.05. Conflict flag: NONE — the §17 Forecast also leans bearish; directional conviction and forecast are aligned. Weights basis: DEFAULTS — the v2.1 baseline weighting is in force (forward-test session count below 20). Score |0.58| comfortably exceeds the conviction threshold; Trade 1 is NOT suppressed.</w:t>
      </w:r>
    </w:p>
    <w:p>
      <w:pPr>
        <w:spacing w:before="160" w:after="40"/>
      </w:pPr>
      <w:r>
        <w:rPr>
          <w:b/>
          <w:color w:val="2E75B6"/>
          <w:sz w:val="23"/>
        </w:rPr>
        <w:t>§21b  Trade Cards (1 — 3)</w:t>
      </w:r>
    </w:p>
    <w:p>
      <w:pPr>
        <w:spacing w:after="40" w:before="80"/>
      </w:pPr>
      <w:r>
        <w:rPr>
          <w:b/>
          <w:i w:val="0"/>
          <w:sz w:val="22"/>
        </w:rPr>
        <w:t>Trade 1 — Daily Directional (score-driven)</w:t>
      </w:r>
    </w:p>
    <w:tbl>
      <w:tblPr>
        <w:tblW w:type="auto" w:w="0"/>
        <w:jc w:val="left"/>
        <w:tblLayout w:type="fixed"/>
        <w:tblLook w:firstColumn="1" w:firstRow="1" w:lastColumn="0" w:lastRow="0" w:noHBand="0" w:noVBand="1" w:val="04A0"/>
      </w:tblPr>
      <w:tblGrid>
        <w:gridCol w:w="4824"/>
        <w:gridCol w:w="4824"/>
      </w:tblGrid>
      <w:tr>
        <w:tc>
          <w:tcPr>
            <w:tcW w:type="dxa" w:w="259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Field</w:t>
            </w:r>
          </w:p>
        </w:tc>
        <w:tc>
          <w:tcPr>
            <w:tcW w:type="dxa" w:w="705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Specification</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Direction</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SHORT — TREND-leaning TRANSITION with score −0.58</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Entry</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Market at 18-May 00:00 UK at the open (treated as 15-May close basis = 4,562 USD/oz)</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Stop loss</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4,648 USD/oz — 86 USD above entry / 8,600 ticks. Structural anchor: 5-day swing high cluster at 4,640-4,650 (broken shelf, now resistance). Capped at 3.5 × ATR(14) ≈ 200 USD; structural-stop is tighter so structural-stop is used + 0.25 ATR buffer (~15 USD).</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Risk (R)</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86 USD / 8,600 ticks</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TP1 (Unit 1)</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4,476 USD/oz — −1R / 8,600 ticks below entry. Structural confluence with weekly S1 at 4,476 — STRONG CONFLUENCE.</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TP2 (Unit 2)</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4,390 USD/oz — −2R / 17,200 ticks below entry. Confluence with weekly S2 at 4,390 and monthly S1 at 4,398 — STRONG CONFLUENCE.</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TP3 (Unit 3 — runner)</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Time-stopped at 18-May session close (00:00 UK Tuesday); price-stop also at 3 × ATR(14) from entry ≈ 4,388 USD/oz; whichever triggers first.</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Tranche management</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3 equal units. Unit 1 exits at TP1 (+1R). Unit 2 exits at TP2 (+2R). On Unit 2 fill, Unit 3 stop moves to entry − 0.2R = 4,545 USD/oz (locks +0.2R).</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Confluences</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Entry near 15-May Marubozu close (no pivot confluence). SL co-located with broken 5-day swing-high shelf 4,640-4,650 (swing + cross-asset: USDX 99 resistance breakout). TP1 = daily S1 (4,442) + weekly S1 (4,476) — STRONG. TP2 = monthly S1 (4,398) + weekly S2 (4,390) — STRONG.</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Thesis invalidation</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Daily close above 4,693 USD/oz (weekly P). This is wider than the stop — card therefore notes: 'stop ahead of invalidation'.</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Caveats</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Weekend gap risk into 18-May 02:00 UK Asia open — if gold gaps below 4,500 on Monday open, the entry slips by the gap amount and R recalculates. RSI2 at 5.9 raises near-term reflex-bounce risk — Unit 1 takes partial profit at first sign of stalling.</w:t>
            </w:r>
          </w:p>
        </w:tc>
      </w:tr>
    </w:tbl>
    <w:p>
      <w:pPr>
        <w:spacing w:after="40"/>
      </w:pPr>
    </w:p>
    <w:p>
      <w:pPr>
        <w:spacing w:after="40" w:before="160"/>
      </w:pPr>
      <w:r>
        <w:rPr>
          <w:b/>
          <w:i w:val="0"/>
          <w:sz w:val="22"/>
        </w:rPr>
        <w:t>Trade 2 — Pivot (regime-aware) — TRANSITION regime, breakout-side only</w:t>
      </w:r>
    </w:p>
    <w:tbl>
      <w:tblPr>
        <w:tblW w:type="auto" w:w="0"/>
        <w:jc w:val="left"/>
        <w:tblLayout w:type="fixed"/>
        <w:tblLook w:firstColumn="1" w:firstRow="1" w:lastColumn="0" w:lastRow="0" w:noHBand="0" w:noVBand="1" w:val="04A0"/>
      </w:tblPr>
      <w:tblGrid>
        <w:gridCol w:w="4824"/>
        <w:gridCol w:w="4824"/>
      </w:tblGrid>
      <w:tr>
        <w:tc>
          <w:tcPr>
            <w:tcW w:type="dxa" w:w="259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Field</w:t>
            </w:r>
          </w:p>
        </w:tc>
        <w:tc>
          <w:tcPr>
            <w:tcW w:type="dxa" w:w="705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Specification</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Direction</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SHORT — TRANSITION breakout-side mirrors §5.2c configuration. Trade 3C is short (downside breakout); Trade 2 aligns short.</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Entry</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Sell stop at 4,476 USD/oz — on confirmed break of weekly S1. Entry triggers only on a daily-close-below 4,476 or an intraday print of 4,476 − 0.10 × ATR (≈ 4,470) — whichever the engine confirms first.</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Stop loss</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4,576 USD/oz — 100 USD above entry / 10,000 ticks. Structural anchor: daily P (4,576) + monthly P (4,573) confluence; close above the confluence breaks the breakout thesis. Within the ATR cap (3.5 × 58 ≈ 200).</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Risk (R)</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100 USD / 10,000 ticks</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TP1 (Unit 1)</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4,376 USD/oz — −1R / 10,000 ticks below entry. Confluence with monthly S1 at 4,398 and weekly S2 at 4,390 — STRONG within tolerance.</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TP2 (Unit 2)</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4,276 USD/oz — −2R / 20,000 ticks. Approaches daily S2 / weekly S2 zone.</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TP3 (Unit 3 — runner)</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Runner toward daily P from a lower vantage — but since this is a TRANSITION-breakout, runner is anchored to the next structural level: monthly S2 at 4,148. Trail using subsequent fractal swing.</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Tranche management</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3 equal units. On Unit 2 fill, Unit 3 stop moves to entry − 0.2R = 4,456 USD/oz.</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Confluences</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Entry just below weekly S1 (4,476). SL = daily P + monthly P confluence (4,573-4,576) — STRONG. TP1 = monthly S1 + weekly S2 (4,398/4,390). Cross-asset: USDX strength provides ongoing tailwind.</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Thesis invalidation</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Daily close back above 4,576 (P confluence). Stop is at the invalidation — recorded explicitly.</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Caveats</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If the 4,442 / 4,476 confluence holds on first test (high-RSI2-oversold + pivot-cluster reaction), entry order is not triggered and the card returns ALIVE-NOT-TRIGGERED. Suppression rule: would suppress entirely if all pivot tiers were flagged SINGLE-SOURCE-INDICATIVE — they are not, so the card is live.</w:t>
            </w:r>
          </w:p>
        </w:tc>
      </w:tr>
    </w:tbl>
    <w:p>
      <w:pPr>
        <w:spacing w:after="40"/>
      </w:pPr>
    </w:p>
    <w:p>
      <w:pPr>
        <w:spacing w:after="40" w:before="160"/>
      </w:pPr>
      <w:r>
        <w:rPr>
          <w:b/>
          <w:i w:val="0"/>
          <w:sz w:val="22"/>
        </w:rPr>
        <w:t>Trade 3C — Momentum-Breakout (regime_label = TRANSITION)</w:t>
      </w:r>
    </w:p>
    <w:tbl>
      <w:tblPr>
        <w:tblW w:type="auto" w:w="0"/>
        <w:jc w:val="left"/>
        <w:tblLayout w:type="fixed"/>
        <w:tblLook w:firstColumn="1" w:firstRow="1" w:lastColumn="0" w:lastRow="0" w:noHBand="0" w:noVBand="1" w:val="04A0"/>
      </w:tblPr>
      <w:tblGrid>
        <w:gridCol w:w="4824"/>
        <w:gridCol w:w="4824"/>
      </w:tblGrid>
      <w:tr>
        <w:tc>
          <w:tcPr>
            <w:tcW w:type="dxa" w:w="259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Field</w:t>
            </w:r>
          </w:p>
        </w:tc>
        <w:tc>
          <w:tcPr>
            <w:tcW w:type="dxa" w:w="705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9"/>
              </w:rPr>
              <w:t>Specification</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Direction</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SHORT — downside breakout. The 25-session range is swing_high_25d ≈ 4,790 / swing_low_25d ≈ 4,483 (Friday's print). Recent retests of the upper boundary (12-May 4,738 attempt) failed; volator_slope is positive-rising; cross_asset confirms (USDX up). Downside-break configuration applies.</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Confirmed break</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Friday's 15-May close at 4,562 is INSIDE the range still (above 4,483). The confirmed break condition requires a daily close beyond swing_low_25d by ≥ 0.25 × ATR(14) — i.e. a close below ~4,468. Card is built as a CONDITIONAL CONFIRMED-BREAKOUT entry.</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Entry</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On confirmed-break close, at the following session's open. Reference confirmed-break level = 4,468.</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Stop loss</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4,565 USD/oz — inside range, just below midpoint (range mid = (4,790 + 4,483) / 2 = 4,636; inside-range stop = 4,483 + 0.40 × width = 4,483 + 123 = 4,606; we use 4,565 as a tighter structural alternative coincident with daily P region — generous post-fakeout stop).</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Risk (R)</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Approx. 97 USD / 9,700 ticks (entry 4,468 → SL 4,565)</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TP1 (Unit 1)</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Measured move — range width (307 USD) projected from break point: 4,468 − 307 = 4,161 USD/oz. Confluence with monthly S2 at 4,148 — STRONG.</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TP2 (Unit 2)</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1.5 × measured-move = 4,468 − 460 = 4,008 USD/oz.</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TP3 (Unit 3 — runner)</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Discretionary trail beyond 1.5 × MM, anchored to subsequent fractal swing structure. Monthly S3 at 3,973 is the next structural reference.</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Tranche management</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3 equal units. On Unit 2 fill, Unit 3 stop moves to the broken boundary at 4,483 (tighter than [BE_TRAIL_R] dictates — explicit per §5.3c TP2 rule).</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Confluences</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Confirmed-break level 4,468 sits just below weekly S1 (4,476) — STRONG. TP1 (4,161) confluent with monthly S2 (4,148). The whole setup is post-fakeout, hence the wider stop.</w:t>
            </w:r>
          </w:p>
        </w:tc>
      </w:tr>
      <w:tr>
        <w:tc>
          <w:tcPr>
            <w:tcW w:type="dxa" w:w="2592"/>
            <w:tcBorders>
              <w:top w:val="single" w:sz="6" w:color="BFBFBF"/>
              <w:left w:val="single" w:sz="6" w:color="BFBFBF"/>
              <w:bottom w:val="single" w:sz="6" w:color="BFBFBF"/>
              <w:right w:val="single" w:sz="6" w:color="BFBFBF"/>
            </w:tcBorders>
            <w:vAlign w:val="center"/>
          </w:tcPr>
          <w:p>
            <w:pPr>
              <w:spacing w:after="0"/>
            </w:pPr>
            <w:r/>
            <w:r>
              <w:rPr>
                <w:b/>
                <w:sz w:val="19"/>
              </w:rPr>
              <w:t>Thesis invalidation</w:t>
            </w:r>
          </w:p>
        </w:tc>
        <w:tc>
          <w:tcPr>
            <w:tcW w:type="dxa" w:w="7056"/>
            <w:tcBorders>
              <w:top w:val="single" w:sz="6" w:color="BFBFBF"/>
              <w:left w:val="single" w:sz="6" w:color="BFBFBF"/>
              <w:bottom w:val="single" w:sz="6" w:color="BFBFBF"/>
              <w:right w:val="single" w:sz="6" w:color="BFBFBF"/>
            </w:tcBorders>
            <w:vAlign w:val="center"/>
          </w:tcPr>
          <w:p>
            <w:pPr>
              <w:spacing w:after="0"/>
            </w:pPr>
            <w:r/>
            <w:r>
              <w:rPr>
                <w:sz w:val="19"/>
              </w:rPr>
              <w:t>Daily close back inside range past midpoint (4,636).</w:t>
            </w:r>
          </w:p>
        </w:tc>
      </w:tr>
      <w:tr>
        <w:tc>
          <w:tcPr>
            <w:tcW w:type="dxa" w:w="2592"/>
            <w:shd w:val="clear" w:color="auto" w:fill="F2F2F2"/>
            <w:tcBorders>
              <w:top w:val="single" w:sz="6" w:color="BFBFBF"/>
              <w:left w:val="single" w:sz="6" w:color="BFBFBF"/>
              <w:bottom w:val="single" w:sz="6" w:color="BFBFBF"/>
              <w:right w:val="single" w:sz="6" w:color="BFBFBF"/>
            </w:tcBorders>
            <w:vAlign w:val="center"/>
          </w:tcPr>
          <w:p>
            <w:pPr>
              <w:spacing w:after="0"/>
            </w:pPr>
            <w:r/>
            <w:r>
              <w:rPr>
                <w:b/>
                <w:sz w:val="19"/>
              </w:rPr>
              <w:t>Caveats</w:t>
            </w:r>
          </w:p>
        </w:tc>
        <w:tc>
          <w:tcPr>
            <w:tcW w:type="dxa" w:w="7056"/>
            <w:shd w:val="clear" w:color="auto" w:fill="F2F2F2"/>
            <w:tcBorders>
              <w:top w:val="single" w:sz="6" w:color="BFBFBF"/>
              <w:left w:val="single" w:sz="6" w:color="BFBFBF"/>
              <w:bottom w:val="single" w:sz="6" w:color="BFBFBF"/>
              <w:right w:val="single" w:sz="6" w:color="BFBFBF"/>
            </w:tcBorders>
            <w:vAlign w:val="center"/>
          </w:tcPr>
          <w:p>
            <w:pPr>
              <w:spacing w:after="0"/>
            </w:pPr>
            <w:r/>
            <w:r>
              <w:rPr>
                <w:sz w:val="19"/>
              </w:rPr>
              <w:t>Card is CONDITIONAL — does not fire until a confirmed-break close below 4,468. If the FOMC minutes (20-May) deliver dovish surprise and price closes back above 4,693, Trade 3C is cancelled and replaced by the symmetric upside breakout configuration on any subsequent close above 4,790. Both directions are not held simultaneously.</w:t>
            </w:r>
          </w:p>
        </w:tc>
      </w:tr>
    </w:tbl>
    <w:p>
      <w:pPr>
        <w:spacing w:after="40"/>
      </w:pPr>
    </w:p>
    <w:p>
      <w:pPr>
        <w:spacing w:before="160" w:after="40"/>
      </w:pPr>
      <w:r>
        <w:rPr>
          <w:b/>
          <w:color w:val="2E75B6"/>
          <w:sz w:val="23"/>
        </w:rPr>
        <w:t>§21c  5-session No-leakage Backtest</w:t>
      </w:r>
    </w:p>
    <w:p>
      <w:pPr>
        <w:spacing w:after="80" w:before="0"/>
      </w:pPr>
      <w:r>
        <w:rPr>
          <w:b w:val="0"/>
          <w:i/>
          <w:sz w:val="19"/>
        </w:rPr>
        <w:t>Sessions 11-May through 15-May reconstructed at each t−1 close. Sentiment frozen at t−1. Regime label recomputed each t−1.</w:t>
      </w:r>
    </w:p>
    <w:tbl>
      <w:tblPr>
        <w:tblW w:type="auto" w:w="0"/>
        <w:jc w:val="left"/>
        <w:tblLayout w:type="fixed"/>
        <w:tblLook w:firstColumn="1" w:firstRow="1" w:lastColumn="0" w:lastRow="0" w:noHBand="0" w:noVBand="1" w:val="04A0"/>
      </w:tblPr>
      <w:tblGrid>
        <w:gridCol w:w="1206"/>
        <w:gridCol w:w="1206"/>
        <w:gridCol w:w="1206"/>
        <w:gridCol w:w="1206"/>
        <w:gridCol w:w="1206"/>
        <w:gridCol w:w="1206"/>
        <w:gridCol w:w="1206"/>
        <w:gridCol w:w="1206"/>
      </w:tblGrid>
      <w:tr>
        <w:tc>
          <w:tcPr>
            <w:tcW w:type="dxa" w:w="100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Date</w:t>
            </w:r>
          </w:p>
        </w:tc>
        <w:tc>
          <w:tcPr>
            <w:tcW w:type="dxa" w:w="280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Strategy</w:t>
            </w:r>
          </w:p>
        </w:tc>
        <w:tc>
          <w:tcPr>
            <w:tcW w:type="dxa" w:w="79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Dir</w:t>
            </w:r>
          </w:p>
        </w:tc>
        <w:tc>
          <w:tcPr>
            <w:tcW w:type="dxa" w:w="122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Triggered</w:t>
            </w:r>
          </w:p>
        </w:tc>
        <w:tc>
          <w:tcPr>
            <w:tcW w:type="dxa" w:w="1512"/>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Entry</w:t>
            </w:r>
          </w:p>
        </w:tc>
        <w:tc>
          <w:tcPr>
            <w:tcW w:type="dxa" w:w="2016"/>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Exit / Status</w:t>
            </w:r>
          </w:p>
        </w:tc>
        <w:tc>
          <w:tcPr>
            <w:tcW w:type="dxa" w:w="1224"/>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Outcome (R)</w:t>
            </w:r>
          </w:p>
        </w:tc>
        <w:tc>
          <w:tcPr>
            <w:tcW w:type="dxa" w:w="648"/>
            <w:shd w:val="clear" w:color="auto" w:fill="1F3A5F"/>
            <w:tcBorders>
              <w:top w:val="single" w:sz="6" w:color="BFBFBF"/>
              <w:left w:val="single" w:sz="6" w:color="BFBFBF"/>
              <w:bottom w:val="single" w:sz="6" w:color="BFBFBF"/>
              <w:right w:val="single" w:sz="6" w:color="BFBFBF"/>
            </w:tcBorders>
            <w:vAlign w:val="center"/>
          </w:tcPr>
          <w:p>
            <w:pPr>
              <w:spacing w:after="0"/>
            </w:pPr>
            <w:r/>
            <w:r>
              <w:rPr>
                <w:b/>
                <w:color w:val="FFFFFF"/>
                <w:sz w:val="17"/>
              </w:rPr>
              <w:t>Days</w:t>
            </w:r>
          </w:p>
        </w:tc>
      </w:tr>
      <w:tr>
        <w:tc>
          <w:tcPr>
            <w:tcW w:type="dxa" w:w="1008"/>
            <w:tcBorders>
              <w:top w:val="single" w:sz="6" w:color="BFBFBF"/>
              <w:left w:val="single" w:sz="6" w:color="BFBFBF"/>
              <w:bottom w:val="single" w:sz="6" w:color="BFBFBF"/>
              <w:right w:val="single" w:sz="6" w:color="BFBFBF"/>
            </w:tcBorders>
            <w:vAlign w:val="center"/>
          </w:tcPr>
          <w:p>
            <w:pPr>
              <w:spacing w:after="0"/>
            </w:pPr>
            <w:r/>
            <w:r>
              <w:rPr>
                <w:sz w:val="17"/>
              </w:rPr>
              <w:t>11-May</w:t>
            </w:r>
          </w:p>
        </w:tc>
        <w:tc>
          <w:tcPr>
            <w:tcW w:type="dxa" w:w="2808"/>
            <w:tcBorders>
              <w:top w:val="single" w:sz="6" w:color="BFBFBF"/>
              <w:left w:val="single" w:sz="6" w:color="BFBFBF"/>
              <w:bottom w:val="single" w:sz="6" w:color="BFBFBF"/>
              <w:right w:val="single" w:sz="6" w:color="BFBFBF"/>
            </w:tcBorders>
            <w:vAlign w:val="center"/>
          </w:tcPr>
          <w:p>
            <w:pPr>
              <w:spacing w:after="0"/>
            </w:pPr>
            <w:r/>
            <w:r>
              <w:rPr>
                <w:sz w:val="17"/>
              </w:rPr>
              <w:t>Trade 1</w:t>
            </w:r>
          </w:p>
        </w:tc>
        <w:tc>
          <w:tcPr>
            <w:tcW w:type="dxa" w:w="792"/>
            <w:tcBorders>
              <w:top w:val="single" w:sz="6" w:color="BFBFBF"/>
              <w:left w:val="single" w:sz="6" w:color="BFBFBF"/>
              <w:bottom w:val="single" w:sz="6" w:color="BFBFBF"/>
              <w:right w:val="single" w:sz="6" w:color="BFBFBF"/>
            </w:tcBorders>
            <w:vAlign w:val="center"/>
          </w:tcPr>
          <w:p>
            <w:pPr>
              <w:spacing w:after="0"/>
            </w:pPr>
            <w:r/>
            <w:r>
              <w:rPr>
                <w:sz w:val="17"/>
              </w:rPr>
              <w:t>LONG</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YES</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Mkt @ 4,705 open</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Trailed to TP1 @ 4,748</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+1.00R</w:t>
            </w:r>
          </w:p>
        </w:tc>
        <w:tc>
          <w:tcPr>
            <w:tcW w:type="dxa" w:w="648"/>
            <w:tcBorders>
              <w:top w:val="single" w:sz="6" w:color="BFBFBF"/>
              <w:left w:val="single" w:sz="6" w:color="BFBFBF"/>
              <w:bottom w:val="single" w:sz="6" w:color="BFBFBF"/>
              <w:right w:val="single" w:sz="6" w:color="BFBFBF"/>
            </w:tcBorders>
            <w:vAlign w:val="center"/>
          </w:tcPr>
          <w:p>
            <w:pPr>
              <w:spacing w:after="0"/>
            </w:pPr>
            <w:r/>
            <w:r>
              <w:rPr>
                <w:sz w:val="17"/>
              </w:rPr>
              <w:t>1</w:t>
            </w:r>
          </w:p>
        </w:tc>
      </w:tr>
      <w:tr>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11-May</w:t>
            </w:r>
          </w:p>
        </w:tc>
        <w:tc>
          <w:tcPr>
            <w:tcW w:type="dxa" w:w="28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Trade 2 RANGE pivot fade-short @ R1 4,738</w:t>
            </w:r>
          </w:p>
        </w:tc>
        <w:tc>
          <w:tcPr>
            <w:tcW w:type="dxa" w:w="7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NO (didn't tag R1)</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Not triggered</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0</w:t>
            </w:r>
          </w:p>
        </w:tc>
        <w:tc>
          <w:tcPr>
            <w:tcW w:type="dxa" w:w="64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w:t>
            </w:r>
          </w:p>
        </w:tc>
      </w:tr>
      <w:tr>
        <w:tc>
          <w:tcPr>
            <w:tcW w:type="dxa" w:w="1008"/>
            <w:tcBorders>
              <w:top w:val="single" w:sz="6" w:color="BFBFBF"/>
              <w:left w:val="single" w:sz="6" w:color="BFBFBF"/>
              <w:bottom w:val="single" w:sz="6" w:color="BFBFBF"/>
              <w:right w:val="single" w:sz="6" w:color="BFBFBF"/>
            </w:tcBorders>
            <w:vAlign w:val="center"/>
          </w:tcPr>
          <w:p>
            <w:pPr>
              <w:spacing w:after="0"/>
            </w:pPr>
            <w:r/>
            <w:r>
              <w:rPr>
                <w:sz w:val="17"/>
              </w:rPr>
              <w:t>11-May</w:t>
            </w:r>
          </w:p>
        </w:tc>
        <w:tc>
          <w:tcPr>
            <w:tcW w:type="dxa" w:w="2808"/>
            <w:tcBorders>
              <w:top w:val="single" w:sz="6" w:color="BFBFBF"/>
              <w:left w:val="single" w:sz="6" w:color="BFBFBF"/>
              <w:bottom w:val="single" w:sz="6" w:color="BFBFBF"/>
              <w:right w:val="single" w:sz="6" w:color="BFBFBF"/>
            </w:tcBorders>
            <w:vAlign w:val="center"/>
          </w:tcPr>
          <w:p>
            <w:pPr>
              <w:spacing w:after="0"/>
            </w:pPr>
            <w:r/>
            <w:r>
              <w:rPr>
                <w:sz w:val="17"/>
              </w:rPr>
              <w:t>Trade 3 (Range 3B mean-rev short @ 78.6% range)</w:t>
            </w:r>
          </w:p>
        </w:tc>
        <w:tc>
          <w:tcPr>
            <w:tcW w:type="dxa" w:w="79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NO</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Not triggered</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0</w:t>
            </w:r>
          </w:p>
        </w:tc>
        <w:tc>
          <w:tcPr>
            <w:tcW w:type="dxa" w:w="648"/>
            <w:tcBorders>
              <w:top w:val="single" w:sz="6" w:color="BFBFBF"/>
              <w:left w:val="single" w:sz="6" w:color="BFBFBF"/>
              <w:bottom w:val="single" w:sz="6" w:color="BFBFBF"/>
              <w:right w:val="single" w:sz="6" w:color="BFBFBF"/>
            </w:tcBorders>
            <w:vAlign w:val="center"/>
          </w:tcPr>
          <w:p>
            <w:pPr>
              <w:spacing w:after="0"/>
            </w:pPr>
            <w:r/>
            <w:r>
              <w:rPr>
                <w:sz w:val="17"/>
              </w:rPr>
              <w:t>—</w:t>
            </w:r>
          </w:p>
        </w:tc>
      </w:tr>
      <w:tr>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12-May</w:t>
            </w:r>
          </w:p>
        </w:tc>
        <w:tc>
          <w:tcPr>
            <w:tcW w:type="dxa" w:w="28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Trade 1</w:t>
            </w:r>
          </w:p>
        </w:tc>
        <w:tc>
          <w:tcPr>
            <w:tcW w:type="dxa" w:w="7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LONG</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YES</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Mkt @ 4,694 open</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TP1 hit @ 4,724, runner stopped at +0.2R after TP2 missed</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+1.20R</w:t>
            </w:r>
          </w:p>
        </w:tc>
        <w:tc>
          <w:tcPr>
            <w:tcW w:type="dxa" w:w="64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w:t>
            </w:r>
          </w:p>
        </w:tc>
      </w:tr>
      <w:tr>
        <w:tc>
          <w:tcPr>
            <w:tcW w:type="dxa" w:w="1008"/>
            <w:tcBorders>
              <w:top w:val="single" w:sz="6" w:color="BFBFBF"/>
              <w:left w:val="single" w:sz="6" w:color="BFBFBF"/>
              <w:bottom w:val="single" w:sz="6" w:color="BFBFBF"/>
              <w:right w:val="single" w:sz="6" w:color="BFBFBF"/>
            </w:tcBorders>
            <w:vAlign w:val="center"/>
          </w:tcPr>
          <w:p>
            <w:pPr>
              <w:spacing w:after="0"/>
            </w:pPr>
            <w:r/>
            <w:r>
              <w:rPr>
                <w:sz w:val="17"/>
              </w:rPr>
              <w:t>12-May</w:t>
            </w:r>
          </w:p>
        </w:tc>
        <w:tc>
          <w:tcPr>
            <w:tcW w:type="dxa" w:w="2808"/>
            <w:tcBorders>
              <w:top w:val="single" w:sz="6" w:color="BFBFBF"/>
              <w:left w:val="single" w:sz="6" w:color="BFBFBF"/>
              <w:bottom w:val="single" w:sz="6" w:color="BFBFBF"/>
              <w:right w:val="single" w:sz="6" w:color="BFBFBF"/>
            </w:tcBorders>
            <w:vAlign w:val="center"/>
          </w:tcPr>
          <w:p>
            <w:pPr>
              <w:spacing w:after="0"/>
            </w:pPr>
            <w:r/>
            <w:r>
              <w:rPr>
                <w:sz w:val="17"/>
              </w:rPr>
              <w:t>Trade 2 RANGE pivot fade-short @ R1 4,738</w:t>
            </w:r>
          </w:p>
        </w:tc>
        <w:tc>
          <w:tcPr>
            <w:tcW w:type="dxa" w:w="79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YES</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Limit @ 4,738</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Stopped @ stop above pivot; trade fade failed in transition session — SL hit @ 4,750</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−1.00R</w:t>
            </w:r>
          </w:p>
        </w:tc>
        <w:tc>
          <w:tcPr>
            <w:tcW w:type="dxa" w:w="648"/>
            <w:tcBorders>
              <w:top w:val="single" w:sz="6" w:color="BFBFBF"/>
              <w:left w:val="single" w:sz="6" w:color="BFBFBF"/>
              <w:bottom w:val="single" w:sz="6" w:color="BFBFBF"/>
              <w:right w:val="single" w:sz="6" w:color="BFBFBF"/>
            </w:tcBorders>
            <w:vAlign w:val="center"/>
          </w:tcPr>
          <w:p>
            <w:pPr>
              <w:spacing w:after="0"/>
            </w:pPr>
            <w:r/>
            <w:r>
              <w:rPr>
                <w:sz w:val="17"/>
              </w:rPr>
              <w:t>1</w:t>
            </w:r>
          </w:p>
        </w:tc>
      </w:tr>
      <w:tr>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12-May</w:t>
            </w:r>
          </w:p>
        </w:tc>
        <w:tc>
          <w:tcPr>
            <w:tcW w:type="dxa" w:w="28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Trade 3 (3B mean-rev short)</w:t>
            </w:r>
          </w:p>
        </w:tc>
        <w:tc>
          <w:tcPr>
            <w:tcW w:type="dxa" w:w="7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NO</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Not triggered</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0</w:t>
            </w:r>
          </w:p>
        </w:tc>
        <w:tc>
          <w:tcPr>
            <w:tcW w:type="dxa" w:w="64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w:t>
            </w:r>
          </w:p>
        </w:tc>
      </w:tr>
      <w:tr>
        <w:tc>
          <w:tcPr>
            <w:tcW w:type="dxa" w:w="1008"/>
            <w:tcBorders>
              <w:top w:val="single" w:sz="6" w:color="BFBFBF"/>
              <w:left w:val="single" w:sz="6" w:color="BFBFBF"/>
              <w:bottom w:val="single" w:sz="6" w:color="BFBFBF"/>
              <w:right w:val="single" w:sz="6" w:color="BFBFBF"/>
            </w:tcBorders>
            <w:vAlign w:val="center"/>
          </w:tcPr>
          <w:p>
            <w:pPr>
              <w:spacing w:after="0"/>
            </w:pPr>
            <w:r/>
            <w:r>
              <w:rPr>
                <w:sz w:val="17"/>
              </w:rPr>
              <w:t>13-May</w:t>
            </w:r>
          </w:p>
        </w:tc>
        <w:tc>
          <w:tcPr>
            <w:tcW w:type="dxa" w:w="2808"/>
            <w:tcBorders>
              <w:top w:val="single" w:sz="6" w:color="BFBFBF"/>
              <w:left w:val="single" w:sz="6" w:color="BFBFBF"/>
              <w:bottom w:val="single" w:sz="6" w:color="BFBFBF"/>
              <w:right w:val="single" w:sz="6" w:color="BFBFBF"/>
            </w:tcBorders>
            <w:vAlign w:val="center"/>
          </w:tcPr>
          <w:p>
            <w:pPr>
              <w:spacing w:after="0"/>
            </w:pPr>
            <w:r/>
            <w:r>
              <w:rPr>
                <w:sz w:val="17"/>
              </w:rPr>
              <w:t>Trade 1</w:t>
            </w:r>
          </w:p>
        </w:tc>
        <w:tc>
          <w:tcPr>
            <w:tcW w:type="dxa" w:w="792"/>
            <w:tcBorders>
              <w:top w:val="single" w:sz="6" w:color="BFBFBF"/>
              <w:left w:val="single" w:sz="6" w:color="BFBFBF"/>
              <w:bottom w:val="single" w:sz="6" w:color="BFBFBF"/>
              <w:right w:val="single" w:sz="6" w:color="BFBFBF"/>
            </w:tcBorders>
            <w:vAlign w:val="center"/>
          </w:tcPr>
          <w:p>
            <w:pPr>
              <w:spacing w:after="0"/>
            </w:pPr>
            <w:r/>
            <w:r>
              <w:rPr>
                <w:sz w:val="17"/>
              </w:rPr>
              <w:t>SHORT (regime flipped)</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YES</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Mkt @ 4,704 open</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TP1 hit @ 4,648</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+1.00R</w:t>
            </w:r>
          </w:p>
        </w:tc>
        <w:tc>
          <w:tcPr>
            <w:tcW w:type="dxa" w:w="648"/>
            <w:tcBorders>
              <w:top w:val="single" w:sz="6" w:color="BFBFBF"/>
              <w:left w:val="single" w:sz="6" w:color="BFBFBF"/>
              <w:bottom w:val="single" w:sz="6" w:color="BFBFBF"/>
              <w:right w:val="single" w:sz="6" w:color="BFBFBF"/>
            </w:tcBorders>
            <w:vAlign w:val="center"/>
          </w:tcPr>
          <w:p>
            <w:pPr>
              <w:spacing w:after="0"/>
            </w:pPr>
            <w:r/>
            <w:r>
              <w:rPr>
                <w:sz w:val="17"/>
              </w:rPr>
              <w:t>1</w:t>
            </w:r>
          </w:p>
        </w:tc>
      </w:tr>
      <w:tr>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13-May</w:t>
            </w:r>
          </w:p>
        </w:tc>
        <w:tc>
          <w:tcPr>
            <w:tcW w:type="dxa" w:w="28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Trade 2 TRANSITION breakout-short @ S1 zone</w:t>
            </w:r>
          </w:p>
        </w:tc>
        <w:tc>
          <w:tcPr>
            <w:tcW w:type="dxa" w:w="7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NO (S1 not reached)</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Not triggered intraday</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0</w:t>
            </w:r>
          </w:p>
        </w:tc>
        <w:tc>
          <w:tcPr>
            <w:tcW w:type="dxa" w:w="64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w:t>
            </w:r>
          </w:p>
        </w:tc>
      </w:tr>
      <w:tr>
        <w:tc>
          <w:tcPr>
            <w:tcW w:type="dxa" w:w="1008"/>
            <w:tcBorders>
              <w:top w:val="single" w:sz="6" w:color="BFBFBF"/>
              <w:left w:val="single" w:sz="6" w:color="BFBFBF"/>
              <w:bottom w:val="single" w:sz="6" w:color="BFBFBF"/>
              <w:right w:val="single" w:sz="6" w:color="BFBFBF"/>
            </w:tcBorders>
            <w:vAlign w:val="center"/>
          </w:tcPr>
          <w:p>
            <w:pPr>
              <w:spacing w:after="0"/>
            </w:pPr>
            <w:r/>
            <w:r>
              <w:rPr>
                <w:sz w:val="17"/>
              </w:rPr>
              <w:t>13-May</w:t>
            </w:r>
          </w:p>
        </w:tc>
        <w:tc>
          <w:tcPr>
            <w:tcW w:type="dxa" w:w="2808"/>
            <w:tcBorders>
              <w:top w:val="single" w:sz="6" w:color="BFBFBF"/>
              <w:left w:val="single" w:sz="6" w:color="BFBFBF"/>
              <w:bottom w:val="single" w:sz="6" w:color="BFBFBF"/>
              <w:right w:val="single" w:sz="6" w:color="BFBFBF"/>
            </w:tcBorders>
            <w:vAlign w:val="center"/>
          </w:tcPr>
          <w:p>
            <w:pPr>
              <w:spacing w:after="0"/>
            </w:pPr>
            <w:r/>
            <w:r>
              <w:rPr>
                <w:sz w:val="17"/>
              </w:rPr>
              <w:t>Trade 3 (3C breakout)</w:t>
            </w:r>
          </w:p>
        </w:tc>
        <w:tc>
          <w:tcPr>
            <w:tcW w:type="dxa" w:w="79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NO (range still intact)</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Not triggered</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0</w:t>
            </w:r>
          </w:p>
        </w:tc>
        <w:tc>
          <w:tcPr>
            <w:tcW w:type="dxa" w:w="648"/>
            <w:tcBorders>
              <w:top w:val="single" w:sz="6" w:color="BFBFBF"/>
              <w:left w:val="single" w:sz="6" w:color="BFBFBF"/>
              <w:bottom w:val="single" w:sz="6" w:color="BFBFBF"/>
              <w:right w:val="single" w:sz="6" w:color="BFBFBF"/>
            </w:tcBorders>
            <w:vAlign w:val="center"/>
          </w:tcPr>
          <w:p>
            <w:pPr>
              <w:spacing w:after="0"/>
            </w:pPr>
            <w:r/>
            <w:r>
              <w:rPr>
                <w:sz w:val="17"/>
              </w:rPr>
              <w:t>—</w:t>
            </w:r>
          </w:p>
        </w:tc>
      </w:tr>
      <w:tr>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14-May</w:t>
            </w:r>
          </w:p>
        </w:tc>
        <w:tc>
          <w:tcPr>
            <w:tcW w:type="dxa" w:w="28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Trade 1</w:t>
            </w:r>
          </w:p>
        </w:tc>
        <w:tc>
          <w:tcPr>
            <w:tcW w:type="dxa" w:w="7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YES</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Mkt @ 4,687 open</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TP1 @ 4,640, runner trailed to +0.2R then session close</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+1.30R</w:t>
            </w:r>
          </w:p>
        </w:tc>
        <w:tc>
          <w:tcPr>
            <w:tcW w:type="dxa" w:w="64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w:t>
            </w:r>
          </w:p>
        </w:tc>
      </w:tr>
      <w:tr>
        <w:tc>
          <w:tcPr>
            <w:tcW w:type="dxa" w:w="1008"/>
            <w:tcBorders>
              <w:top w:val="single" w:sz="6" w:color="BFBFBF"/>
              <w:left w:val="single" w:sz="6" w:color="BFBFBF"/>
              <w:bottom w:val="single" w:sz="6" w:color="BFBFBF"/>
              <w:right w:val="single" w:sz="6" w:color="BFBFBF"/>
            </w:tcBorders>
            <w:vAlign w:val="center"/>
          </w:tcPr>
          <w:p>
            <w:pPr>
              <w:spacing w:after="0"/>
            </w:pPr>
            <w:r/>
            <w:r>
              <w:rPr>
                <w:sz w:val="17"/>
              </w:rPr>
              <w:t>14-May</w:t>
            </w:r>
          </w:p>
        </w:tc>
        <w:tc>
          <w:tcPr>
            <w:tcW w:type="dxa" w:w="2808"/>
            <w:tcBorders>
              <w:top w:val="single" w:sz="6" w:color="BFBFBF"/>
              <w:left w:val="single" w:sz="6" w:color="BFBFBF"/>
              <w:bottom w:val="single" w:sz="6" w:color="BFBFBF"/>
              <w:right w:val="single" w:sz="6" w:color="BFBFBF"/>
            </w:tcBorders>
            <w:vAlign w:val="center"/>
          </w:tcPr>
          <w:p>
            <w:pPr>
              <w:spacing w:after="0"/>
            </w:pPr>
            <w:r/>
            <w:r>
              <w:rPr>
                <w:sz w:val="17"/>
              </w:rPr>
              <w:t>Trade 2 breakout-short @ 4,640 confirmed break</w:t>
            </w:r>
          </w:p>
        </w:tc>
        <w:tc>
          <w:tcPr>
            <w:tcW w:type="dxa" w:w="79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YES</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Stop @ 4,640</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TP1 @ 4,580</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+1.00R</w:t>
            </w:r>
          </w:p>
        </w:tc>
        <w:tc>
          <w:tcPr>
            <w:tcW w:type="dxa" w:w="648"/>
            <w:tcBorders>
              <w:top w:val="single" w:sz="6" w:color="BFBFBF"/>
              <w:left w:val="single" w:sz="6" w:color="BFBFBF"/>
              <w:bottom w:val="single" w:sz="6" w:color="BFBFBF"/>
              <w:right w:val="single" w:sz="6" w:color="BFBFBF"/>
            </w:tcBorders>
            <w:vAlign w:val="center"/>
          </w:tcPr>
          <w:p>
            <w:pPr>
              <w:spacing w:after="0"/>
            </w:pPr>
            <w:r/>
            <w:r>
              <w:rPr>
                <w:sz w:val="17"/>
              </w:rPr>
              <w:t>1</w:t>
            </w:r>
          </w:p>
        </w:tc>
      </w:tr>
      <w:tr>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14-May</w:t>
            </w:r>
          </w:p>
        </w:tc>
        <w:tc>
          <w:tcPr>
            <w:tcW w:type="dxa" w:w="28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Trade 3 (3C confirmed break)</w:t>
            </w:r>
          </w:p>
        </w:tc>
        <w:tc>
          <w:tcPr>
            <w:tcW w:type="dxa" w:w="7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NO (close not yet beyond range low + 0.25ATR)</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Not triggered</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0</w:t>
            </w:r>
          </w:p>
        </w:tc>
        <w:tc>
          <w:tcPr>
            <w:tcW w:type="dxa" w:w="64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w:t>
            </w:r>
          </w:p>
        </w:tc>
      </w:tr>
      <w:tr>
        <w:tc>
          <w:tcPr>
            <w:tcW w:type="dxa" w:w="1008"/>
            <w:tcBorders>
              <w:top w:val="single" w:sz="6" w:color="BFBFBF"/>
              <w:left w:val="single" w:sz="6" w:color="BFBFBF"/>
              <w:bottom w:val="single" w:sz="6" w:color="BFBFBF"/>
              <w:right w:val="single" w:sz="6" w:color="BFBFBF"/>
            </w:tcBorders>
            <w:vAlign w:val="center"/>
          </w:tcPr>
          <w:p>
            <w:pPr>
              <w:spacing w:after="0"/>
            </w:pPr>
            <w:r/>
            <w:r>
              <w:rPr>
                <w:sz w:val="17"/>
              </w:rPr>
              <w:t>15-May</w:t>
            </w:r>
          </w:p>
        </w:tc>
        <w:tc>
          <w:tcPr>
            <w:tcW w:type="dxa" w:w="2808"/>
            <w:tcBorders>
              <w:top w:val="single" w:sz="6" w:color="BFBFBF"/>
              <w:left w:val="single" w:sz="6" w:color="BFBFBF"/>
              <w:bottom w:val="single" w:sz="6" w:color="BFBFBF"/>
              <w:right w:val="single" w:sz="6" w:color="BFBFBF"/>
            </w:tcBorders>
            <w:vAlign w:val="center"/>
          </w:tcPr>
          <w:p>
            <w:pPr>
              <w:spacing w:after="0"/>
            </w:pPr>
            <w:r/>
            <w:r>
              <w:rPr>
                <w:sz w:val="17"/>
              </w:rPr>
              <w:t>Trade 1</w:t>
            </w:r>
          </w:p>
        </w:tc>
        <w:tc>
          <w:tcPr>
            <w:tcW w:type="dxa" w:w="79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YES</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Mkt @ 4,649 open</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TP1 @ 4,562, TP2 @ 4,475 missed by 8 USD intraday — Unit 2 OPEN at close, runner OPEN</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+1.00R closed + OPEN @ +0.9R MtM</w:t>
            </w:r>
          </w:p>
        </w:tc>
        <w:tc>
          <w:tcPr>
            <w:tcW w:type="dxa" w:w="648"/>
            <w:tcBorders>
              <w:top w:val="single" w:sz="6" w:color="BFBFBF"/>
              <w:left w:val="single" w:sz="6" w:color="BFBFBF"/>
              <w:bottom w:val="single" w:sz="6" w:color="BFBFBF"/>
              <w:right w:val="single" w:sz="6" w:color="BFBFBF"/>
            </w:tcBorders>
            <w:vAlign w:val="center"/>
          </w:tcPr>
          <w:p>
            <w:pPr>
              <w:spacing w:after="0"/>
            </w:pPr>
            <w:r/>
            <w:r>
              <w:rPr>
                <w:sz w:val="17"/>
              </w:rPr>
              <w:t>OPEN</w:t>
            </w:r>
          </w:p>
        </w:tc>
      </w:tr>
      <w:tr>
        <w:tc>
          <w:tcPr>
            <w:tcW w:type="dxa" w:w="10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15-May</w:t>
            </w:r>
          </w:p>
        </w:tc>
        <w:tc>
          <w:tcPr>
            <w:tcW w:type="dxa" w:w="280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Trade 2 breakout-short follow-on</w:t>
            </w:r>
          </w:p>
        </w:tc>
        <w:tc>
          <w:tcPr>
            <w:tcW w:type="dxa" w:w="79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YES</w:t>
            </w:r>
          </w:p>
        </w:tc>
        <w:tc>
          <w:tcPr>
            <w:tcW w:type="dxa" w:w="1512"/>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Stop @ 4,580</w:t>
            </w:r>
          </w:p>
        </w:tc>
        <w:tc>
          <w:tcPr>
            <w:tcW w:type="dxa" w:w="2016"/>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TP1 @ 4,484</w:t>
            </w:r>
          </w:p>
        </w:tc>
        <w:tc>
          <w:tcPr>
            <w:tcW w:type="dxa" w:w="1224"/>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+1.00R</w:t>
            </w:r>
          </w:p>
        </w:tc>
        <w:tc>
          <w:tcPr>
            <w:tcW w:type="dxa" w:w="648"/>
            <w:shd w:val="clear" w:color="auto" w:fill="F2F2F2"/>
            <w:tcBorders>
              <w:top w:val="single" w:sz="6" w:color="BFBFBF"/>
              <w:left w:val="single" w:sz="6" w:color="BFBFBF"/>
              <w:bottom w:val="single" w:sz="6" w:color="BFBFBF"/>
              <w:right w:val="single" w:sz="6" w:color="BFBFBF"/>
            </w:tcBorders>
            <w:vAlign w:val="center"/>
          </w:tcPr>
          <w:p>
            <w:pPr>
              <w:spacing w:after="0"/>
            </w:pPr>
            <w:r/>
            <w:r>
              <w:rPr>
                <w:sz w:val="17"/>
              </w:rPr>
              <w:t>1</w:t>
            </w:r>
          </w:p>
        </w:tc>
      </w:tr>
      <w:tr>
        <w:tc>
          <w:tcPr>
            <w:tcW w:type="dxa" w:w="1008"/>
            <w:tcBorders>
              <w:top w:val="single" w:sz="6" w:color="BFBFBF"/>
              <w:left w:val="single" w:sz="6" w:color="BFBFBF"/>
              <w:bottom w:val="single" w:sz="6" w:color="BFBFBF"/>
              <w:right w:val="single" w:sz="6" w:color="BFBFBF"/>
            </w:tcBorders>
            <w:vAlign w:val="center"/>
          </w:tcPr>
          <w:p>
            <w:pPr>
              <w:spacing w:after="0"/>
            </w:pPr>
            <w:r/>
            <w:r>
              <w:rPr>
                <w:sz w:val="17"/>
              </w:rPr>
              <w:t>15-May</w:t>
            </w:r>
          </w:p>
        </w:tc>
        <w:tc>
          <w:tcPr>
            <w:tcW w:type="dxa" w:w="2808"/>
            <w:tcBorders>
              <w:top w:val="single" w:sz="6" w:color="BFBFBF"/>
              <w:left w:val="single" w:sz="6" w:color="BFBFBF"/>
              <w:bottom w:val="single" w:sz="6" w:color="BFBFBF"/>
              <w:right w:val="single" w:sz="6" w:color="BFBFBF"/>
            </w:tcBorders>
            <w:vAlign w:val="center"/>
          </w:tcPr>
          <w:p>
            <w:pPr>
              <w:spacing w:after="0"/>
            </w:pPr>
            <w:r/>
            <w:r>
              <w:rPr>
                <w:sz w:val="17"/>
              </w:rPr>
              <w:t>Trade 3 (3C)</w:t>
            </w:r>
          </w:p>
        </w:tc>
        <w:tc>
          <w:tcPr>
            <w:tcW w:type="dxa" w:w="792"/>
            <w:tcBorders>
              <w:top w:val="single" w:sz="6" w:color="BFBFBF"/>
              <w:left w:val="single" w:sz="6" w:color="BFBFBF"/>
              <w:bottom w:val="single" w:sz="6" w:color="BFBFBF"/>
              <w:right w:val="single" w:sz="6" w:color="BFBFBF"/>
            </w:tcBorders>
            <w:vAlign w:val="center"/>
          </w:tcPr>
          <w:p>
            <w:pPr>
              <w:spacing w:after="0"/>
            </w:pPr>
            <w:r/>
            <w:r>
              <w:rPr>
                <w:sz w:val="17"/>
              </w:rPr>
              <w:t>SHORT</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NO (close 4,562 above 4,468 trigger)</w:t>
            </w:r>
          </w:p>
        </w:tc>
        <w:tc>
          <w:tcPr>
            <w:tcW w:type="dxa" w:w="1512"/>
            <w:tcBorders>
              <w:top w:val="single" w:sz="6" w:color="BFBFBF"/>
              <w:left w:val="single" w:sz="6" w:color="BFBFBF"/>
              <w:bottom w:val="single" w:sz="6" w:color="BFBFBF"/>
              <w:right w:val="single" w:sz="6" w:color="BFBFBF"/>
            </w:tcBorders>
            <w:vAlign w:val="center"/>
          </w:tcPr>
          <w:p>
            <w:pPr>
              <w:spacing w:after="0"/>
            </w:pPr>
            <w:r/>
            <w:r>
              <w:rPr>
                <w:sz w:val="17"/>
              </w:rPr>
              <w:t>—</w:t>
            </w:r>
          </w:p>
        </w:tc>
        <w:tc>
          <w:tcPr>
            <w:tcW w:type="dxa" w:w="2016"/>
            <w:tcBorders>
              <w:top w:val="single" w:sz="6" w:color="BFBFBF"/>
              <w:left w:val="single" w:sz="6" w:color="BFBFBF"/>
              <w:bottom w:val="single" w:sz="6" w:color="BFBFBF"/>
              <w:right w:val="single" w:sz="6" w:color="BFBFBF"/>
            </w:tcBorders>
            <w:vAlign w:val="center"/>
          </w:tcPr>
          <w:p>
            <w:pPr>
              <w:spacing w:after="0"/>
            </w:pPr>
            <w:r/>
            <w:r>
              <w:rPr>
                <w:sz w:val="17"/>
              </w:rPr>
              <w:t>Not triggered</w:t>
            </w:r>
          </w:p>
        </w:tc>
        <w:tc>
          <w:tcPr>
            <w:tcW w:type="dxa" w:w="1224"/>
            <w:tcBorders>
              <w:top w:val="single" w:sz="6" w:color="BFBFBF"/>
              <w:left w:val="single" w:sz="6" w:color="BFBFBF"/>
              <w:bottom w:val="single" w:sz="6" w:color="BFBFBF"/>
              <w:right w:val="single" w:sz="6" w:color="BFBFBF"/>
            </w:tcBorders>
            <w:vAlign w:val="center"/>
          </w:tcPr>
          <w:p>
            <w:pPr>
              <w:spacing w:after="0"/>
            </w:pPr>
            <w:r/>
            <w:r>
              <w:rPr>
                <w:sz w:val="17"/>
              </w:rPr>
              <w:t>0</w:t>
            </w:r>
          </w:p>
        </w:tc>
        <w:tc>
          <w:tcPr>
            <w:tcW w:type="dxa" w:w="648"/>
            <w:tcBorders>
              <w:top w:val="single" w:sz="6" w:color="BFBFBF"/>
              <w:left w:val="single" w:sz="6" w:color="BFBFBF"/>
              <w:bottom w:val="single" w:sz="6" w:color="BFBFBF"/>
              <w:right w:val="single" w:sz="6" w:color="BFBFBF"/>
            </w:tcBorders>
            <w:vAlign w:val="center"/>
          </w:tcPr>
          <w:p>
            <w:pPr>
              <w:spacing w:after="0"/>
            </w:pPr>
            <w:r/>
            <w:r>
              <w:rPr>
                <w:sz w:val="17"/>
              </w:rPr>
              <w:t>—</w:t>
            </w:r>
          </w:p>
        </w:tc>
      </w:tr>
    </w:tbl>
    <w:p>
      <w:pPr>
        <w:spacing w:after="40"/>
      </w:pPr>
    </w:p>
    <w:p>
      <w:pPr>
        <w:spacing w:before="160" w:after="40"/>
      </w:pPr>
      <w:r>
        <w:rPr>
          <w:b/>
          <w:color w:val="2E75B6"/>
          <w:sz w:val="23"/>
        </w:rPr>
        <w:t>§21d  'What Is Working' — Aggregate</w:t>
      </w:r>
    </w:p>
    <w:p>
      <w:pPr>
        <w:spacing w:after="80" w:before="0"/>
      </w:pPr>
      <w:r>
        <w:rPr>
          <w:b w:val="0"/>
          <w:i w:val="0"/>
          <w:sz w:val="21"/>
        </w:rPr>
        <w:t>Trade 1 over the last 5 sessions: triggered 5/5 times, mean R (closed only) = +1.13, hit rates TP1 / TP2 / TP3 = 100% / 0% / 20%. Trade 2 over the last 5 sessions: triggered 3/5 times, mean R = +0.33 (mixed: one −1R fade-loss in the early-week transition; two +1R breakout wins as the regime confirmed), hit rates TP1 / TP2 / TP3 = 67% / 0% / 0%. Trade 3 (across 3B → 3C variants) triggered 0/5 times — range remained intact across the lookback window; 3C confirmed-break threshold never crossed. Strongest performer over the window: Trade 1 (mean R +1.13). Weakest performer: Trade 3 — insufficient triggers to rank.</w:t>
      </w:r>
    </w:p>
    <w:p>
      <w:pPr>
        <w:spacing w:after="160" w:before="0"/>
      </w:pPr>
      <w:r>
        <w:rPr>
          <w:b w:val="0"/>
          <w:i/>
          <w:sz w:val="21"/>
        </w:rPr>
        <w:t>Five-session windows are too small to support statistical claims. The backtest cannot model intraday tick-level fills, slippage, or commission. Treat as a directional sanity-check, not a strategy-validation framework.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7"/>
      </w:rPr>
      <w:t>Gold (Spot) Daily Report  │  18 May 2026  │  Senior Commodities Analyst — Precious Metals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