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6"/>
          <w:szCs w:val="36"/>
        </w:rPr>
        <w:t xml:space="preserve">Gold Report — Daily: 2 June 2026</w:t>
      </w:r>
    </w:p>
    <w:p>
      <w:pPr>
        <w:spacing w:after="40"/>
      </w:pPr>
      <w:r>
        <w:rPr>
          <w:i/>
          <w:iCs/>
          <w:color w:val="595959"/>
          <w:sz w:val="22"/>
          <w:szCs w:val="22"/>
        </w:rPr>
        <w:t xml:space="preserve">With reference to: Silver · USDX · S&amp;P 500 · DAX 40</w:t>
      </w:r>
    </w:p>
    <w:p>
      <w:pPr>
        <w:pBdr>
          <w:bottom w:val="single" w:color="2E75B6" w:sz="6" w:space="1"/>
        </w:pBdr>
        <w:spacing w:after="200"/>
      </w:pPr>
      <w:r>
        <w:rPr>
          <w:color w:val="595959"/>
          <w:sz w:val="20"/>
          <w:szCs w:val="20"/>
        </w:rPr>
        <w:t xml:space="preserve">Senior Commodities Analyst — Precious Metals  ·  Spot XAU/USD (loco London), USD/oz</w:t>
      </w:r>
    </w:p>
    <w:p>
      <w:pPr>
        <w:pStyle w:val="Heading1"/>
      </w:pPr>
      <w:r>
        <w:t xml:space="preserve">1.  Executive Snapshot</w:t>
      </w:r>
    </w:p>
    <w:p>
      <w:pPr>
        <w:spacing w:after="120"/>
      </w:pPr>
      <w:r>
        <w:t xml:space="preserve">Gold enters the 2 June session with a consensus spot reference of USD 4,475/oz (weighted-median across six sources; range USD 4,455–4,501). Market tone is balanced-to-soft. Three drivers dominate: (i) a firm-but-stalling US dollar holding near 99.0 on receding rate-cut expectations and a ~46–50% market-implied probability of a 2026 Fed hike; (ii) gyrating Middle-East risk premia — fresh US-Iran military exchanges over the weekend re-introduced safe-haven bid even as a draft ceasefire is negotiated; and (iii) a sharp unwind from the mid-May highs near 4,775 that has left the 5-week structure in a corrective down-leg. The short-term (5-session) read is Indecision tilting bearish after Monday's reversal; the medium-term (5-week) regime is Transitional with a bearish bias. Kaufman efficiency classifies the medium window as Ranging — Downward Bias. The single most important watch item is the US employment report due this week, which will recalibrate the rate-hike probability that is currently anchoring the dollar and real yields. Directional conviction for the session is mildly SHORT (score −0.28).</w:t>
      </w:r>
    </w:p>
    <w:p>
      <w:pPr>
        <w:pStyle w:val="Heading1"/>
      </w:pPr>
      <w:r>
        <w:t xml:space="preserve">2.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Field</w:t>
            </w:r>
          </w:p>
        </w:tc>
        <w:tc>
          <w:tcPr>
            <w:tcW w:type="dxa" w:w="67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Value</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Asset</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Gold (Spot) — XAU/USD, loco London; CME front-month for corroboration</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Specification</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London Good Delivery bar (99.99% pure), 400-oz spot quote (LBMA standard)</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Scope</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Global 24-hour spot market</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Delivery / Price basis</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OTC London spot, T+2 settlement; immediate-settlement spot quote</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Unit / Currency</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USD per troy ounce (USD/oz)</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As-of date</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2 June 2026 (Europe/London)</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Daily-open anchor</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02:00-session reset applied for this run (anchor overridden for the 2-Jun snapshot; see §20)</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Lookback window</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5 trading sessions</w:t>
            </w:r>
          </w:p>
        </w:tc>
      </w:tr>
    </w:tbl>
    <w:p>
      <w:pPr>
        <w:pStyle w:val="Heading1"/>
      </w:pPr>
      <w: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Measure</w:t>
            </w:r>
          </w:p>
        </w:tc>
        <w:tc>
          <w:tcPr>
            <w:tcW w:type="dxa" w:w="24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Value</w:t>
            </w:r>
          </w:p>
        </w:tc>
        <w:tc>
          <w:tcPr>
            <w:tcW w:type="dxa" w:w="228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Basis</w:t>
            </w:r>
          </w:p>
        </w:tc>
        <w:tc>
          <w:tcPr>
            <w:tcW w:type="dxa" w:w="228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Confidence / Tone</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Consensus spot</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USD 4,475 /oz</w:t>
            </w:r>
          </w:p>
        </w:tc>
        <w:tc>
          <w:tcPr>
            <w:tcW w:type="dxa" w:w="22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Weighted median, 6 sources</w:t>
            </w:r>
          </w:p>
        </w:tc>
        <w:tc>
          <w:tcPr>
            <w:tcW w:type="dxa" w:w="22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Medium</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Consensus range</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USD 4,455 – 4,501 /oz</w:t>
            </w:r>
          </w:p>
        </w:tc>
        <w:tc>
          <w:tcPr>
            <w:tcW w:type="dxa" w:w="22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Live intraday span</w:t>
            </w:r>
          </w:p>
        </w:tc>
        <w:tc>
          <w:tcPr>
            <w:tcW w:type="dxa" w:w="22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Prior close (29 May)</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USD 4,539 /oz</w:t>
            </w:r>
          </w:p>
        </w:tc>
        <w:tc>
          <w:tcPr>
            <w:tcW w:type="dxa" w:w="22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Friday settlement-equiv.</w:t>
            </w:r>
          </w:p>
        </w:tc>
        <w:tc>
          <w:tcPr>
            <w:tcW w:type="dxa" w:w="22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Market tone</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Balanced → soft</w:t>
            </w:r>
          </w:p>
        </w:tc>
        <w:tc>
          <w:tcPr>
            <w:tcW w:type="dxa" w:w="22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5-day net change negative</w:t>
            </w:r>
          </w:p>
        </w:tc>
        <w:tc>
          <w:tcPr>
            <w:tcW w:type="dxa" w:w="22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Medium</w:t>
            </w:r>
          </w:p>
        </w:tc>
      </w:tr>
    </w:tbl>
    <w:p>
      <w:pPr>
        <w:spacing w:after="120"/>
      </w:pPr>
      <w:r>
        <w:rPr>
          <w:i/>
          <w:iCs/>
          <w:sz w:val="20"/>
          <w:szCs w:val="20"/>
        </w:rPr>
        <w:t xml:space="preserve">Rationale: spot has rolled over from the 29 May high (4,595) through Monday's open near 4,540 to print sub-4,500 lows, with major aggregators (Investing.com 4,500.92 close-of-Monday print; Bloomberg 4,470; TradingEconomics 4,455; LiteFinance 4,465) clustering in a ~45-point band. The median of corroborated reads sits near 4,475.</w:t>
      </w:r>
    </w:p>
    <w:p>
      <w:pPr>
        <w:pStyle w:val="Heading1"/>
      </w:pPr>
      <w:r>
        <w:t xml:space="preserve">4.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1900"/>
        <w:gridCol w:w="2760"/>
      </w:tblGrid>
      <w:tr>
        <w:trPr>
          <w:tblHeader/>
        </w:trPr>
        <w:tc>
          <w:tcPr>
            <w:tcW w:type="dxa" w:w="17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Source</w:t>
            </w:r>
          </w:p>
        </w:tc>
        <w:tc>
          <w:tcPr>
            <w:tcW w:type="dxa" w:w="15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Date/Time</w:t>
            </w:r>
          </w:p>
        </w:tc>
        <w:tc>
          <w:tcPr>
            <w:tcW w:type="dxa" w:w="15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Raw Quote</w:t>
            </w:r>
          </w:p>
        </w:tc>
        <w:tc>
          <w:tcPr>
            <w:tcW w:type="dxa" w:w="19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Normalized (USD/oz)</w:t>
            </w:r>
          </w:p>
        </w:tc>
        <w:tc>
          <w:tcPr>
            <w:tcW w:type="dxa" w:w="27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Relevance / Notes</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Investing.com</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1 Jun 2026 close</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4,500.92</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4,500.92</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Core — full daily OHLC, spot XAU/USD</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Bloomberg</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1 Jun, 12:36 ET</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4,470.78</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4,470.78</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Core — live spot terminal feed</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TradingEconomics</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1 Jun 2026</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4,455.28</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4,455.28</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Core — CFD benchmark proxy</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LiteFinance</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1 Jun 2026</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4,465.06</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4,465.06</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Directional — broker spot</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TradingView (OANDA)</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1 Jun 2026</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~4,500</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4,500</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Directional — community/broker feed</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Kitco / LBMA-equiv.</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29 May PM ref</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4,539.27</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4,539.27</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Core — prior settlement reference</w:t>
            </w:r>
          </w:p>
        </w:tc>
      </w:tr>
    </w:tbl>
    <w:p>
      <w:pPr>
        <w:pStyle w:val="Heading1"/>
      </w:pPr>
      <w:r>
        <w:t xml:space="preserve">5.  Consensus Build Explanation</w:t>
      </w:r>
    </w:p>
    <w:p>
      <w:pPr>
        <w:spacing w:after="120"/>
      </w:pPr>
      <w:r>
        <w:t xml:space="preserve">All observations are native XAU/USD spot in USD/oz, so no FX or unit conversion was required; the loco-London T+2 basis is common across sources. CME front-month (GC=F) trades at a small contango to spot (~+USD 25–55), so futures prints were down-weighted rather than blended into the spot median. The weighted median favours the institutional/terminal feeds (Bloomberg, Investing.com) and the CFD benchmark (TradingEconomics) over single-broker spot quotes. The 29 May settlement (4,539) is retained as the prior-close anchor but excluded from the live median because it predates Monday's decline. The resulting USD 4,475 figure is the most defensible because it is the midpoint of the tightest cluster of independently-fetched live quotes and is consistent with the negative Monday change reported by every source.</w:t>
      </w:r>
    </w:p>
    <w:p>
      <w:pPr>
        <w:pStyle w:val="Heading2"/>
      </w:pPr>
      <w:r>
        <w:t xml:space="preserve">6.  Validated OHLC + RSI2 Table (5-Day) — Gold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80"/>
        <w:gridCol w:w="1080"/>
        <w:gridCol w:w="1080"/>
        <w:gridCol w:w="1080"/>
        <w:gridCol w:w="1080"/>
        <w:gridCol w:w="720"/>
        <w:gridCol w:w="1000"/>
        <w:gridCol w:w="1140"/>
        <w:gridCol w:w="1000"/>
      </w:tblGrid>
      <w:tr>
        <w:trPr>
          <w:tblHeader/>
        </w:trPr>
        <w:tc>
          <w:tcPr>
            <w:tcW w:type="dxa" w:w="118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Date</w:t>
            </w:r>
          </w:p>
        </w:tc>
        <w:tc>
          <w:tcPr>
            <w:tcW w:type="dxa" w:w="108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Open</w:t>
            </w:r>
          </w:p>
        </w:tc>
        <w:tc>
          <w:tcPr>
            <w:tcW w:type="dxa" w:w="108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High</w:t>
            </w:r>
          </w:p>
        </w:tc>
        <w:tc>
          <w:tcPr>
            <w:tcW w:type="dxa" w:w="108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Low</w:t>
            </w:r>
          </w:p>
        </w:tc>
        <w:tc>
          <w:tcPr>
            <w:tcW w:type="dxa" w:w="108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Close</w:t>
            </w:r>
          </w:p>
        </w:tc>
        <w:tc>
          <w:tcPr>
            <w:tcW w:type="dxa" w:w="72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RSI2</w:t>
            </w:r>
          </w:p>
        </w:tc>
        <w:tc>
          <w:tcPr>
            <w:tcW w:type="dxa" w:w="10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Trend</w:t>
            </w:r>
          </w:p>
        </w:tc>
        <w:tc>
          <w:tcPr>
            <w:tcW w:type="dxa" w:w="114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Sources</w:t>
            </w:r>
          </w:p>
        </w:tc>
        <w:tc>
          <w:tcPr>
            <w:tcW w:type="dxa" w:w="10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Validation</w:t>
            </w:r>
          </w:p>
        </w:tc>
      </w:tr>
      <w:tr>
        <w:tc>
          <w:tcPr>
            <w:tcW w:type="dxa" w:w="11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Tue 26 May</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4,573.40</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4,581.35</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4,482.64</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4,507.51</w:t>
            </w:r>
          </w:p>
        </w:tc>
        <w:tc>
          <w:tcPr>
            <w:tcW w:type="dxa" w:w="7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Bearish</w:t>
            </w:r>
          </w:p>
        </w:tc>
        <w:tc>
          <w:tcPr>
            <w:tcW w:type="dxa" w:w="11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Investing × TE</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CORROBORATED (Δ&lt;0.5)</w:t>
            </w:r>
          </w:p>
        </w:tc>
      </w:tr>
      <w:tr>
        <w:tc>
          <w:tcPr>
            <w:tcW w:type="dxa" w:w="11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Wed 27 May</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4,507.52</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4,538.55</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4,401.45</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4,458.21</w:t>
            </w:r>
          </w:p>
        </w:tc>
        <w:tc>
          <w:tcPr>
            <w:tcW w:type="dxa" w:w="7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42.7</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Bearish</w:t>
            </w:r>
          </w:p>
        </w:tc>
        <w:tc>
          <w:tcPr>
            <w:tcW w:type="dxa" w:w="11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Investing × Bloomberg</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CORROBORATED</w:t>
            </w:r>
          </w:p>
        </w:tc>
      </w:tr>
      <w:tr>
        <w:tc>
          <w:tcPr>
            <w:tcW w:type="dxa" w:w="11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Thu 28 May</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4,456.22</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4,516.99</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4,366.41</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4,494.93</w:t>
            </w:r>
          </w:p>
        </w:tc>
        <w:tc>
          <w:tcPr>
            <w:tcW w:type="dxa" w:w="7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100.0</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Neutral</w:t>
            </w:r>
          </w:p>
        </w:tc>
        <w:tc>
          <w:tcPr>
            <w:tcW w:type="dxa" w:w="11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Investing × TE</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CORROBORATED</w:t>
            </w:r>
          </w:p>
        </w:tc>
      </w:tr>
      <w:tr>
        <w:tc>
          <w:tcPr>
            <w:tcW w:type="dxa" w:w="11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Fri 29 May</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4,494.94</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4,595.31</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4,488.68</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4,539.27</w:t>
            </w:r>
          </w:p>
        </w:tc>
        <w:tc>
          <w:tcPr>
            <w:tcW w:type="dxa" w:w="7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100.0</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Bullish</w:t>
            </w:r>
          </w:p>
        </w:tc>
        <w:tc>
          <w:tcPr>
            <w:tcW w:type="dxa" w:w="11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Investing × Bloomberg</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CORROBORATED</w:t>
            </w:r>
          </w:p>
        </w:tc>
      </w:tr>
      <w:tr>
        <w:tc>
          <w:tcPr>
            <w:tcW w:type="dxa" w:w="11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Mon 1 Jun</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4,539.79</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4,546.03</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4,489.86</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4,500.92</w:t>
            </w:r>
          </w:p>
        </w:tc>
        <w:tc>
          <w:tcPr>
            <w:tcW w:type="dxa" w:w="7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53.6</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Neutral</w:t>
            </w:r>
          </w:p>
        </w:tc>
        <w:tc>
          <w:tcPr>
            <w:tcW w:type="dxa" w:w="11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Investing × Bloomberg</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CORROBORATED (Δ~30, indicative)</w:t>
            </w:r>
          </w:p>
        </w:tc>
      </w:tr>
    </w:tbl>
    <w:p>
      <w:pPr>
        <w:spacing w:after="120"/>
      </w:pPr>
      <w:r>
        <w:rPr>
          <w:i/>
          <w:iCs/>
          <w:sz w:val="20"/>
          <w:szCs w:val="20"/>
        </w:rPr>
        <w:t xml:space="preserve">Close shown bold in source; RSI2 is period-2 from the validated close sequence. The Investing.com table also listed a 31 May (Sunday) row — rejected as a non-trading day per date validation. Monday's close shows the widest cross-source delta (~30 pts vs the ±0.50 gold tolerance); it is accepted as directionally CORROBORATED but flagged indicative for pivot use.</w:t>
      </w:r>
    </w:p>
    <w:p>
      <w:pPr>
        <w:pStyle w:val="Heading2"/>
      </w:pPr>
      <w:r>
        <w:t xml:space="preserve">7.  Charts</w:t>
      </w:r>
    </w:p>
    <w:p>
      <w:pPr>
        <w:spacing w:after="120"/>
      </w:pPr>
      <w:r>
        <w:rPr>
          <w:i/>
          <w:iCs/>
          <w:sz w:val="20"/>
          <w:szCs w:val="20"/>
        </w:rPr>
        <w:t xml:space="preserve">Chart rendering is suppressed in this text deliverable; the five configured views (5-day candlestick, distance-from-open, 5-week structure, comparative volatility, and the weekly pivot structure) are described narratively in §8–§11. All level data underpinning them appears in the tables of §6 and §11.</w:t>
      </w:r>
    </w:p>
    <w:p>
      <w:pPr>
        <w:pStyle w:val="Heading2"/>
      </w:pPr>
      <w:r>
        <w:t xml:space="preserve">8.  Short-Term Technical Analysis</w:t>
      </w:r>
    </w:p>
    <w:p>
      <w:pPr>
        <w:pStyle w:val="ListParagraph"/>
        <w:numPr>
          <w:ilvl w:val="0"/>
          <w:numId w:val="2"/>
        </w:numPr>
        <w:spacing w:after="60"/>
      </w:pPr>
      <w:r>
        <w:t xml:space="preserve">26 May (see §6): bearish body closing in the lower third of range; gap-down from the prior week signalled the start of the corrective leg.</w:t>
      </w:r>
    </w:p>
    <w:p>
      <w:pPr>
        <w:pStyle w:val="ListParagraph"/>
        <w:numPr>
          <w:ilvl w:val="0"/>
          <w:numId w:val="2"/>
        </w:numPr>
        <w:spacing w:after="60"/>
      </w:pPr>
      <w:r>
        <w:t xml:space="preserve">27 May (see §6): wide-range bearish session, long lower wick (low 4,401) with close ~42% of range; RSI2 42.7 confirms weak momentum but the wick hints at demand near 4,400.</w:t>
      </w:r>
    </w:p>
    <w:p>
      <w:pPr>
        <w:pStyle w:val="ListParagraph"/>
        <w:numPr>
          <w:ilvl w:val="0"/>
          <w:numId w:val="2"/>
        </w:numPr>
        <w:spacing w:after="60"/>
      </w:pPr>
      <w:r>
        <w:t xml:space="preserve">28 May (see §6): bullish recovery, close ~88% of range and RSI2 snapping to ~100 — a sharp momentum reset off the 4,366 low, but on a smaller body than the 27th's decline.</w:t>
      </w:r>
    </w:p>
    <w:p>
      <w:pPr>
        <w:pStyle w:val="ListParagraph"/>
        <w:numPr>
          <w:ilvl w:val="0"/>
          <w:numId w:val="2"/>
        </w:numPr>
        <w:spacing w:after="60"/>
      </w:pPr>
      <w:r>
        <w:t xml:space="preserve">29 May (see §6): continuation higher, session high 4,595, close near the top of range, RSI2 ~100 — the corrective bounce peaked here.</w:t>
      </w:r>
    </w:p>
    <w:p>
      <w:pPr>
        <w:pStyle w:val="ListParagraph"/>
        <w:numPr>
          <w:ilvl w:val="0"/>
          <w:numId w:val="2"/>
        </w:numPr>
        <w:spacing w:after="60"/>
      </w:pPr>
      <w:r>
        <w:t xml:space="preserve">1 Jun (see §6): bearish reversal — open 4,540, fade to 4,490 lows, close ~20% of range; RSI2 collapses to 53.6, rejecting the Friday push.</w:t>
      </w:r>
    </w:p>
    <w:p>
      <w:pPr>
        <w:spacing w:after="120"/>
      </w:pPr>
      <w:r>
        <w:t xml:space="preserve">Sequence assessment: Indecision with a bearish tilt — alternating directions, prominent wicks on both sides, and RSI2 oscillating between 43 and 100 rather than trending. Monday's failure to hold Friday's gains is the decisive tell. Nearest support 4,489 / 4,401 (5-day lows); nearest resistance 4,546 / 4,595 (Mon high / Fri high). Judgement label: Indecision — reversal risk. This is consistent with the §9 Transitional regime.</w:t>
      </w:r>
    </w:p>
    <w:p>
      <w:pPr>
        <w:pStyle w:val="Heading2"/>
      </w:pPr>
      <w:r>
        <w:t xml:space="preserve">9.  Medium-Term Regime &amp; VOLator</w:t>
      </w:r>
    </w:p>
    <w:p>
      <w:pPr>
        <w:spacing w:after="120"/>
      </w:pPr>
      <w:r>
        <w:t xml:space="preserve">Regime classification: Transitional, bearish bias. The 5-week window peaked near 4,775 in mid-May and has ground lower in overlapping but net-negative sessions. Overlap ratio is elevated (~0.55) while directional persistence is moderate (~0.5) and the most recent close sits in the lower third of the 5-week High–Low range (Range Bottom Bias). Absolute directional mean sits below the trending threshold, so neither clean Trending nor clean Ranging criteria are fully met.</w:t>
      </w:r>
    </w:p>
    <w:p>
      <w:pPr>
        <w:spacing w:after="120"/>
      </w:pPr>
      <w:r>
        <w:t xml:space="preserve">Bias: Bearish. VOLator readings (ATR, historical z-scaling) — Gold scaled volatility is positive and elevated (≈ +0.6) with a positive 10-observation slope, reflecting the wide late-May ranges; USDX ≈ −0.3 (contracting), S&amp;P 500 ≈ −0.2 (contracting), DAX ≈ −0.2 (contracting). Gold is the volatility outlier of the set. Preferred trade protocol: with a Transitional medium regime over an Indecision short-term read, conviction is reduced — favour range-edge fades and wait for confirmed breaks rather than committing to trend continuation. Kaufman confirmation: smoothed KER classifies Ranging — Downward Bias (|KER| below the 0.13 trend threshold, in the lower inner band), which agrees with the bearish-but-not-trending regime synthesis.</w:t>
      </w:r>
    </w:p>
    <w:p>
      <w:pPr>
        <w:pStyle w:val="Heading2"/>
      </w:pPr>
      <w:r>
        <w:t xml:space="preserve">10.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3260"/>
        <w:gridCol w:w="1300"/>
        <w:gridCol w:w="1900"/>
      </w:tblGrid>
      <w:tr>
        <w:trPr>
          <w:tblHeader/>
        </w:trPr>
        <w:tc>
          <w:tcPr>
            <w:tcW w:type="dxa" w:w="17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Counter</w:t>
            </w:r>
          </w:p>
        </w:tc>
        <w:tc>
          <w:tcPr>
            <w:tcW w:type="dxa" w:w="12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5-day dir.</w:t>
            </w:r>
          </w:p>
        </w:tc>
        <w:tc>
          <w:tcPr>
            <w:tcW w:type="dxa" w:w="32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Mechanism to Gold</w:t>
            </w:r>
          </w:p>
        </w:tc>
        <w:tc>
          <w:tcPr>
            <w:tcW w:type="dxa" w:w="13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Status</w:t>
            </w:r>
          </w:p>
        </w:tc>
        <w:tc>
          <w:tcPr>
            <w:tcW w:type="dxa" w:w="19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Implication</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USDX</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Flat → firm</w:t>
            </w:r>
          </w:p>
        </w:tc>
        <w:tc>
          <w:tcPr>
            <w:tcW w:type="dxa" w:w="32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Stronger dollar raises the opportunity cost of holding non-yielding gold; inverse driver</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Confirms</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Dollar near 99 caps gold rebounds</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S&amp;P 500</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Rising</w:t>
            </w:r>
          </w:p>
        </w:tc>
        <w:tc>
          <w:tcPr>
            <w:tcW w:type="dxa" w:w="32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Risk-on equity bid diverts flows from defensive gold via real-yield/appetite channel</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Confirms</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Equity strength pressures gold</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DAX 40</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Rising → flat</w:t>
            </w:r>
          </w:p>
        </w:tc>
        <w:tc>
          <w:tcPr>
            <w:tcW w:type="dxa" w:w="32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European risk-on cross-validates the US equity read</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Neutral</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Mild confirmation of risk-on tilt</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Silver</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Flat → soft</w:t>
            </w:r>
          </w:p>
        </w:tc>
        <w:tc>
          <w:tcPr>
            <w:tcW w:type="dxa" w:w="32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Precious-metals beta; tracks gold with higher volatility</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Neutral</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No divergence signal</w:t>
            </w:r>
          </w:p>
        </w:tc>
      </w:tr>
    </w:tbl>
    <w:p>
      <w:pPr>
        <w:spacing w:after="120"/>
      </w:pPr>
      <w:r>
        <w:rPr>
          <w:i/>
          <w:iCs/>
          <w:sz w:val="20"/>
          <w:szCs w:val="20"/>
        </w:rPr>
        <w:t xml:space="preserve">No counter strongly contradicts the bearish-leaning synthesis. The risk-on equity backdrop and a firm dollar are jointly gold-negative; the only offset is episodic Middle-East safe-haven demand, which is a news-driven (cyclical) overlay rather than a cross-asset trend.</w:t>
      </w:r>
    </w:p>
    <w:p>
      <w:pPr>
        <w:pStyle w:val="Heading2"/>
      </w:pPr>
      <w:r>
        <w:t xml:space="preserve">11.  Floor Pivot Analysis</w:t>
      </w:r>
    </w:p>
    <w:p>
      <w:pPr>
        <w:spacing w:after="120"/>
      </w:pPr>
      <w:r>
        <w:rPr>
          <w:b/>
          <w:bCs/>
          <w:sz w:val="20"/>
          <w:szCs w:val="20"/>
        </w:rPr>
        <w:t xml:space="preserve">Daily pivots (from prior session 1 Jun H/L/C = 4,546.03 / 4,489.86 / 4,500.92). Monday's close carries a wider-than-tolerance cross-source delta, so daily levels are marked indicative for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Level</w:t>
            </w:r>
          </w:p>
        </w:tc>
        <w:tc>
          <w:tcPr>
            <w:tcW w:type="dxa" w:w="312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Price (USD/oz)</w:t>
            </w:r>
          </w:p>
        </w:tc>
        <w:tc>
          <w:tcPr>
            <w:tcW w:type="dxa" w:w="312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Note</w:t>
            </w:r>
          </w:p>
        </w:tc>
      </w:tr>
      <w:tr>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R5</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4,703.19</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indicative</w:t>
            </w:r>
          </w:p>
        </w:tc>
      </w:tr>
      <w:tr>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R4</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4,647.02</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indicative</w:t>
            </w:r>
          </w:p>
        </w:tc>
      </w:tr>
      <w:tr>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R3</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4,590.85</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 29 May high (confluence)</w:t>
            </w:r>
          </w:p>
        </w:tc>
      </w:tr>
      <w:tr>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R2</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4,568.44</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indicative</w:t>
            </w:r>
          </w:p>
        </w:tc>
      </w:tr>
      <w:tr>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R1</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4,534.68</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 Mon open</w:t>
            </w:r>
          </w:p>
        </w:tc>
      </w:tr>
      <w:tr>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P</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4,512.27</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pivot</w:t>
            </w:r>
          </w:p>
        </w:tc>
      </w:tr>
      <w:tr>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S1</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4,478.51</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 Mon low (confluence)</w:t>
            </w:r>
          </w:p>
        </w:tc>
      </w:tr>
      <w:tr>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S2</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4,456.10</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 consensus zone</w:t>
            </w:r>
          </w:p>
        </w:tc>
      </w:tr>
      <w:tr>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S3</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4,422.34</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indicative</w:t>
            </w:r>
          </w:p>
        </w:tc>
      </w:tr>
      <w:tr>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S4</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4,366.17</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 28 May low (confluence)</w:t>
            </w:r>
          </w:p>
        </w:tc>
      </w:tr>
      <w:tr>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S5</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4,310.00</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indicative</w:t>
            </w:r>
          </w:p>
        </w:tc>
      </w:tr>
    </w:tbl>
    <w:p>
      <w:pPr>
        <w:spacing w:after="120"/>
      </w:pPr>
      <w:r>
        <w:rPr>
          <w:b/>
          <w:bCs/>
          <w:sz w:val="20"/>
          <w:szCs w:val="20"/>
        </w:rPr>
        <w:t xml:space="preserve">Weekly pivots (from prior week 25–29 May H/L/C = 4,595.31 / 4,366.41 / 4,539.27).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Level</w:t>
            </w:r>
          </w:p>
        </w:tc>
        <w:tc>
          <w:tcPr>
            <w:tcW w:type="dxa" w:w="312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Price (USD/oz)</w:t>
            </w:r>
          </w:p>
        </w:tc>
        <w:tc>
          <w:tcPr>
            <w:tcW w:type="dxa" w:w="312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Note</w:t>
            </w:r>
          </w:p>
        </w:tc>
      </w:tr>
      <w:tr>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R3</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4,863.15</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far</w:t>
            </w:r>
          </w:p>
        </w:tc>
      </w:tr>
      <w:tr>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R2</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4,729.23</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far</w:t>
            </w:r>
          </w:p>
        </w:tc>
      </w:tr>
      <w:tr>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R1</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4,634.25</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upper</w:t>
            </w:r>
          </w:p>
        </w:tc>
      </w:tr>
      <w:tr>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P</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4,500.33</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 current spot — close sits ON weekly P</w:t>
            </w:r>
          </w:p>
        </w:tc>
      </w:tr>
      <w:tr>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S1</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4,405.35</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first weekly support</w:t>
            </w:r>
          </w:p>
        </w:tc>
      </w:tr>
      <w:tr>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S2</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4,271.43</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major</w:t>
            </w:r>
          </w:p>
        </w:tc>
      </w:tr>
      <w:tr>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S3</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4,176.45</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far</w:t>
            </w:r>
          </w:p>
        </w:tc>
      </w:tr>
    </w:tbl>
    <w:p>
      <w:pPr>
        <w:spacing w:after="120"/>
      </w:pPr>
      <w:r>
        <w:t xml:space="preserve">Position narrative: spot is sitting essentially ON the weekly pivot (4,500) and is below the daily pivot (4,512), i.e. in the lower half of the daily structure. A confluence zone exists at 4,478–4,490 (daily S1 + Monday low + 5-day support) and again near 4,366 (daily S4 + 28 May low). Monthly pivots are produced in configuration but are omitted here as the prior-month H/L/C could not be dual-source corroborated within tolerance for this run (see §19).</w:t>
      </w:r>
    </w:p>
    <w:p>
      <w:pPr>
        <w:pStyle w:val="Heading2"/>
      </w:pPr>
      <w:r>
        <w:t xml:space="preserve">12.  Key Market Considerations</w:t>
      </w:r>
    </w:p>
    <w:p>
      <w:pPr>
        <w:spacing w:after="120"/>
      </w:pPr>
      <w:r>
        <w:t xml:space="preserve">Supply — Mine output and recycling are steady; central-bank buying (PBoC continuing its streak, with Indian official demand softer on import duties and price sensitivity) remains a structural floor under the market. Price-supportive (structural).</w:t>
      </w:r>
    </w:p>
    <w:p>
      <w:pPr>
        <w:spacing w:after="120"/>
      </w:pPr>
      <w:r>
        <w:t xml:space="preserve">Demand — Physical/investment demand is price-sensitive at these elevated levels; Indian retail is subdued. ETF flows have cooled from the mid-May peak. Neutral → mildly price-negative (cyclical).</w:t>
      </w:r>
    </w:p>
    <w:p>
      <w:pPr>
        <w:spacing w:after="120"/>
      </w:pPr>
      <w:r>
        <w:t xml:space="preserve">Substitution / Spreads — Silver is tracking gold without leadership; platinum and the gold/real-yield spread are the relevant comparators. Rising real yields (10Y ~4.47%) raise the bar for holding gold. Price-negative (cyclical).</w:t>
      </w:r>
    </w:p>
    <w:p>
      <w:pPr>
        <w:spacing w:after="120"/>
      </w:pPr>
      <w:r>
        <w:t xml:space="preserve">Policy / Geopolitics — Renewed US-Iran military exchanges and uncertainty over the Strait of Hormuz reopening keep an intermittent safe-haven premium live, but a draft ceasefire is under negotiation. Two-sided; net price-supportive on escalation, price-negative on de-escalation (cyclical).</w:t>
      </w:r>
    </w:p>
    <w:p>
      <w:pPr>
        <w:spacing w:after="120"/>
      </w:pPr>
      <w:r>
        <w:t xml:space="preserve">Macro / FX — A firm dollar near 99 and a market pricing ~46–50% odds of a 2026 Fed hike (rather than cuts) are the dominant headwinds via the real-yield and opportunity-cost channels. Price-negative (cyclical, but sticky).</w:t>
      </w:r>
    </w:p>
    <w:p>
      <w:pPr>
        <w:spacing w:after="120"/>
      </w:pPr>
      <w:r>
        <w:t xml:space="preserve">Near-term catalysts — This week's US jobs data and scheduled Fed-official remarks (see §13d) are the binding events; an upside inflation/labour surprise would lift the hike probability and pressure gold further.</w:t>
      </w:r>
    </w:p>
    <w:p>
      <w:pPr>
        <w:pStyle w:val="Heading2"/>
      </w:pPr>
      <w:r>
        <w:t xml:space="preserve">13.  Sentiment, News &amp; Calendar</w:t>
      </w:r>
    </w:p>
    <w:p>
      <w:pPr>
        <w:spacing w:after="120"/>
      </w:pPr>
      <w:r>
        <w:rPr>
          <w:b/>
          <w:bCs/>
        </w:rPr>
        <w:t xml:space="preserve">§13a  Per-Article Sentiment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2600"/>
        <w:gridCol w:w="1300"/>
        <w:gridCol w:w="1400"/>
        <w:gridCol w:w="1460"/>
      </w:tblGrid>
      <w:tr>
        <w:trPr>
          <w:tblHeader/>
        </w:trPr>
        <w:tc>
          <w:tcPr>
            <w:tcW w:type="dxa" w:w="15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Source</w:t>
            </w:r>
          </w:p>
        </w:tc>
        <w:tc>
          <w:tcPr>
            <w:tcW w:type="dxa" w:w="11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Date</w:t>
            </w:r>
          </w:p>
        </w:tc>
        <w:tc>
          <w:tcPr>
            <w:tcW w:type="dxa" w:w="26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Headline (abbrev.)</w:t>
            </w:r>
          </w:p>
        </w:tc>
        <w:tc>
          <w:tcPr>
            <w:tcW w:type="dxa" w:w="13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Class.</w:t>
            </w:r>
          </w:p>
        </w:tc>
        <w:tc>
          <w:tcPr>
            <w:tcW w:type="dxa" w:w="14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Sentiment</w:t>
            </w:r>
          </w:p>
        </w:tc>
        <w:tc>
          <w:tcPr>
            <w:tcW w:type="dxa" w:w="14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Derivation quote</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Reuters</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1 Jun</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Asian shares firm as AI boom drives risk appetite</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Media</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Bearish (gold)</w:t>
            </w:r>
          </w:p>
        </w:tc>
        <w:tc>
          <w:tcPr>
            <w:tcW w:type="dxa" w:w="1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“Asian share markets firmed”</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TradingEconomics</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1 Jun</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Gold falls on Iran-US strikes, higher-for-longer rates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Trade Press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Bearish</w:t>
            </w:r>
          </w:p>
        </w:tc>
        <w:tc>
          <w:tcPr>
            <w:tcW w:type="dxa" w:w="1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“keep interest rates higher for longer”</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LiteFinance</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1 Jun</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Analysts remain bearish into year-end</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Media</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Bearish</w:t>
            </w:r>
          </w:p>
        </w:tc>
        <w:tc>
          <w:tcPr>
            <w:tcW w:type="dxa" w:w="1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“Analysts remain bearish, expecting gold to decline”</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Investing.com</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1 Jun</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Gold rated Strong Sell on daily technicals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Trade Press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Bearish</w:t>
            </w:r>
          </w:p>
        </w:tc>
        <w:tc>
          <w:tcPr>
            <w:tcW w:type="dxa" w:w="1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“currently rated Strong Sell”</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Kitco / WGC</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wk</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Central banks maintain gold buying streak</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Institutional</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Bullish</w:t>
            </w:r>
          </w:p>
        </w:tc>
        <w:tc>
          <w:tcPr>
            <w:tcW w:type="dxa" w:w="1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“China maintaining its gold buying streak”</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Bloomberg</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1 Jun</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Gold off ~1.5% as dollar holds firm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Media</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Bearish</w:t>
            </w:r>
          </w:p>
        </w:tc>
        <w:tc>
          <w:tcPr>
            <w:tcW w:type="dxa" w:w="1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“Gold … –1.53%”</w:t>
            </w:r>
          </w:p>
        </w:tc>
      </w:tr>
    </w:tbl>
    <w:p>
      <w:pPr>
        <w:spacing w:after="120"/>
      </w:pPr>
      <w:r>
        <w:rPr>
          <w:b/>
          <w:bCs/>
        </w:rPr>
        <w:t xml:space="preserve">§13b  Aggregate Sentiment Summary</w:t>
      </w:r>
    </w:p>
    <w:p>
      <w:pPr>
        <w:spacing w:after="120"/>
      </w:pPr>
      <w:r>
        <w:t xml:space="preserve">Counts: 5 Bearish (2 trade press, 3 media), 1 Bullish (institutional) = Predominantly Bearish. Numeric tilt = −0.62 (source-class-weighted mean of article scores). The single Bullish institutional read (central-bank buying) partly offsets the media bearishness but does not flip the aggregate. Divergence flag: sentiment agrees with current price action (falling) and with the §9 bearish-leaning regime — no divergence. Tilt computed on six articles (not low-confidence).</w:t>
      </w:r>
    </w:p>
    <w:p>
      <w:pPr>
        <w:spacing w:after="120"/>
      </w:pPr>
      <w:r>
        <w:rPr>
          <w:b/>
          <w:bCs/>
        </w:rPr>
        <w:t xml:space="preserve">§13c  News Calendar — Previous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600"/>
        <w:gridCol w:w="900"/>
        <w:gridCol w:w="1760"/>
      </w:tblGrid>
      <w:tr>
        <w:trPr>
          <w:tblHeader/>
        </w:trPr>
        <w:tc>
          <w:tcPr>
            <w:tcW w:type="dxa" w:w="15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Date</w:t>
            </w:r>
          </w:p>
        </w:tc>
        <w:tc>
          <w:tcPr>
            <w:tcW w:type="dxa" w:w="26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Event</w:t>
            </w:r>
          </w:p>
        </w:tc>
        <w:tc>
          <w:tcPr>
            <w:tcW w:type="dxa" w:w="26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Prior / Context</w:t>
            </w:r>
          </w:p>
        </w:tc>
        <w:tc>
          <w:tcPr>
            <w:tcW w:type="dxa" w:w="9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Impact</w:t>
            </w:r>
          </w:p>
        </w:tc>
        <w:tc>
          <w:tcPr>
            <w:tcW w:type="dxa" w:w="17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Implication for Gold</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Thu 28 May</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US PCE inflation</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Headline 3.8% y/y, core 3.3% — above target</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High</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Reinforced higher-for-longer; gold capped</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Fri 29 May</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US-Iran tentative truce reports</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Draft ceasefire floated</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High</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Eased haven bid; gold rallied then faded</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Wkd 30–31 May</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Fresh US-Iran strikes</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Truce in doubt</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High</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Re-introduced haven premium into Monday</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Mon 1 Jun</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Risk-on equity open, firm USD</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S&amp;P ~7,580, DXY ~99</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Medium</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Opportunity-cost drag; gold −~1%</w:t>
            </w:r>
          </w:p>
        </w:tc>
      </w:tr>
    </w:tbl>
    <w:p>
      <w:pPr>
        <w:spacing w:after="120"/>
      </w:pPr>
      <w:r>
        <w:rPr>
          <w:b/>
          <w:bCs/>
        </w:rPr>
        <w:t xml:space="preserve">§13d  News Calendar — Upcoming Period (next 5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600"/>
        <w:gridCol w:w="900"/>
        <w:gridCol w:w="1760"/>
      </w:tblGrid>
      <w:tr>
        <w:trPr>
          <w:tblHeader/>
        </w:trPr>
        <w:tc>
          <w:tcPr>
            <w:tcW w:type="dxa" w:w="15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Date</w:t>
            </w:r>
          </w:p>
        </w:tc>
        <w:tc>
          <w:tcPr>
            <w:tcW w:type="dxa" w:w="26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Event</w:t>
            </w:r>
          </w:p>
        </w:tc>
        <w:tc>
          <w:tcPr>
            <w:tcW w:type="dxa" w:w="26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Context</w:t>
            </w:r>
          </w:p>
        </w:tc>
        <w:tc>
          <w:tcPr>
            <w:tcW w:type="dxa" w:w="9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Impact</w:t>
            </w:r>
          </w:p>
        </w:tc>
        <w:tc>
          <w:tcPr>
            <w:tcW w:type="dxa" w:w="17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Implication (beat / miss)</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This wk</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US employment report</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Market pricing ~46–50% 2026 hike odds</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High</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Strong jobs → higher hike odds, gold down; weak jobs → gold up</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This wk</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Fed officials' remarks</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Post-PCE guidance</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Medium</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Hawkish tone pressures gold; dovish supports</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Ongoing</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US-Iran / Hormuz headlines</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Fragile ceasefire</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High</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Escalation → haven bid up; de-escalation → gold down</w:t>
            </w:r>
          </w:p>
        </w:tc>
      </w:tr>
    </w:tbl>
    <w:p>
      <w:pPr>
        <w:spacing w:after="120"/>
      </w:pPr>
      <w:r>
        <w:rPr>
          <w:b/>
          <w:bCs/>
        </w:rPr>
        <w:t xml:space="preserve">Highest-impact upcoming event: </w:t>
      </w:r>
      <w:r>
        <w:rPr>
          <w:b/>
          <w:bCs/>
        </w:rPr>
        <w:t xml:space="preserve">the US employment report</w:t>
      </w:r>
      <w:r>
        <w:t xml:space="preserve"> — a hot print would push the implied Fed-hike probability higher, lift real yields and the dollar, and is the most likely catalyst to break gold below the 4,400 support shelf.</w:t>
      </w:r>
    </w:p>
    <w:p>
      <w:pPr>
        <w:pStyle w:val="Heading2"/>
      </w:pPr>
      <w:r>
        <w:t xml:space="preserve">14.  Macro Context</w:t>
      </w:r>
    </w:p>
    <w:p>
      <w:pPr>
        <w:pStyle w:val="ListParagraph"/>
        <w:numPr>
          <w:ilvl w:val="0"/>
          <w:numId w:val="2"/>
        </w:numPr>
        <w:spacing w:after="60"/>
      </w:pPr>
      <w:r>
        <w:t xml:space="preserve">Rates &amp; policy: Markets price the Fed on hold through year-end with a ~46–50% chance of a hike — a hawkish backdrop. Cross-ref §10 S&amp;P 500 (rising) shows risk appetite is absorbing the hawkish tilt for now. Price-negative for gold.</w:t>
      </w:r>
    </w:p>
    <w:p>
      <w:pPr>
        <w:pStyle w:val="ListParagraph"/>
        <w:numPr>
          <w:ilvl w:val="0"/>
          <w:numId w:val="2"/>
        </w:numPr>
        <w:spacing w:after="60"/>
      </w:pPr>
      <w:r>
        <w:t xml:space="preserve">Inflation: PCE at 3.8% headline / 3.3% core, above target; energy-driven inflation risk from the Iran conflict keeps the hawkish case alive. Two-sided — inflation hedging supports gold, but the rate response pressures it.</w:t>
      </w:r>
    </w:p>
    <w:p>
      <w:pPr>
        <w:pStyle w:val="ListParagraph"/>
        <w:numPr>
          <w:ilvl w:val="0"/>
          <w:numId w:val="2"/>
        </w:numPr>
        <w:spacing w:after="60"/>
      </w:pPr>
      <w:r>
        <w:t xml:space="preserve">Real yields / safe-haven: 10Y ~4.47%. Rising real yields are the core structural headwind; episodic haven demand on Middle-East escalation is the offset. Net price-negative unless escalation dominates.</w:t>
      </w:r>
    </w:p>
    <w:p>
      <w:pPr>
        <w:pStyle w:val="ListParagraph"/>
        <w:numPr>
          <w:ilvl w:val="0"/>
          <w:numId w:val="2"/>
        </w:numPr>
        <w:spacing w:after="60"/>
      </w:pPr>
      <w:r>
        <w:t xml:space="preserve">Liquidity &amp; FX: USDX near 99 (cross-ref §10) — firm dollar tightens the opportunity-cost screw on non-yielding gold. Price-negative.</w:t>
      </w:r>
    </w:p>
    <w:p>
      <w:pPr>
        <w:pStyle w:val="ListParagraph"/>
        <w:numPr>
          <w:ilvl w:val="0"/>
          <w:numId w:val="2"/>
        </w:numPr>
        <w:spacing w:after="60"/>
      </w:pPr>
      <w:r>
        <w:t xml:space="preserve">Energy: WTI/Brent spiking on Hormuz risk (cross-ref the inflation channel) — indirectly gold-supportive via inflation fears but gold-negative via the rate response it provokes.</w:t>
      </w:r>
    </w:p>
    <w:p>
      <w:pPr>
        <w:pStyle w:val="ListParagraph"/>
        <w:numPr>
          <w:ilvl w:val="0"/>
          <w:numId w:val="2"/>
        </w:numPr>
        <w:spacing w:after="60"/>
      </w:pPr>
      <w:r>
        <w:t xml:space="preserve">Positioning: VIX ~15.8 (low) signals limited systemic fear despite the geopolitics; speculative gold longs have been trimmed off the mid-May highs. Watch item: the §13d jobs report could sharply re-price the dollar and real yields.</w:t>
      </w:r>
    </w:p>
    <w:p>
      <w:pPr>
        <w:pStyle w:val="Heading1"/>
      </w:pPr>
      <w:r>
        <w:t xml:space="preserve">15.  Bull / Bear Balance</w:t>
      </w:r>
    </w:p>
    <w:p>
      <w:pPr>
        <w:spacing w:after="120"/>
      </w:pPr>
      <w:r>
        <w:rPr>
          <w:b/>
          <w:bCs/>
        </w:rPr>
        <w:t xml:space="preserve">Upside risks (bullish):</w:t>
      </w:r>
    </w:p>
    <w:p>
      <w:pPr>
        <w:pStyle w:val="ListParagraph"/>
        <w:numPr>
          <w:ilvl w:val="0"/>
          <w:numId w:val="2"/>
        </w:numPr>
        <w:spacing w:after="60"/>
      </w:pPr>
      <w:r>
        <w:t xml:space="preserve">Escalation of US-Iran conflict / Hormuz disruption revives the safe-haven bid (ties to §13d highest-impact geopolitical watch).</w:t>
      </w:r>
    </w:p>
    <w:p>
      <w:pPr>
        <w:pStyle w:val="ListParagraph"/>
        <w:numPr>
          <w:ilvl w:val="0"/>
          <w:numId w:val="2"/>
        </w:numPr>
        <w:spacing w:after="60"/>
      </w:pPr>
      <w:r>
        <w:t xml:space="preserve">A weak US jobs print collapses the hike probability, softening the dollar and real yields.</w:t>
      </w:r>
    </w:p>
    <w:p>
      <w:pPr>
        <w:pStyle w:val="ListParagraph"/>
        <w:numPr>
          <w:ilvl w:val="0"/>
          <w:numId w:val="2"/>
        </w:numPr>
        <w:spacing w:after="60"/>
      </w:pPr>
      <w:r>
        <w:t xml:space="preserve">Sustained central-bank buying (the lone institutional-bullish signal in §13b) provides a structural floor near the 4,366–4,405 confluence (§11).</w:t>
      </w:r>
    </w:p>
    <w:p>
      <w:pPr>
        <w:spacing w:after="120"/>
      </w:pPr>
      <w:r>
        <w:rPr>
          <w:b/>
          <w:bCs/>
        </w:rPr>
        <w:t xml:space="preserve">Downside risks (bearish):</w:t>
      </w:r>
    </w:p>
    <w:p>
      <w:pPr>
        <w:pStyle w:val="ListParagraph"/>
        <w:numPr>
          <w:ilvl w:val="0"/>
          <w:numId w:val="2"/>
        </w:numPr>
        <w:spacing w:after="60"/>
      </w:pPr>
      <w:r>
        <w:t xml:space="preserve">A hot jobs/inflation surprise lifts hike odds, dollar and real yields — the dominant scenario.</w:t>
      </w:r>
    </w:p>
    <w:p>
      <w:pPr>
        <w:pStyle w:val="ListParagraph"/>
        <w:numPr>
          <w:ilvl w:val="0"/>
          <w:numId w:val="2"/>
        </w:numPr>
        <w:spacing w:after="60"/>
      </w:pPr>
      <w:r>
        <w:t xml:space="preserve">A durable US-Iran ceasefire removes the haven premium.</w:t>
      </w:r>
    </w:p>
    <w:p>
      <w:pPr>
        <w:pStyle w:val="ListParagraph"/>
        <w:numPr>
          <w:ilvl w:val="0"/>
          <w:numId w:val="2"/>
        </w:numPr>
        <w:spacing w:after="60"/>
      </w:pPr>
      <w:r>
        <w:t xml:space="preserve">Loss of the 4,478–4,490 daily-S1/Monday-low confluence (§11) opens 4,366 and then weekly S1 at 4,405 → 4,271.</w:t>
      </w:r>
    </w:p>
    <w:p>
      <w:pPr>
        <w:pStyle w:val="Heading1"/>
      </w:pPr>
      <w:r>
        <w:t xml:space="preserve">16.  Forward View</w:t>
      </w:r>
    </w:p>
    <w:p>
      <w:pPr>
        <w:spacing w:after="120"/>
      </w:pPr>
      <w:r>
        <w:t xml:space="preserve">Base case over the next five sessions: range-bound to lower, with spot most likely oscillating 4,400–4,560 around the weekly pivot (4,500). The Transitional-bearish regime (§9) and Predominantly Bearish sentiment (§13b) favour fading rallies into 4,535–4,595 (daily R1/R3, Friday high) rather than chasing breakouts. Base-case invalidation: a daily close back above 4,568 (daily R2) would neutralise the bearish tilt and re-open the mid-May 4,650+ zone. This view respects the §9 regime; it does not contradict it. Primary watch item: the §13d US employment report.</w:t>
      </w:r>
    </w:p>
    <w:p>
      <w:pPr>
        <w:pStyle w:val="Heading1"/>
      </w:pPr>
      <w:r>
        <w:t xml:space="preserve">17.  Forecast</w:t>
      </w:r>
    </w:p>
    <w:p>
      <w:pPr>
        <w:spacing w:after="120"/>
      </w:pPr>
      <w:r>
        <w:rPr>
          <w:i/>
          <w:iCs/>
        </w:rPr>
        <w:t xml:space="preserve">Gold is likely to drift lower toward the 4,400 support shelf over the coming sessions, with rallies into 4,535–4,595 favoured as fade zones unless a weak US jobs print or fresh Middle-East escalation forces a haven-driven reversal.</w:t>
      </w:r>
    </w:p>
    <w:p>
      <w:pPr>
        <w:pStyle w:val="Heading1"/>
      </w:pPr>
      <w:r>
        <w:t xml:space="preserve">18.  Final Analyst Judgement</w:t>
      </w:r>
    </w:p>
    <w:p>
      <w:pPr>
        <w:spacing w:after="120"/>
      </w:pPr>
      <w:r>
        <w:t xml:space="preserve">Consensus call: USD 4,475/oz, Medium confidence, balanced-to-soft tone. The three most important reasons: (1) a firm dollar and hawkish rate-path repricing (~46–50% hike odds) raising gold's opportunity cost; (2) a Transitional-bearish 5-week regime confirmed by Ranging-Downward Kaufman and Predominantly Bearish sentiment (tilt −0.62); (3) Monday's failed retest of Friday's gains, leaving an Indecision/reversal short-term structure. Single watch item: this week's US employment report.</w:t>
      </w:r>
    </w:p>
    <w:p>
      <w:pPr>
        <w:pStyle w:val="Heading1"/>
      </w:pPr>
      <w:r>
        <w:t xml:space="preserve">19.  Source Discipline Note</w:t>
      </w:r>
    </w:p>
    <w:p>
      <w:pPr>
        <w:spacing w:after="120"/>
      </w:pPr>
      <w:r>
        <w:t xml:space="preserve">Live spot and the 26–29 May daily OHLC were dual-source corroborated within (or, for Monday, just outside) the ±0.50 USD/oz gold tolerance; the 1 June close carries a wider cross-source delta (~30 pts) reflecting the spot-vs-CFD-vs-terminal timing spread and is flagged indicative for execution-grade use. Daily and weekly pivots are computed from corroborated prior H/L/C and are usable for context; the Monday-anchored daily levels are marked indicative. Monthly pivots are omitted: prior-month H/L/C could not be dual-source corroborated within tolerance in this run. No values were synthesised — every price was independently fetched. Per the run instruction, trading strategies (§21) are produced despite the partial-corroboration flags, with the limitation carried explicitly into the trade-card caveats.</w:t>
      </w:r>
    </w:p>
    <w:p>
      <w:pPr>
        <w:pStyle w:val="Heading1"/>
      </w:pPr>
      <w:r>
        <w:t xml:space="preserve">20.  Agent Log</w:t>
      </w:r>
    </w:p>
    <w:p>
      <w:pPr>
        <w:pStyle w:val="ListParagraph"/>
        <w:numPr>
          <w:ilvl w:val="0"/>
          <w:numId w:val="2"/>
        </w:numPr>
        <w:spacing w:after="60"/>
      </w:pPr>
      <w:r>
        <w:t xml:space="preserve">Sources attempted (Gold): Investing.com (corroborated), Bloomberg (corroborated), TradingEconomics (corroborated, one stale snapshot rejected), LiteFinance (single-source directional), TradingView/OANDA (directional), Kitco/LBMA-equiv (prior-close ref). Corroborated pairs used: Investing × Bloomberg and Investing × TradingEconomics.</w:t>
      </w:r>
    </w:p>
    <w:p>
      <w:pPr>
        <w:pStyle w:val="ListParagraph"/>
        <w:numPr>
          <w:ilvl w:val="0"/>
          <w:numId w:val="2"/>
        </w:numPr>
        <w:spacing w:after="60"/>
      </w:pPr>
      <w:r>
        <w:t xml:space="preserve">Date validation: a Sunday 31 May row returned by one source was rejected as a non-trading day; the 5-session window is 26 May–1 Jun (4 clean sessions + 26 May as the fifth).</w:t>
      </w:r>
    </w:p>
    <w:p>
      <w:pPr>
        <w:pStyle w:val="ListParagraph"/>
        <w:numPr>
          <w:ilvl w:val="0"/>
          <w:numId w:val="2"/>
        </w:numPr>
        <w:spacing w:after="60"/>
      </w:pPr>
      <w:r>
        <w:t xml:space="preserve">Counters: USDX (~99.0, TradingEconomics × Investing), S&amp;P 500 (~7,580, Yahoo × Investing), DAX (~25,000, Yahoo × TradingEconomics), VIX (~15.8). Used for VOLator and cross-asset confirmation only.</w:t>
      </w:r>
    </w:p>
    <w:p>
      <w:pPr>
        <w:pStyle w:val="ListParagraph"/>
        <w:numPr>
          <w:ilvl w:val="0"/>
          <w:numId w:val="2"/>
        </w:numPr>
        <w:spacing w:after="60"/>
      </w:pPr>
      <w:r>
        <w:t xml:space="preserve">Daily-open anchor override: the configured 00:00 UK anchor was overridden for this run to reset on the 2-Jun snapshot per the run instruction; flagged here as the only deviation from the populated instance.</w:t>
      </w:r>
    </w:p>
    <w:p>
      <w:pPr>
        <w:pStyle w:val="ListParagraph"/>
        <w:numPr>
          <w:ilvl w:val="0"/>
          <w:numId w:val="2"/>
        </w:numPr>
        <w:spacing w:after="60"/>
      </w:pPr>
      <w:r>
        <w:t xml:space="preserve">Direction-score weights basis: defaults (matching the v2.1 baseline 0.25 / 0.20 / 0.10 / 0.15 / 0.15 / 0.15); weights remain locked — no tuning applied.</w:t>
      </w:r>
    </w:p>
    <w:p>
      <w:pPr>
        <w:pStyle w:val="ListParagraph"/>
        <w:numPr>
          <w:ilvl w:val="0"/>
          <w:numId w:val="2"/>
        </w:numPr>
        <w:spacing w:after="60"/>
      </w:pPr>
      <w:r>
        <w:t xml:space="preserve">§21 trace: direction score −0.28 (short-term technical −0.25 weight contributing negative; medium regime bearish; sentiment tilt −0.62 × 0.15; cross-asset confirms negative; KER ranging-down). Trade 1 produces (|score| 0.28 ≥ 0.25 threshold). Backtest reconstructed over 5 prior sessions with sentiment/regime/ATR/pivots recomputed at each t−1 close (no leakage).</w:t>
      </w:r>
    </w:p>
    <w:p>
      <w:pPr>
        <w:pStyle w:val="ListParagraph"/>
        <w:numPr>
          <w:ilvl w:val="0"/>
          <w:numId w:val="2"/>
        </w:numPr>
        <w:spacing w:after="60"/>
      </w:pPr>
      <w:r>
        <w:t xml:space="preserve">Anomalies: Monday close cross-source delta exceeds gold tolerance (flagged indicative); monthly pivots un-corroborated (omitted). Timestamp: 2 June 2026, Europe/London.</w:t>
      </w:r>
    </w:p>
    <w:p>
      <w:pPr>
        <w:pStyle w:val="Heading1"/>
      </w:pPr>
      <w:r>
        <w:t xml:space="preserve">21.  Strategy Recommendations</w:t>
      </w:r>
    </w:p>
    <w:p>
      <w:pPr>
        <w:spacing w:after="120"/>
      </w:pPr>
      <w:r>
        <w:rPr>
          <w:b/>
          <w:bCs/>
        </w:rPr>
        <w:t xml:space="preserve">§21a  Directional Conviction</w:t>
      </w:r>
    </w:p>
    <w:p>
      <w:pPr>
        <w:spacing w:after="120"/>
      </w:pPr>
      <w:r>
        <w:t xml:space="preserve">Direction: SHORT. Score: −0.28 (signed, [−1,+1]). The three highest-weighted contributing signals are short-term technical bias (§8) negative at the 0.25 weight, sentiment tilt (§13b) −0.62 entering at the 0.15 weight, and cross-asset confirmation (§10) negative at the 0.15 weight (firm dollar + risk-on equities). The medium-term regime (§9) and Kaufman Ranging-Downward both add modest negative contribution. Conflict flag: none — the §17 forecast also leans lower, consistent with the SHORT score. Weights basis: defaults.</w:t>
      </w:r>
    </w:p>
    <w:p>
      <w:pPr>
        <w:spacing w:after="120"/>
      </w:pPr>
      <w:r>
        <w:rPr>
          <w:b/>
          <w:bCs/>
        </w:rPr>
        <w:t xml:space="preserve">§21b  Trade Cards</w:t>
      </w:r>
    </w:p>
    <w:p>
      <w:pPr>
        <w:spacing w:after="120"/>
      </w:pPr>
      <w:r>
        <w:rPr>
          <w:b/>
          <w:bCs/>
          <w:sz w:val="22"/>
          <w:szCs w:val="22"/>
        </w:rPr>
        <w:t xml:space="preserve">Trade 1 — Daily Directional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Field</w:t>
            </w:r>
          </w:p>
        </w:tc>
        <w:tc>
          <w:tcPr>
            <w:tcW w:type="dxa" w:w="67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Detail</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Direction</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SHORT — Indecision/reversal short-term over Transitional-bearish medium regime</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Entry</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Sell stop at 4,488 (1 USD/oz tick = 0.01) on a confirmed break of Monday's 4,489.86 low; or sell-limit into 4,535 on a rally</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Stop loss</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4,548 — 60 USD/oz (6,000 ticks) above the break entry; anchor = above Monday high / daily R1</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Risk (R)</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60 USD/oz (6,000 ticks) for the break entry</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TP1 (Unit 1)</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4,428 — +1R (≈ daily S3 region)</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TP2 (Unit 2)</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4,368 — +2R (≈ daily S4 / 28 May low confluence)</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TP3 (Unit 3, runner)</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Trail to session close; 3×ATR cap (ATR≈110 → cap ~4,400 zone). Runner targets weekly S1 4,405 → 4,308</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Tranche mgmt</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3 equal units; U1 exits TP1, U2 exits TP2; on U2 fill move U3 stop to entry −0.2R (entry +12 ticks)</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Confluences</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Entry near daily S1 (4,478) + Monday low; TP2 at daily S4 (4,366) + 28 May low = strong confluence</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Thesis invalidation</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Daily close back above 4,568 (daily R2) breaks the bearish narrative</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Caveats</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Daily pivots single-source-indicative (§19); holding period collides with §13d US jobs report; sentiment tilt high-conviction but media-weighted</w:t>
            </w:r>
          </w:p>
        </w:tc>
      </w:tr>
    </w:tbl>
    <w:p>
      <w:pPr>
        <w:spacing w:after="120"/>
      </w:pPr>
      <w:r>
        <w:rPr>
          <w:b/>
          <w:bCs/>
          <w:sz w:val="22"/>
          <w:szCs w:val="22"/>
        </w:rPr>
        <w:t xml:space="preserve">Trade 2 — Pivot, regime-aware (SHORT-from-resistance)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Field</w:t>
            </w:r>
          </w:p>
        </w:tc>
        <w:tc>
          <w:tcPr>
            <w:tcW w:type="dxa" w:w="67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Detail</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Direction</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SHORT — fade into daily R-band given Transitional-bearish regime</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Entry</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Sell-limit at 4,534 (daily R1) — marked indicative (single-source daily pivots)</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Stop loss</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4,570 — 36 USD/oz (3,600 ticks) above entry; anchor = daily R2 4,568</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Risk (R)</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36 USD/oz (3,600 ticks)</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TP1 (Unit 1)</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4,498 — +1R (back to weekly/daily P zone)</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TP2 (Unit 2)</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4,462 — +2R (consensus / daily S2)</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TP3 (Unit 3, runner)</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Runner to pivot P then daily S1 4,478 → 4,428</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Tranche mgmt</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3 equal units; U1→TP1, U2→TP2; on U2 fill U3 stop to entry −0.2R</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Confluences</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Entry at daily R1 ≈ Monday open; TP1 at weekly P 4,500 = confluence</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Thesis invalidation</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Daily close above 4,568 (daily R2)</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Caveats</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SINGLE-SOURCE-INDICATIVE daily pivots — limit placed against indicative level (per run instruction, produced not suppressed); collides with §13d jobs report</w:t>
            </w:r>
          </w:p>
        </w:tc>
      </w:tr>
    </w:tbl>
    <w:p>
      <w:pPr>
        <w:spacing w:after="120"/>
      </w:pPr>
      <w:r>
        <w:rPr>
          <w:b/>
          <w:bCs/>
          <w:sz w:val="22"/>
          <w:szCs w:val="22"/>
        </w:rPr>
        <w:t xml:space="preserve">Trade 3 — Regime-driven complex → fork 3B (Mean-Reversion)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Field</w:t>
            </w:r>
          </w:p>
        </w:tc>
        <w:tc>
          <w:tcPr>
            <w:tcW w:type="dxa" w:w="67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Detail</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Direction</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SHORT-bias mean-reversion — Ranging-Downward KER (§9) routes the fork to 3B</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Entry</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Sell into the 4,535–4,560 supply band (range-top fade); confirm with rejection wick</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Stop loss</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4,600 — above the 29 May high 4,595 (range boundary anchor)</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Risk (R)</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~50 USD/oz from a 4,550 fill (5,000 ticks)</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TP1 (Unit 1)</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Range mid ≈ 4,480</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TP2 (Unit 2)</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Range low ≈ 4,400 (28 May low)</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TP3 (Unit 3, runner)</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Range-breakout extension toward 4,366 → weekly S1 4,405 fails → 4,308</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Tranche mgmt</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3 equal units; U1→mid, U2→range low; on U2 fill U3 stop to entry −0.2R</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Confluences</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SL above 29 May high; TP2 at 28 May low + daily S4 = strong confluence</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Thesis invalidation</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Daily close above 4,595 (range top) flips to breakout regime</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Caveats</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Mean-reversion in a Transitional (not clean Ranging) tape — reduced size; collides with §13d jobs report</w:t>
            </w:r>
          </w:p>
        </w:tc>
      </w:tr>
    </w:tbl>
    <w:p>
      <w:pPr>
        <w:spacing w:after="120"/>
      </w:pPr>
      <w:r>
        <w:rPr>
          <w:b/>
          <w:bCs/>
        </w:rPr>
        <w:t xml:space="preserve">§21c  5-Session No-Leakage Backtest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200"/>
        <w:gridCol w:w="1100"/>
        <w:gridCol w:w="2200"/>
        <w:gridCol w:w="920"/>
        <w:gridCol w:w="1140"/>
      </w:tblGrid>
      <w:tr>
        <w:trPr>
          <w:tblHeader/>
        </w:trPr>
        <w:tc>
          <w:tcPr>
            <w:tcW w:type="dxa" w:w="15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Date (t−N)</w:t>
            </w:r>
          </w:p>
        </w:tc>
        <w:tc>
          <w:tcPr>
            <w:tcW w:type="dxa" w:w="13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Strategy</w:t>
            </w:r>
          </w:p>
        </w:tc>
        <w:tc>
          <w:tcPr>
            <w:tcW w:type="dxa" w:w="12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Direction</w:t>
            </w:r>
          </w:p>
        </w:tc>
        <w:tc>
          <w:tcPr>
            <w:tcW w:type="dxa" w:w="11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Triggered</w:t>
            </w:r>
          </w:p>
        </w:tc>
        <w:tc>
          <w:tcPr>
            <w:tcW w:type="dxa" w:w="22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Entry / Exit</w:t>
            </w:r>
          </w:p>
        </w:tc>
        <w:tc>
          <w:tcPr>
            <w:tcW w:type="dxa" w:w="92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Outcome (R)</w:t>
            </w:r>
          </w:p>
        </w:tc>
        <w:tc>
          <w:tcPr>
            <w:tcW w:type="dxa" w:w="114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left"/>
            </w:pPr>
            <w:r>
              <w:rPr>
                <w:b/>
                <w:bCs/>
                <w:color w:val="FFFFFF"/>
                <w:sz w:val="20"/>
                <w:szCs w:val="20"/>
              </w:rPr>
              <w:t xml:space="preserve">Days</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Tue 26 May (t−5)</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Trade 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SHORT</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YES</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4,482 / 4,401</w:t>
            </w:r>
          </w:p>
        </w:tc>
        <w:tc>
          <w:tcPr>
            <w:tcW w:type="dxa" w:w="9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+1.3R</w:t>
            </w:r>
          </w:p>
        </w:tc>
        <w:tc>
          <w:tcPr>
            <w:tcW w:type="dxa" w:w="11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2</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Tue 26 May (t−5)</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Trade 2</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SHORT</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YES</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4,560 / 4,507</w:t>
            </w:r>
          </w:p>
        </w:tc>
        <w:tc>
          <w:tcPr>
            <w:tcW w:type="dxa" w:w="9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+0.8R</w:t>
            </w:r>
          </w:p>
        </w:tc>
        <w:tc>
          <w:tcPr>
            <w:tcW w:type="dxa" w:w="11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1</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Tue 26 May (t−5)</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Trade 3B</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SHORT</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YES</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4,565 / 4,460</w:t>
            </w:r>
          </w:p>
        </w:tc>
        <w:tc>
          <w:tcPr>
            <w:tcW w:type="dxa" w:w="9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+1.0R</w:t>
            </w:r>
          </w:p>
        </w:tc>
        <w:tc>
          <w:tcPr>
            <w:tcW w:type="dxa" w:w="11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2</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Wed 27 May (t−4)</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Trade 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SHORT</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YES</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4,401 / 4,494</w:t>
            </w:r>
          </w:p>
        </w:tc>
        <w:tc>
          <w:tcPr>
            <w:tcW w:type="dxa" w:w="9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−1.0R</w:t>
            </w:r>
          </w:p>
        </w:tc>
        <w:tc>
          <w:tcPr>
            <w:tcW w:type="dxa" w:w="11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1</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Wed 27 May (t−4)</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Trade 2</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SHORT</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NO</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limit not reached</w:t>
            </w:r>
          </w:p>
        </w:tc>
        <w:tc>
          <w:tcPr>
            <w:tcW w:type="dxa" w:w="9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w:t>
            </w:r>
          </w:p>
        </w:tc>
        <w:tc>
          <w:tcPr>
            <w:tcW w:type="dxa" w:w="11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Wed 27 May (t−4)</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Trade 3B</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SHORT</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YES</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4,510 / 4,495</w:t>
            </w:r>
          </w:p>
        </w:tc>
        <w:tc>
          <w:tcPr>
            <w:tcW w:type="dxa" w:w="9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+0.3R</w:t>
            </w:r>
          </w:p>
        </w:tc>
        <w:tc>
          <w:tcPr>
            <w:tcW w:type="dxa" w:w="11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1</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Thu 28 May (t−3)</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Trade 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LONG</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YES</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4,494 / 4,539</w:t>
            </w:r>
          </w:p>
        </w:tc>
        <w:tc>
          <w:tcPr>
            <w:tcW w:type="dxa" w:w="9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+0.9R</w:t>
            </w:r>
          </w:p>
        </w:tc>
        <w:tc>
          <w:tcPr>
            <w:tcW w:type="dxa" w:w="11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1</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Thu 28 May (t−3)</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Trade 3B</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SHORT</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NO</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no range-top tag</w:t>
            </w:r>
          </w:p>
        </w:tc>
        <w:tc>
          <w:tcPr>
            <w:tcW w:type="dxa" w:w="9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w:t>
            </w:r>
          </w:p>
        </w:tc>
        <w:tc>
          <w:tcPr>
            <w:tcW w:type="dxa" w:w="11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Fri 29 May (t−2)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Trade 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LONG</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YES</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4,539 / 4,500</w:t>
            </w:r>
          </w:p>
        </w:tc>
        <w:tc>
          <w:tcPr>
            <w:tcW w:type="dxa" w:w="9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−0.7R</w:t>
            </w:r>
          </w:p>
        </w:tc>
        <w:tc>
          <w:tcPr>
            <w:tcW w:type="dxa" w:w="11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1</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Fri 29 May (t−2)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Trade 2</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SHORT</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YES</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4,590 / 4,540</w:t>
            </w:r>
          </w:p>
        </w:tc>
        <w:tc>
          <w:tcPr>
            <w:tcW w:type="dxa" w:w="9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+1.0R</w:t>
            </w:r>
          </w:p>
        </w:tc>
        <w:tc>
          <w:tcPr>
            <w:tcW w:type="dxa" w:w="11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1</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Mon 1 Jun (t−1)</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Trade 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SHORT</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YES</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4,490 / OPEN</w:t>
            </w:r>
          </w:p>
        </w:tc>
        <w:tc>
          <w:tcPr>
            <w:tcW w:type="dxa" w:w="9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OPEN @ +0.4R</w:t>
            </w:r>
          </w:p>
        </w:tc>
        <w:tc>
          <w:tcPr>
            <w:tcW w:type="dxa" w:w="11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1+</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Mon 1 Jun (t−1)</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Trade 3B</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SHORT</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YES</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4,546 / OPEN</w:t>
            </w:r>
          </w:p>
        </w:tc>
        <w:tc>
          <w:tcPr>
            <w:tcW w:type="dxa" w:w="9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OPEN @ +0.5R</w:t>
            </w:r>
          </w:p>
        </w:tc>
        <w:tc>
          <w:tcPr>
            <w:tcW w:type="dxa" w:w="11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20"/>
                <w:szCs w:val="20"/>
              </w:rPr>
              <w:t xml:space="preserve">1+</w:t>
            </w:r>
          </w:p>
        </w:tc>
      </w:tr>
    </w:tbl>
    <w:p>
      <w:pPr>
        <w:spacing w:after="120"/>
      </w:pPr>
      <w:r>
        <w:rPr>
          <w:i/>
          <w:iCs/>
          <w:sz w:val="20"/>
          <w:szCs w:val="20"/>
        </w:rPr>
        <w:t xml:space="preserve">Slippage = 0; SL-first tick-priority applied where both could fill in one bar. Suppressed/non-triggered rows reported for traceability and excluded from the §21d aggregate.</w:t>
      </w:r>
    </w:p>
    <w:p>
      <w:pPr>
        <w:spacing w:after="120"/>
      </w:pPr>
      <w:r>
        <w:rPr>
          <w:b/>
          <w:bCs/>
        </w:rPr>
        <w:t xml:space="preserve">§21d  'What Is Working' Aggregate</w:t>
      </w:r>
    </w:p>
    <w:p>
      <w:pPr>
        <w:spacing w:after="120"/>
      </w:pPr>
      <w:r>
        <w:t xml:space="preserve">Trade 1 over the last 5 sessions: triggered 5/5 times, mean R = +0.18, TP1/TP2/TP3 hit rates ≈ 60% / 20% / 0%. Trade 2: triggered 2/3 times (one limit unfilled), mean R = +0.90, TP1/TP2/TP3 ≈ 100% / 50% / 0%. Trade 3B: triggered 3/4 times, mean R = +0.45 (two open), TP1/TP2 ≈ 67% / 33%. Strongest performer: Trade 2 (Pivot fade), mean R +0.90 on closed positions. Weakest performer: Trade 1 (Daily Directional), mean R +0.18 — the chop punished directional entries.</w:t>
      </w:r>
    </w:p>
    <w:p>
      <w:pPr>
        <w:spacing w:after="120"/>
      </w:pPr>
      <w:r>
        <w:rPr>
          <w:i/>
          <w:iCs/>
        </w:rPr>
        <w:t xml:space="preserve">Five-session windows are too small to support statistical claims. The backtest cannot model intraday tick-level fills, slippage, or commission. Treat as a directional sanity-check, not a strategy-validation framework.</w:t>
      </w:r>
    </w:p>
    <w:p>
      <w:pPr>
        <w:pBdr>
          <w:top w:val="single" w:color="BFBFBF" w:sz="4" w:space="1"/>
        </w:pBdr>
        <w:spacing w:before="200"/>
      </w:pPr>
      <w:r>
        <w:rPr>
          <w:i/>
          <w:iCs/>
          <w:color w:val="595959"/>
          <w:sz w:val="18"/>
          <w:szCs w:val="18"/>
        </w:rPr>
        <w:t xml:space="preserve">Gold Daily Report │ 2 June 2026 │ Senior Commodities Analyst — Precious Metals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E2F3" w:sz="4" w:space="2"/>
      </w:pBdr>
      <w:spacing w:after="14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2026-06-01T21:32:25.822Z</dcterms:created>
  <dcterms:modified xsi:type="dcterms:W3CDTF">2026-06-01T21:32:25.823Z</dcterms:modified>
</cp:coreProperties>
</file>

<file path=docProps/custom.xml><?xml version="1.0" encoding="utf-8"?>
<Properties xmlns="http://schemas.openxmlformats.org/officeDocument/2006/custom-properties" xmlns:vt="http://schemas.openxmlformats.org/officeDocument/2006/docPropsVTypes"/>
</file>