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3D"/>
          <w:sz w:val="36"/>
        </w:rPr>
        <w:t>Gold Report — Daily: 03 July 2026</w:t>
      </w:r>
    </w:p>
    <w:p>
      <w:pPr>
        <w:jc w:val="center"/>
      </w:pPr>
      <w:r>
        <w:rPr>
          <w:i/>
          <w:color w:val="555555"/>
          <w:sz w:val="21"/>
        </w:rPr>
        <w:t>With reference to: Silver · USDX · S&amp;P 500 · DAX 40</w:t>
      </w:r>
    </w:p>
    <w:p>
      <w:pPr>
        <w:jc w:val="center"/>
      </w:pPr>
      <w:r>
        <w:rPr>
          <w:color w:val="555555"/>
          <w:sz w:val="18"/>
        </w:rPr>
        <w:t>Spot XAU/USD, loco London · Prepared by a Senior Commodities Analyst — Precious Metals</w:t>
      </w:r>
    </w:p>
    <w:p>
      <w:pPr>
        <w:pBdr>
          <w:bottom w:val="single" w:sz="12" w:color="9a7d0a" w:space="4"/>
        </w:pBdr>
      </w:pPr>
    </w:p>
    <w:p>
      <w:pPr>
        <w:pStyle w:val="Heading1"/>
        <w:spacing w:before="200"/>
      </w:pPr>
      <w:r>
        <w:rPr>
          <w:b/>
          <w:color w:val="1F2D3D"/>
          <w:sz w:val="28"/>
        </w:rPr>
        <w:t>1 · Executive Snapshot</w:t>
      </w:r>
    </w:p>
    <w:p>
      <w:pPr>
        <w:spacing w:after="120"/>
      </w:pPr>
      <w:r>
        <w:rPr>
          <w:b w:val="0"/>
          <w:i w:val="0"/>
          <w:sz w:val="21"/>
        </w:rPr>
        <w:t>Gold enters 03 July 2026 with a consensus spot read of approximately $4,095/oz (indicative range $4,050–$4,140), market tone balanced-to-cautiously-firm after a sharp two-session rebound off an eight-month low. Three drivers dominate: (i) a softer-than-expected US June jobs report (57k nonfarm payrolls vs ~110k consensus) that knocked September rate-hike odds back below 50% and lifted non-yielding gold; (ii) Fed Chair Kevin Warsh's Sintra remarks that inflation expectations have eased, tempering the hawkish repricing that pressured gold through May–June; and (iii) a softening US dollar off its recent one-year high. Short-term technical posture is a bullish snap-back (latest RSI2 = 100.0, close near session high — see §6); medium-term regime remains a bearish downtrend from January's ~$5,600 all-time high, with spot still beneath its 20/100/200-day moving averages. The Kaufman Efficiency Ratio classifies the tape as Trending Down — Moderate (KER = -0.22), which contradicts the two-day bounce and cautions that this is, on balance, a counter-trend rally into resistance rather than a confirmed reversal. Consolidated regime label: TRANSITION. Directional-conviction summary (§21a): net score −0.12 — below the conviction threshold, so the daily directional trade is suppressed while regime-driven pivot and complex trades still produce. Single most important watch item: whether spot can close and hold above the $4,140–$4,150 weekly-pivot/resistance shelf; failure there keeps the dominant downtrend intact.</w:t>
      </w:r>
    </w:p>
    <w:p>
      <w:pPr>
        <w:pStyle w:val="Heading1"/>
        <w:spacing w:before="200"/>
      </w:pPr>
      <w:r>
        <w:rPr>
          <w:b/>
          <w:color w:val="1F2D3D"/>
          <w:sz w:val="28"/>
        </w:rPr>
        <w:t>2 · Market Definition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2d3d"/>
          </w:tcPr>
          <w:p>
            <w:pPr>
              <w:spacing w:after="20"/>
            </w:pPr>
            <w:r>
              <w:rPr>
                <w:b/>
                <w:color w:val="FFFFFF"/>
                <w:sz w:val="17"/>
              </w:rPr>
              <w:t>Attribute</w:t>
            </w:r>
          </w:p>
        </w:tc>
        <w:tc>
          <w:tcPr>
            <w:tcW w:type="dxa" w:w="6552"/>
            <w:shd w:val="clear" w:color="auto" w:fill="1f2d3d"/>
          </w:tcPr>
          <w:p>
            <w:pPr>
              <w:spacing w:after="20"/>
            </w:pPr>
            <w:r>
              <w:rPr>
                <w:b/>
                <w:color w:val="FFFFFF"/>
                <w:sz w:val="17"/>
              </w:rPr>
              <w:t>Definition</w:t>
            </w:r>
          </w:p>
        </w:tc>
      </w:tr>
      <w:tr>
        <w:tc>
          <w:tcPr>
            <w:tcW w:type="dxa" w:w="2448"/>
          </w:tcPr>
          <w:p>
            <w:pPr>
              <w:spacing w:after="20"/>
            </w:pPr>
            <w:r>
              <w:rPr>
                <w:sz w:val="17"/>
              </w:rPr>
              <w:t>Asset</w:t>
            </w:r>
          </w:p>
        </w:tc>
        <w:tc>
          <w:tcPr>
            <w:tcW w:type="dxa" w:w="6552"/>
          </w:tcPr>
          <w:p>
            <w:pPr>
              <w:spacing w:after="20"/>
            </w:pPr>
            <w:r>
              <w:rPr>
                <w:sz w:val="17"/>
              </w:rPr>
              <w:t>Gold (XAU/USD spot); CME GC=F front-month for corroboration</w:t>
            </w:r>
          </w:p>
        </w:tc>
      </w:tr>
      <w:tr>
        <w:tc>
          <w:tcPr>
            <w:tcW w:type="dxa" w:w="2448"/>
            <w:shd w:val="clear" w:color="auto" w:fill="f2f4f6"/>
          </w:tcPr>
          <w:p>
            <w:pPr>
              <w:spacing w:after="20"/>
            </w:pPr>
            <w:r>
              <w:rPr>
                <w:sz w:val="17"/>
              </w:rPr>
              <w:t>Product specification</w:t>
            </w:r>
          </w:p>
        </w:tc>
        <w:tc>
          <w:tcPr>
            <w:tcW w:type="dxa" w:w="6552"/>
            <w:shd w:val="clear" w:color="auto" w:fill="f2f4f6"/>
          </w:tcPr>
          <w:p>
            <w:pPr>
              <w:spacing w:after="20"/>
            </w:pPr>
            <w:r>
              <w:rPr>
                <w:sz w:val="17"/>
              </w:rPr>
              <w:t>London Good Delivery bar, 99.99% pure — 400-oz spot quote (LBMA standard)</w:t>
            </w:r>
          </w:p>
        </w:tc>
      </w:tr>
      <w:tr>
        <w:tc>
          <w:tcPr>
            <w:tcW w:type="dxa" w:w="2448"/>
          </w:tcPr>
          <w:p>
            <w:pPr>
              <w:spacing w:after="20"/>
            </w:pPr>
            <w:r>
              <w:rPr>
                <w:sz w:val="17"/>
              </w:rPr>
              <w:t>Scope</w:t>
            </w:r>
          </w:p>
        </w:tc>
        <w:tc>
          <w:tcPr>
            <w:tcW w:type="dxa" w:w="6552"/>
          </w:tcPr>
          <w:p>
            <w:pPr>
              <w:spacing w:after="20"/>
            </w:pPr>
            <w:r>
              <w:rPr>
                <w:sz w:val="17"/>
              </w:rPr>
              <w:t>Global 24-hour market (London OTC, COMEX, Singapore, Shanghai SGE)</w:t>
            </w:r>
          </w:p>
        </w:tc>
      </w:tr>
      <w:tr>
        <w:tc>
          <w:tcPr>
            <w:tcW w:type="dxa" w:w="2448"/>
            <w:shd w:val="clear" w:color="auto" w:fill="f2f4f6"/>
          </w:tcPr>
          <w:p>
            <w:pPr>
              <w:spacing w:after="20"/>
            </w:pPr>
            <w:r>
              <w:rPr>
                <w:sz w:val="17"/>
              </w:rPr>
              <w:t>Price basis</w:t>
            </w:r>
          </w:p>
        </w:tc>
        <w:tc>
          <w:tcPr>
            <w:tcW w:type="dxa" w:w="6552"/>
            <w:shd w:val="clear" w:color="auto" w:fill="f2f4f6"/>
          </w:tcPr>
          <w:p>
            <w:pPr>
              <w:spacing w:after="20"/>
            </w:pPr>
            <w:r>
              <w:rPr>
                <w:sz w:val="17"/>
              </w:rPr>
              <w:t>Spot, immediate settlement, loco London</w:t>
            </w:r>
          </w:p>
        </w:tc>
      </w:tr>
      <w:tr>
        <w:tc>
          <w:tcPr>
            <w:tcW w:type="dxa" w:w="2448"/>
          </w:tcPr>
          <w:p>
            <w:pPr>
              <w:spacing w:after="20"/>
            </w:pPr>
            <w:r>
              <w:rPr>
                <w:sz w:val="17"/>
              </w:rPr>
              <w:t>Delivery basis</w:t>
            </w:r>
          </w:p>
        </w:tc>
        <w:tc>
          <w:tcPr>
            <w:tcW w:type="dxa" w:w="6552"/>
          </w:tcPr>
          <w:p>
            <w:pPr>
              <w:spacing w:after="20"/>
            </w:pPr>
            <w:r>
              <w:rPr>
                <w:sz w:val="17"/>
              </w:rPr>
              <w:t>OTC London spot, T+2 settlement</w:t>
            </w:r>
          </w:p>
        </w:tc>
      </w:tr>
      <w:tr>
        <w:tc>
          <w:tcPr>
            <w:tcW w:type="dxa" w:w="2448"/>
            <w:shd w:val="clear" w:color="auto" w:fill="f2f4f6"/>
          </w:tcPr>
          <w:p>
            <w:pPr>
              <w:spacing w:after="20"/>
            </w:pPr>
            <w:r>
              <w:rPr>
                <w:sz w:val="17"/>
              </w:rPr>
              <w:t>Unit / Currency</w:t>
            </w:r>
          </w:p>
        </w:tc>
        <w:tc>
          <w:tcPr>
            <w:tcW w:type="dxa" w:w="6552"/>
            <w:shd w:val="clear" w:color="auto" w:fill="f2f4f6"/>
          </w:tcPr>
          <w:p>
            <w:pPr>
              <w:spacing w:after="20"/>
            </w:pPr>
            <w:r>
              <w:rPr>
                <w:sz w:val="17"/>
              </w:rPr>
              <w:t>USD per troy ounce (USD/oz) / USD</w:t>
            </w:r>
          </w:p>
        </w:tc>
      </w:tr>
      <w:tr>
        <w:tc>
          <w:tcPr>
            <w:tcW w:type="dxa" w:w="2448"/>
          </w:tcPr>
          <w:p>
            <w:pPr>
              <w:spacing w:after="20"/>
            </w:pPr>
            <w:r>
              <w:rPr>
                <w:sz w:val="17"/>
              </w:rPr>
              <w:t>As-of date / timezone</w:t>
            </w:r>
          </w:p>
        </w:tc>
        <w:tc>
          <w:tcPr>
            <w:tcW w:type="dxa" w:w="6552"/>
          </w:tcPr>
          <w:p>
            <w:pPr>
              <w:spacing w:after="20"/>
            </w:pPr>
            <w:r>
              <w:rPr>
                <w:sz w:val="17"/>
              </w:rPr>
              <w:t>03 July 2026 · Europe/London (last completed session Thu 02 Jul 2026)</w:t>
            </w:r>
          </w:p>
        </w:tc>
      </w:tr>
      <w:tr>
        <w:tc>
          <w:tcPr>
            <w:tcW w:type="dxa" w:w="2448"/>
            <w:shd w:val="clear" w:color="auto" w:fill="f2f4f6"/>
          </w:tcPr>
          <w:p>
            <w:pPr>
              <w:spacing w:after="20"/>
            </w:pPr>
            <w:r>
              <w:rPr>
                <w:sz w:val="17"/>
              </w:rPr>
              <w:t>Lookback window</w:t>
            </w:r>
          </w:p>
        </w:tc>
        <w:tc>
          <w:tcPr>
            <w:tcW w:type="dxa" w:w="6552"/>
            <w:shd w:val="clear" w:color="auto" w:fill="f2f4f6"/>
          </w:tcPr>
          <w:p>
            <w:pPr>
              <w:spacing w:after="20"/>
            </w:pPr>
            <w:r>
              <w:rPr>
                <w:sz w:val="17"/>
              </w:rPr>
              <w:t>5 sessions (execution block); 25 sessions (regime block)</w:t>
            </w:r>
          </w:p>
        </w:tc>
      </w:tr>
    </w:tbl>
    <w:p>
      <w:pPr>
        <w:pStyle w:val="Heading1"/>
        <w:spacing w:before="200"/>
      </w:pPr>
      <w:r>
        <w:rPr>
          <w:b/>
          <w:color w:val="1F2D3D"/>
          <w:sz w:val="28"/>
        </w:rPr>
        <w:t>3 · Consensus Price Call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val="clear" w:color="auto" w:fill="1f2d3d"/>
          </w:tcPr>
          <w:p>
            <w:pPr>
              <w:spacing w:after="20"/>
            </w:pPr>
            <w:r>
              <w:rPr>
                <w:b/>
                <w:color w:val="FFFFFF"/>
                <w:sz w:val="16"/>
              </w:rPr>
              <w:t>Consensus</w:t>
            </w:r>
          </w:p>
        </w:tc>
        <w:tc>
          <w:tcPr>
            <w:tcW w:type="dxa" w:w="1440"/>
            <w:shd w:val="clear" w:color="auto" w:fill="1f2d3d"/>
          </w:tcPr>
          <w:p>
            <w:pPr>
              <w:spacing w:after="20"/>
            </w:pPr>
            <w:r>
              <w:rPr>
                <w:b/>
                <w:color w:val="FFFFFF"/>
                <w:sz w:val="16"/>
              </w:rPr>
              <w:t>Range</w:t>
            </w:r>
          </w:p>
        </w:tc>
        <w:tc>
          <w:tcPr>
            <w:tcW w:type="dxa" w:w="1584"/>
            <w:shd w:val="clear" w:color="auto" w:fill="1f2d3d"/>
          </w:tcPr>
          <w:p>
            <w:pPr>
              <w:spacing w:after="20"/>
            </w:pPr>
            <w:r>
              <w:rPr>
                <w:b/>
                <w:color w:val="FFFFFF"/>
                <w:sz w:val="16"/>
              </w:rPr>
              <w:t>Basis</w:t>
            </w:r>
          </w:p>
        </w:tc>
        <w:tc>
          <w:tcPr>
            <w:tcW w:type="dxa" w:w="1296"/>
            <w:shd w:val="clear" w:color="auto" w:fill="1f2d3d"/>
          </w:tcPr>
          <w:p>
            <w:pPr>
              <w:spacing w:after="20"/>
            </w:pPr>
            <w:r>
              <w:rPr>
                <w:b/>
                <w:color w:val="FFFFFF"/>
                <w:sz w:val="16"/>
              </w:rPr>
              <w:t>Confidence</w:t>
            </w:r>
          </w:p>
        </w:tc>
        <w:tc>
          <w:tcPr>
            <w:tcW w:type="dxa" w:w="1296"/>
            <w:shd w:val="clear" w:color="auto" w:fill="1f2d3d"/>
          </w:tcPr>
          <w:p>
            <w:pPr>
              <w:spacing w:after="20"/>
            </w:pPr>
            <w:r>
              <w:rPr>
                <w:b/>
                <w:color w:val="FFFFFF"/>
                <w:sz w:val="16"/>
              </w:rPr>
              <w:t>Tone</w:t>
            </w:r>
          </w:p>
        </w:tc>
        <w:tc>
          <w:tcPr>
            <w:tcW w:type="dxa" w:w="2088"/>
            <w:shd w:val="clear" w:color="auto" w:fill="1f2d3d"/>
          </w:tcPr>
          <w:p>
            <w:pPr>
              <w:spacing w:after="20"/>
            </w:pPr>
            <w:r>
              <w:rPr>
                <w:b/>
                <w:color w:val="FFFFFF"/>
                <w:sz w:val="16"/>
              </w:rPr>
              <w:t>Rationale</w:t>
            </w:r>
          </w:p>
        </w:tc>
      </w:tr>
      <w:tr>
        <w:tc>
          <w:tcPr>
            <w:tcW w:type="dxa" w:w="1296"/>
          </w:tcPr>
          <w:p>
            <w:pPr>
              <w:spacing w:after="20"/>
            </w:pPr>
            <w:r>
              <w:rPr>
                <w:sz w:val="16"/>
              </w:rPr>
              <w:t>$4,095/oz</w:t>
            </w:r>
          </w:p>
        </w:tc>
        <w:tc>
          <w:tcPr>
            <w:tcW w:type="dxa" w:w="1440"/>
          </w:tcPr>
          <w:p>
            <w:pPr>
              <w:spacing w:after="20"/>
            </w:pPr>
            <w:r>
              <w:rPr>
                <w:sz w:val="16"/>
              </w:rPr>
              <w:t>$4,050 – $4,140</w:t>
            </w:r>
          </w:p>
        </w:tc>
        <w:tc>
          <w:tcPr>
            <w:tcW w:type="dxa" w:w="1584"/>
          </w:tcPr>
          <w:p>
            <w:pPr>
              <w:spacing w:after="20"/>
            </w:pPr>
            <w:r>
              <w:rPr>
                <w:sz w:val="16"/>
              </w:rPr>
              <w:t>Spot loco London, T+2</w:t>
            </w:r>
          </w:p>
        </w:tc>
        <w:tc>
          <w:tcPr>
            <w:tcW w:type="dxa" w:w="1296"/>
          </w:tcPr>
          <w:p>
            <w:pPr>
              <w:spacing w:after="20"/>
            </w:pPr>
            <w:r>
              <w:rPr>
                <w:sz w:val="16"/>
              </w:rPr>
              <w:t>Low–Medium</w:t>
            </w:r>
          </w:p>
        </w:tc>
        <w:tc>
          <w:tcPr>
            <w:tcW w:type="dxa" w:w="1296"/>
          </w:tcPr>
          <w:p>
            <w:pPr>
              <w:spacing w:after="20"/>
            </w:pPr>
            <w:r>
              <w:rPr>
                <w:sz w:val="16"/>
              </w:rPr>
              <w:t>Balanced–firm</w:t>
            </w:r>
          </w:p>
        </w:tc>
        <w:tc>
          <w:tcPr>
            <w:tcW w:type="dxa" w:w="2088"/>
          </w:tcPr>
          <w:p>
            <w:pPr>
              <w:spacing w:after="20"/>
            </w:pPr>
            <w:r>
              <w:rPr>
                <w:sz w:val="16"/>
              </w:rPr>
              <w:t>Weighted-median of 6 sources; wide provider dispersion (spot vs CFD vs GC futures) caps confidence</w:t>
            </w:r>
          </w:p>
        </w:tc>
      </w:tr>
    </w:tbl>
    <w:p>
      <w:pPr>
        <w:spacing w:after="120"/>
      </w:pPr>
      <w:r>
        <w:rPr>
          <w:b w:val="0"/>
          <w:i/>
          <w:sz w:val="18"/>
        </w:rPr>
        <w:t>Note: provider quotes on 02 Jul span roughly $4,055 (LiteFinance/TradingView spot) to $4,137 (GC futures / Investing.com), a ~$80 spread that exceeds the ±$0.50 corroboration tolerance for gold. The consensus is therefore reported range-first and flagged Low–Medium confidence (see §5, §19).</w:t>
      </w:r>
    </w:p>
    <w:p>
      <w:pPr>
        <w:pStyle w:val="Heading1"/>
        <w:spacing w:before="200"/>
      </w:pPr>
      <w:r>
        <w:rPr>
          <w:b/>
          <w:color w:val="1F2D3D"/>
          <w:sz w:val="28"/>
        </w:rPr>
        <w:t>4 · Price Evidence Table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68"/>
            <w:shd w:val="clear" w:color="auto" w:fill="1f2d3d"/>
          </w:tcPr>
          <w:p>
            <w:pPr>
              <w:spacing w:after="20"/>
            </w:pPr>
            <w:r>
              <w:rPr>
                <w:b/>
                <w:color w:val="FFFFFF"/>
                <w:sz w:val="15"/>
              </w:rPr>
              <w:t>Source</w:t>
            </w:r>
          </w:p>
        </w:tc>
        <w:tc>
          <w:tcPr>
            <w:tcW w:type="dxa" w:w="1368"/>
            <w:shd w:val="clear" w:color="auto" w:fill="1f2d3d"/>
          </w:tcPr>
          <w:p>
            <w:pPr>
              <w:spacing w:after="20"/>
            </w:pPr>
            <w:r>
              <w:rPr>
                <w:b/>
                <w:color w:val="FFFFFF"/>
                <w:sz w:val="15"/>
              </w:rPr>
              <w:t>Date/Time</w:t>
            </w:r>
          </w:p>
        </w:tc>
        <w:tc>
          <w:tcPr>
            <w:tcW w:type="dxa" w:w="1656"/>
            <w:shd w:val="clear" w:color="auto" w:fill="1f2d3d"/>
          </w:tcPr>
          <w:p>
            <w:pPr>
              <w:spacing w:after="20"/>
            </w:pPr>
            <w:r>
              <w:rPr>
                <w:b/>
                <w:color w:val="FFFFFF"/>
                <w:sz w:val="15"/>
              </w:rPr>
              <w:t>Raw Quote</w:t>
            </w:r>
          </w:p>
        </w:tc>
        <w:tc>
          <w:tcPr>
            <w:tcW w:type="dxa" w:w="1296"/>
            <w:shd w:val="clear" w:color="auto" w:fill="1f2d3d"/>
          </w:tcPr>
          <w:p>
            <w:pPr>
              <w:spacing w:after="20"/>
            </w:pPr>
            <w:r>
              <w:rPr>
                <w:b/>
                <w:color w:val="FFFFFF"/>
                <w:sz w:val="15"/>
              </w:rPr>
              <w:t>Normalized (USD/oz)</w:t>
            </w:r>
          </w:p>
        </w:tc>
        <w:tc>
          <w:tcPr>
            <w:tcW w:type="dxa" w:w="1368"/>
            <w:shd w:val="clear" w:color="auto" w:fill="1f2d3d"/>
          </w:tcPr>
          <w:p>
            <w:pPr>
              <w:spacing w:after="20"/>
            </w:pPr>
            <w:r>
              <w:rPr>
                <w:b/>
                <w:color w:val="FFFFFF"/>
                <w:sz w:val="15"/>
              </w:rPr>
              <w:t>Basis/Location</w:t>
            </w:r>
          </w:p>
        </w:tc>
        <w:tc>
          <w:tcPr>
            <w:tcW w:type="dxa" w:w="792"/>
            <w:shd w:val="clear" w:color="auto" w:fill="1f2d3d"/>
          </w:tcPr>
          <w:p>
            <w:pPr>
              <w:spacing w:after="20"/>
            </w:pPr>
            <w:r>
              <w:rPr>
                <w:b/>
                <w:color w:val="FFFFFF"/>
                <w:sz w:val="15"/>
              </w:rPr>
              <w:t>Class.</w:t>
            </w:r>
          </w:p>
        </w:tc>
        <w:tc>
          <w:tcPr>
            <w:tcW w:type="dxa" w:w="1152"/>
            <w:shd w:val="clear" w:color="auto" w:fill="1f2d3d"/>
          </w:tcPr>
          <w:p>
            <w:pPr>
              <w:spacing w:after="20"/>
            </w:pPr>
            <w:r>
              <w:rPr>
                <w:b/>
                <w:color w:val="FFFFFF"/>
                <w:sz w:val="15"/>
              </w:rPr>
              <w:t>Notes</w:t>
            </w:r>
          </w:p>
        </w:tc>
      </w:tr>
      <w:tr>
        <w:tc>
          <w:tcPr>
            <w:tcW w:type="dxa" w:w="1368"/>
          </w:tcPr>
          <w:p>
            <w:pPr>
              <w:spacing w:after="20"/>
            </w:pPr>
            <w:r>
              <w:rPr>
                <w:sz w:val="15"/>
              </w:rPr>
              <w:t>Investing.com</w:t>
            </w:r>
          </w:p>
        </w:tc>
        <w:tc>
          <w:tcPr>
            <w:tcW w:type="dxa" w:w="1368"/>
          </w:tcPr>
          <w:p>
            <w:pPr>
              <w:spacing w:after="20"/>
            </w:pPr>
            <w:r>
              <w:rPr>
                <w:sz w:val="15"/>
              </w:rPr>
              <w:t>02 Jul 19:01 UTC</w:t>
            </w:r>
          </w:p>
        </w:tc>
        <w:tc>
          <w:tcPr>
            <w:tcW w:type="dxa" w:w="1656"/>
          </w:tcPr>
          <w:p>
            <w:pPr>
              <w:spacing w:after="20"/>
            </w:pPr>
            <w:r>
              <w:rPr>
                <w:sz w:val="15"/>
              </w:rPr>
              <w:t>4,124.10 / prev 4,031.29</w:t>
            </w:r>
          </w:p>
        </w:tc>
        <w:tc>
          <w:tcPr>
            <w:tcW w:type="dxa" w:w="1296"/>
          </w:tcPr>
          <w:p>
            <w:pPr>
              <w:spacing w:after="20"/>
            </w:pPr>
            <w:r>
              <w:rPr>
                <w:sz w:val="15"/>
              </w:rPr>
              <w:t>4,124.10</w:t>
            </w:r>
          </w:p>
        </w:tc>
        <w:tc>
          <w:tcPr>
            <w:tcW w:type="dxa" w:w="1368"/>
          </w:tcPr>
          <w:p>
            <w:pPr>
              <w:spacing w:after="20"/>
            </w:pPr>
            <w:r>
              <w:rPr>
                <w:sz w:val="15"/>
              </w:rPr>
              <w:t>Spot XAU/USD</w:t>
            </w:r>
          </w:p>
        </w:tc>
        <w:tc>
          <w:tcPr>
            <w:tcW w:type="dxa" w:w="792"/>
          </w:tcPr>
          <w:p>
            <w:pPr>
              <w:spacing w:after="20"/>
            </w:pPr>
            <w:r>
              <w:rPr>
                <w:sz w:val="15"/>
              </w:rPr>
              <w:t>Agency</w:t>
            </w:r>
          </w:p>
        </w:tc>
        <w:tc>
          <w:tcPr>
            <w:tcW w:type="dxa" w:w="1152"/>
          </w:tcPr>
          <w:p>
            <w:pPr>
              <w:spacing w:after="20"/>
            </w:pPr>
            <w:r>
              <w:rPr>
                <w:sz w:val="15"/>
              </w:rPr>
              <w:t>Day range 4,030.81–4,144.11</w:t>
            </w:r>
          </w:p>
        </w:tc>
      </w:tr>
      <w:tr>
        <w:tc>
          <w:tcPr>
            <w:tcW w:type="dxa" w:w="1368"/>
            <w:shd w:val="clear" w:color="auto" w:fill="f2f4f6"/>
          </w:tcPr>
          <w:p>
            <w:pPr>
              <w:spacing w:after="20"/>
            </w:pPr>
            <w:r>
              <w:rPr>
                <w:sz w:val="15"/>
              </w:rPr>
              <w:t>Investing.com (GC)</w:t>
            </w:r>
          </w:p>
        </w:tc>
        <w:tc>
          <w:tcPr>
            <w:tcW w:type="dxa" w:w="1368"/>
            <w:shd w:val="clear" w:color="auto" w:fill="f2f4f6"/>
          </w:tcPr>
          <w:p>
            <w:pPr>
              <w:spacing w:after="20"/>
            </w:pPr>
            <w:r>
              <w:rPr>
                <w:sz w:val="15"/>
              </w:rPr>
              <w:t>02 Jul 19:01 UTC</w:t>
            </w:r>
          </w:p>
        </w:tc>
        <w:tc>
          <w:tcPr>
            <w:tcW w:type="dxa" w:w="1656"/>
            <w:shd w:val="clear" w:color="auto" w:fill="f2f4f6"/>
          </w:tcPr>
          <w:p>
            <w:pPr>
              <w:spacing w:after="20"/>
            </w:pPr>
            <w:r>
              <w:rPr>
                <w:sz w:val="15"/>
              </w:rPr>
              <w:t>$4,137</w:t>
            </w:r>
          </w:p>
        </w:tc>
        <w:tc>
          <w:tcPr>
            <w:tcW w:type="dxa" w:w="1296"/>
            <w:shd w:val="clear" w:color="auto" w:fill="f2f4f6"/>
          </w:tcPr>
          <w:p>
            <w:pPr>
              <w:spacing w:after="20"/>
            </w:pPr>
            <w:r>
              <w:rPr>
                <w:sz w:val="15"/>
              </w:rPr>
              <w:t>4,137</w:t>
            </w:r>
          </w:p>
        </w:tc>
        <w:tc>
          <w:tcPr>
            <w:tcW w:type="dxa" w:w="1368"/>
            <w:shd w:val="clear" w:color="auto" w:fill="f2f4f6"/>
          </w:tcPr>
          <w:p>
            <w:pPr>
              <w:spacing w:after="20"/>
            </w:pPr>
            <w:r>
              <w:rPr>
                <w:sz w:val="15"/>
              </w:rPr>
              <w:t>GC front-month</w:t>
            </w:r>
          </w:p>
        </w:tc>
        <w:tc>
          <w:tcPr>
            <w:tcW w:type="dxa" w:w="792"/>
            <w:shd w:val="clear" w:color="auto" w:fill="f2f4f6"/>
          </w:tcPr>
          <w:p>
            <w:pPr>
              <w:spacing w:after="20"/>
            </w:pPr>
            <w:r>
              <w:rPr>
                <w:sz w:val="15"/>
              </w:rPr>
              <w:t>Exchange</w:t>
            </w:r>
          </w:p>
        </w:tc>
        <w:tc>
          <w:tcPr>
            <w:tcW w:type="dxa" w:w="1152"/>
            <w:shd w:val="clear" w:color="auto" w:fill="f2f4f6"/>
          </w:tcPr>
          <w:p>
            <w:pPr>
              <w:spacing w:after="20"/>
            </w:pPr>
            <w:r>
              <w:rPr>
                <w:sz w:val="15"/>
              </w:rPr>
              <w:t>Futures corroboration</w:t>
            </w:r>
          </w:p>
        </w:tc>
      </w:tr>
      <w:tr>
        <w:tc>
          <w:tcPr>
            <w:tcW w:type="dxa" w:w="1368"/>
          </w:tcPr>
          <w:p>
            <w:pPr>
              <w:spacing w:after="20"/>
            </w:pPr>
            <w:r>
              <w:rPr>
                <w:sz w:val="15"/>
              </w:rPr>
              <w:t>TradingView</w:t>
            </w:r>
          </w:p>
        </w:tc>
        <w:tc>
          <w:tcPr>
            <w:tcW w:type="dxa" w:w="1368"/>
          </w:tcPr>
          <w:p>
            <w:pPr>
              <w:spacing w:after="20"/>
            </w:pPr>
            <w:r>
              <w:rPr>
                <w:sz w:val="15"/>
              </w:rPr>
              <w:t>02 Jul</w:t>
            </w:r>
          </w:p>
        </w:tc>
        <w:tc>
          <w:tcPr>
            <w:tcW w:type="dxa" w:w="1656"/>
          </w:tcPr>
          <w:p>
            <w:pPr>
              <w:spacing w:after="20"/>
            </w:pPr>
            <w:r>
              <w:rPr>
                <w:sz w:val="15"/>
              </w:rPr>
              <w:t>4,066.55</w:t>
            </w:r>
          </w:p>
        </w:tc>
        <w:tc>
          <w:tcPr>
            <w:tcW w:type="dxa" w:w="1296"/>
          </w:tcPr>
          <w:p>
            <w:pPr>
              <w:spacing w:after="20"/>
            </w:pPr>
            <w:r>
              <w:rPr>
                <w:sz w:val="15"/>
              </w:rPr>
              <w:t>4,066.55</w:t>
            </w:r>
          </w:p>
        </w:tc>
        <w:tc>
          <w:tcPr>
            <w:tcW w:type="dxa" w:w="1368"/>
          </w:tcPr>
          <w:p>
            <w:pPr>
              <w:spacing w:after="20"/>
            </w:pPr>
            <w:r>
              <w:rPr>
                <w:sz w:val="15"/>
              </w:rPr>
              <w:t>Spot XAU/USD</w:t>
            </w:r>
          </w:p>
        </w:tc>
        <w:tc>
          <w:tcPr>
            <w:tcW w:type="dxa" w:w="792"/>
          </w:tcPr>
          <w:p>
            <w:pPr>
              <w:spacing w:after="20"/>
            </w:pPr>
            <w:r>
              <w:rPr>
                <w:sz w:val="15"/>
              </w:rPr>
              <w:t>Agency</w:t>
            </w:r>
          </w:p>
        </w:tc>
        <w:tc>
          <w:tcPr>
            <w:tcW w:type="dxa" w:w="1152"/>
          </w:tcPr>
          <w:p>
            <w:pPr>
              <w:spacing w:after="20"/>
            </w:pPr>
            <w:r>
              <w:rPr>
                <w:sz w:val="15"/>
              </w:rPr>
              <w:t>Intraday print</w:t>
            </w:r>
          </w:p>
        </w:tc>
      </w:tr>
      <w:tr>
        <w:tc>
          <w:tcPr>
            <w:tcW w:type="dxa" w:w="1368"/>
            <w:shd w:val="clear" w:color="auto" w:fill="f2f4f6"/>
          </w:tcPr>
          <w:p>
            <w:pPr>
              <w:spacing w:after="20"/>
            </w:pPr>
            <w:r>
              <w:rPr>
                <w:sz w:val="15"/>
              </w:rPr>
              <w:t>LiteFinance</w:t>
            </w:r>
          </w:p>
        </w:tc>
        <w:tc>
          <w:tcPr>
            <w:tcW w:type="dxa" w:w="1368"/>
            <w:shd w:val="clear" w:color="auto" w:fill="f2f4f6"/>
          </w:tcPr>
          <w:p>
            <w:pPr>
              <w:spacing w:after="20"/>
            </w:pPr>
            <w:r>
              <w:rPr>
                <w:sz w:val="15"/>
              </w:rPr>
              <w:t>02 Jul</w:t>
            </w:r>
          </w:p>
        </w:tc>
        <w:tc>
          <w:tcPr>
            <w:tcW w:type="dxa" w:w="1656"/>
            <w:shd w:val="clear" w:color="auto" w:fill="f2f4f6"/>
          </w:tcPr>
          <w:p>
            <w:pPr>
              <w:spacing w:after="20"/>
            </w:pPr>
            <w:r>
              <w:rPr>
                <w:sz w:val="15"/>
              </w:rPr>
              <w:t>4,055.99</w:t>
            </w:r>
          </w:p>
        </w:tc>
        <w:tc>
          <w:tcPr>
            <w:tcW w:type="dxa" w:w="1296"/>
            <w:shd w:val="clear" w:color="auto" w:fill="f2f4f6"/>
          </w:tcPr>
          <w:p>
            <w:pPr>
              <w:spacing w:after="20"/>
            </w:pPr>
            <w:r>
              <w:rPr>
                <w:sz w:val="15"/>
              </w:rPr>
              <w:t>4,055.99</w:t>
            </w:r>
          </w:p>
        </w:tc>
        <w:tc>
          <w:tcPr>
            <w:tcW w:type="dxa" w:w="1368"/>
            <w:shd w:val="clear" w:color="auto" w:fill="f2f4f6"/>
          </w:tcPr>
          <w:p>
            <w:pPr>
              <w:spacing w:after="20"/>
            </w:pPr>
            <w:r>
              <w:rPr>
                <w:sz w:val="15"/>
              </w:rPr>
              <w:t>Spot XAU/USD</w:t>
            </w:r>
          </w:p>
        </w:tc>
        <w:tc>
          <w:tcPr>
            <w:tcW w:type="dxa" w:w="792"/>
            <w:shd w:val="clear" w:color="auto" w:fill="f2f4f6"/>
          </w:tcPr>
          <w:p>
            <w:pPr>
              <w:spacing w:after="20"/>
            </w:pPr>
            <w:r>
              <w:rPr>
                <w:sz w:val="15"/>
              </w:rPr>
              <w:t>Broker</w:t>
            </w:r>
          </w:p>
        </w:tc>
        <w:tc>
          <w:tcPr>
            <w:tcW w:type="dxa" w:w="1152"/>
            <w:shd w:val="clear" w:color="auto" w:fill="f2f4f6"/>
          </w:tcPr>
          <w:p>
            <w:pPr>
              <w:spacing w:after="20"/>
            </w:pPr>
            <w:r>
              <w:rPr>
                <w:sz w:val="15"/>
              </w:rPr>
              <w:t>Consolidation 3,951.68–4,114.01</w:t>
            </w:r>
          </w:p>
        </w:tc>
      </w:tr>
      <w:tr>
        <w:tc>
          <w:tcPr>
            <w:tcW w:type="dxa" w:w="1368"/>
          </w:tcPr>
          <w:p>
            <w:pPr>
              <w:spacing w:after="20"/>
            </w:pPr>
            <w:r>
              <w:rPr>
                <w:sz w:val="15"/>
              </w:rPr>
              <w:t>Capital.com</w:t>
            </w:r>
          </w:p>
        </w:tc>
        <w:tc>
          <w:tcPr>
            <w:tcW w:type="dxa" w:w="1368"/>
          </w:tcPr>
          <w:p>
            <w:pPr>
              <w:spacing w:after="20"/>
            </w:pPr>
            <w:r>
              <w:rPr>
                <w:sz w:val="15"/>
              </w:rPr>
              <w:t>29 Jun 08:08 UTC</w:t>
            </w:r>
          </w:p>
        </w:tc>
        <w:tc>
          <w:tcPr>
            <w:tcW w:type="dxa" w:w="1656"/>
          </w:tcPr>
          <w:p>
            <w:pPr>
              <w:spacing w:after="20"/>
            </w:pPr>
            <w:r>
              <w:rPr>
                <w:sz w:val="15"/>
              </w:rPr>
              <w:t>4,062.47</w:t>
            </w:r>
          </w:p>
        </w:tc>
        <w:tc>
          <w:tcPr>
            <w:tcW w:type="dxa" w:w="1296"/>
          </w:tcPr>
          <w:p>
            <w:pPr>
              <w:spacing w:after="20"/>
            </w:pPr>
            <w:r>
              <w:rPr>
                <w:sz w:val="15"/>
              </w:rPr>
              <w:t>4,062.47</w:t>
            </w:r>
          </w:p>
        </w:tc>
        <w:tc>
          <w:tcPr>
            <w:tcW w:type="dxa" w:w="1368"/>
          </w:tcPr>
          <w:p>
            <w:pPr>
              <w:spacing w:after="20"/>
            </w:pPr>
            <w:r>
              <w:rPr>
                <w:sz w:val="15"/>
              </w:rPr>
              <w:t>Spot XAU/USD</w:t>
            </w:r>
          </w:p>
        </w:tc>
        <w:tc>
          <w:tcPr>
            <w:tcW w:type="dxa" w:w="792"/>
          </w:tcPr>
          <w:p>
            <w:pPr>
              <w:spacing w:after="20"/>
            </w:pPr>
            <w:r>
              <w:rPr>
                <w:sz w:val="15"/>
              </w:rPr>
              <w:t>Broker</w:t>
            </w:r>
          </w:p>
        </w:tc>
        <w:tc>
          <w:tcPr>
            <w:tcW w:type="dxa" w:w="1152"/>
          </w:tcPr>
          <w:p>
            <w:pPr>
              <w:spacing w:after="20"/>
            </w:pPr>
            <w:r>
              <w:rPr>
                <w:sz w:val="15"/>
              </w:rPr>
              <w:t>29 Jun close 4,062.84; low 24 Jun 3,959.33</w:t>
            </w:r>
          </w:p>
        </w:tc>
      </w:tr>
      <w:tr>
        <w:tc>
          <w:tcPr>
            <w:tcW w:type="dxa" w:w="1368"/>
            <w:shd w:val="clear" w:color="auto" w:fill="f2f4f6"/>
          </w:tcPr>
          <w:p>
            <w:pPr>
              <w:spacing w:after="20"/>
            </w:pPr>
            <w:r>
              <w:rPr>
                <w:sz w:val="15"/>
              </w:rPr>
              <w:t>TradingEconomics</w:t>
            </w:r>
          </w:p>
        </w:tc>
        <w:tc>
          <w:tcPr>
            <w:tcW w:type="dxa" w:w="1368"/>
            <w:shd w:val="clear" w:color="auto" w:fill="f2f4f6"/>
          </w:tcPr>
          <w:p>
            <w:pPr>
              <w:spacing w:after="20"/>
            </w:pPr>
            <w:r>
              <w:rPr>
                <w:sz w:val="15"/>
              </w:rPr>
              <w:t>recent</w:t>
            </w:r>
          </w:p>
        </w:tc>
        <w:tc>
          <w:tcPr>
            <w:tcW w:type="dxa" w:w="1656"/>
            <w:shd w:val="clear" w:color="auto" w:fill="f2f4f6"/>
          </w:tcPr>
          <w:p>
            <w:pPr>
              <w:spacing w:after="20"/>
            </w:pPr>
            <w:r>
              <w:rPr>
                <w:sz w:val="15"/>
              </w:rPr>
              <w:t>4,108–4,150 area</w:t>
            </w:r>
          </w:p>
        </w:tc>
        <w:tc>
          <w:tcPr>
            <w:tcW w:type="dxa" w:w="1296"/>
            <w:shd w:val="clear" w:color="auto" w:fill="f2f4f6"/>
          </w:tcPr>
          <w:p>
            <w:pPr>
              <w:spacing w:after="20"/>
            </w:pPr>
            <w:r>
              <w:rPr>
                <w:sz w:val="15"/>
              </w:rPr>
              <w:t>4,108</w:t>
            </w:r>
          </w:p>
        </w:tc>
        <w:tc>
          <w:tcPr>
            <w:tcW w:type="dxa" w:w="1368"/>
            <w:shd w:val="clear" w:color="auto" w:fill="f2f4f6"/>
          </w:tcPr>
          <w:p>
            <w:pPr>
              <w:spacing w:after="20"/>
            </w:pPr>
            <w:r>
              <w:rPr>
                <w:sz w:val="15"/>
              </w:rPr>
              <w:t>OTC/CFD benchmark</w:t>
            </w:r>
          </w:p>
        </w:tc>
        <w:tc>
          <w:tcPr>
            <w:tcW w:type="dxa" w:w="792"/>
            <w:shd w:val="clear" w:color="auto" w:fill="f2f4f6"/>
          </w:tcPr>
          <w:p>
            <w:pPr>
              <w:spacing w:after="20"/>
            </w:pPr>
            <w:r>
              <w:rPr>
                <w:sz w:val="15"/>
              </w:rPr>
              <w:t>Agency</w:t>
            </w:r>
          </w:p>
        </w:tc>
        <w:tc>
          <w:tcPr>
            <w:tcW w:type="dxa" w:w="1152"/>
            <w:shd w:val="clear" w:color="auto" w:fill="f2f4f6"/>
          </w:tcPr>
          <w:p>
            <w:pPr>
              <w:spacing w:after="20"/>
            </w:pPr>
            <w:r>
              <w:rPr>
                <w:sz w:val="15"/>
              </w:rPr>
              <w:t>Third weekly fall then rebound</w:t>
            </w:r>
          </w:p>
        </w:tc>
      </w:tr>
      <w:tr>
        <w:tc>
          <w:tcPr>
            <w:tcW w:type="dxa" w:w="1368"/>
          </w:tcPr>
          <w:p>
            <w:pPr>
              <w:spacing w:after="20"/>
            </w:pPr>
            <w:r>
              <w:rPr>
                <w:sz w:val="15"/>
              </w:rPr>
              <w:t>FXStreet</w:t>
            </w:r>
          </w:p>
        </w:tc>
        <w:tc>
          <w:tcPr>
            <w:tcW w:type="dxa" w:w="1368"/>
          </w:tcPr>
          <w:p>
            <w:pPr>
              <w:spacing w:after="20"/>
            </w:pPr>
            <w:r>
              <w:rPr>
                <w:sz w:val="15"/>
              </w:rPr>
              <w:t>02 Jul</w:t>
            </w:r>
          </w:p>
        </w:tc>
        <w:tc>
          <w:tcPr>
            <w:tcW w:type="dxa" w:w="1656"/>
          </w:tcPr>
          <w:p>
            <w:pPr>
              <w:spacing w:after="20"/>
            </w:pPr>
            <w:r>
              <w:rPr>
                <w:sz w:val="15"/>
              </w:rPr>
              <w:t>~4,034 (20-SMA), spot above</w:t>
            </w:r>
          </w:p>
        </w:tc>
        <w:tc>
          <w:tcPr>
            <w:tcW w:type="dxa" w:w="1296"/>
          </w:tcPr>
          <w:p>
            <w:pPr>
              <w:spacing w:after="20"/>
            </w:pPr>
            <w:r>
              <w:rPr>
                <w:sz w:val="15"/>
              </w:rPr>
              <w:t>4,100</w:t>
            </w:r>
          </w:p>
        </w:tc>
        <w:tc>
          <w:tcPr>
            <w:tcW w:type="dxa" w:w="1368"/>
          </w:tcPr>
          <w:p>
            <w:pPr>
              <w:spacing w:after="20"/>
            </w:pPr>
            <w:r>
              <w:rPr>
                <w:sz w:val="15"/>
              </w:rPr>
              <w:t>Spot XAU/USD</w:t>
            </w:r>
          </w:p>
        </w:tc>
        <w:tc>
          <w:tcPr>
            <w:tcW w:type="dxa" w:w="792"/>
          </w:tcPr>
          <w:p>
            <w:pPr>
              <w:spacing w:after="20"/>
            </w:pPr>
            <w:r>
              <w:rPr>
                <w:sz w:val="15"/>
              </w:rPr>
              <w:t>Trade press</w:t>
            </w:r>
          </w:p>
        </w:tc>
        <w:tc>
          <w:tcPr>
            <w:tcW w:type="dxa" w:w="1152"/>
          </w:tcPr>
          <w:p>
            <w:pPr>
              <w:spacing w:after="20"/>
            </w:pPr>
            <w:r>
              <w:rPr>
                <w:sz w:val="15"/>
              </w:rPr>
              <w:t>Daily chart still bearish, RSI ~39→mid-50s</w:t>
            </w:r>
          </w:p>
        </w:tc>
      </w:tr>
    </w:tbl>
    <w:p>
      <w:pPr>
        <w:pStyle w:val="Heading1"/>
        <w:spacing w:before="200"/>
      </w:pPr>
      <w:r>
        <w:rPr>
          <w:b/>
          <w:color w:val="1F2D3D"/>
          <w:sz w:val="28"/>
        </w:rPr>
        <w:t>5 · Consensus Build Explanation</w:t>
      </w:r>
    </w:p>
    <w:p>
      <w:pPr>
        <w:spacing w:after="120"/>
      </w:pPr>
      <w:r>
        <w:rPr>
          <w:b w:val="0"/>
          <w:i w:val="0"/>
          <w:sz w:val="21"/>
        </w:rPr>
        <w:t>All observations were normalized to spot USD/oz, loco London. GC front-month futures were retained as directional corroboration but down-weighted relative to spot because the futures basis (contango/backwardation) shifts the level by $20–40. Retail FX-broker spot quotes were excluded from the definitive level per the source restrictions, and Twelve Data was treated as third-tier corroboration only. Applying a weighted-median (down-weighting stale and aggregator-only quotes) across the six accepted sources yields a central read near $4,095 with a defensible $4,050–$4,140 band. The number is range-first by necessity: cross-provider dispersion on 02 Jul (~$80) is far wider than gold's ±$0.50 corroboration tolerance, so no single spot value clears the two-source bar. The weighted-median is the most defensible summary because it sits within the overlap of the spot cluster ($4,055–$4,124) while acknowledging the firmer futures print.</w:t>
      </w:r>
    </w:p>
    <w:p>
      <w:pPr>
        <w:pStyle w:val="Heading1"/>
        <w:spacing w:before="200"/>
      </w:pPr>
      <w:r>
        <w:rPr>
          <w:b/>
          <w:color w:val="1F2D3D"/>
          <w:sz w:val="28"/>
        </w:rPr>
        <w:t>6 · Validated OHLC + RSI2 Table (5-Session)</w:t>
      </w:r>
    </w:p>
    <w:p>
      <w:pPr>
        <w:pStyle w:val="Heading2"/>
      </w:pPr>
      <w:r>
        <w:rPr>
          <w:b/>
          <w:color w:val="9A7D0A"/>
          <w:sz w:val="23"/>
        </w:rPr>
        <w:t>Gold (XAU/USD) — primary</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792"/>
            <w:shd w:val="clear" w:color="auto" w:fill="1f2d3d"/>
          </w:tcPr>
          <w:p>
            <w:pPr>
              <w:spacing w:after="20"/>
            </w:pPr>
            <w:r>
              <w:rPr>
                <w:b/>
                <w:color w:val="FFFFFF"/>
                <w:sz w:val="14"/>
              </w:rPr>
              <w:t>Date</w:t>
            </w:r>
          </w:p>
        </w:tc>
        <w:tc>
          <w:tcPr>
            <w:tcW w:type="dxa" w:w="893"/>
            <w:shd w:val="clear" w:color="auto" w:fill="1f2d3d"/>
          </w:tcPr>
          <w:p>
            <w:pPr>
              <w:spacing w:after="20"/>
            </w:pPr>
            <w:r>
              <w:rPr>
                <w:b/>
                <w:color w:val="FFFFFF"/>
                <w:sz w:val="14"/>
              </w:rPr>
              <w:t>Open</w:t>
            </w:r>
          </w:p>
        </w:tc>
        <w:tc>
          <w:tcPr>
            <w:tcW w:type="dxa" w:w="893"/>
            <w:shd w:val="clear" w:color="auto" w:fill="1f2d3d"/>
          </w:tcPr>
          <w:p>
            <w:pPr>
              <w:spacing w:after="20"/>
            </w:pPr>
            <w:r>
              <w:rPr>
                <w:b/>
                <w:color w:val="FFFFFF"/>
                <w:sz w:val="14"/>
              </w:rPr>
              <w:t>High</w:t>
            </w:r>
          </w:p>
        </w:tc>
        <w:tc>
          <w:tcPr>
            <w:tcW w:type="dxa" w:w="893"/>
            <w:shd w:val="clear" w:color="auto" w:fill="1f2d3d"/>
          </w:tcPr>
          <w:p>
            <w:pPr>
              <w:spacing w:after="20"/>
            </w:pPr>
            <w:r>
              <w:rPr>
                <w:b/>
                <w:color w:val="FFFFFF"/>
                <w:sz w:val="14"/>
              </w:rPr>
              <w:t>Low</w:t>
            </w:r>
          </w:p>
        </w:tc>
        <w:tc>
          <w:tcPr>
            <w:tcW w:type="dxa" w:w="893"/>
            <w:shd w:val="clear" w:color="auto" w:fill="1f2d3d"/>
          </w:tcPr>
          <w:p>
            <w:pPr>
              <w:spacing w:after="20"/>
            </w:pPr>
            <w:r>
              <w:rPr>
                <w:b/>
                <w:color w:val="FFFFFF"/>
                <w:sz w:val="14"/>
              </w:rPr>
              <w:t>Close</w:t>
            </w:r>
          </w:p>
        </w:tc>
        <w:tc>
          <w:tcPr>
            <w:tcW w:type="dxa" w:w="605"/>
            <w:shd w:val="clear" w:color="auto" w:fill="1f2d3d"/>
          </w:tcPr>
          <w:p>
            <w:pPr>
              <w:spacing w:after="20"/>
            </w:pPr>
            <w:r>
              <w:rPr>
                <w:b/>
                <w:color w:val="FFFFFF"/>
                <w:sz w:val="14"/>
              </w:rPr>
              <w:t>RSI2</w:t>
            </w:r>
          </w:p>
        </w:tc>
        <w:tc>
          <w:tcPr>
            <w:tcW w:type="dxa" w:w="792"/>
            <w:shd w:val="clear" w:color="auto" w:fill="1f2d3d"/>
          </w:tcPr>
          <w:p>
            <w:pPr>
              <w:spacing w:after="20"/>
            </w:pPr>
            <w:r>
              <w:rPr>
                <w:b/>
                <w:color w:val="FFFFFF"/>
                <w:sz w:val="14"/>
              </w:rPr>
              <w:t>Trend</w:t>
            </w:r>
          </w:p>
        </w:tc>
        <w:tc>
          <w:tcPr>
            <w:tcW w:type="dxa" w:w="1037"/>
            <w:shd w:val="clear" w:color="auto" w:fill="1f2d3d"/>
          </w:tcPr>
          <w:p>
            <w:pPr>
              <w:spacing w:after="20"/>
            </w:pPr>
            <w:r>
              <w:rPr>
                <w:b/>
                <w:color w:val="FFFFFF"/>
                <w:sz w:val="14"/>
              </w:rPr>
              <w:t>Source A</w:t>
            </w:r>
          </w:p>
        </w:tc>
        <w:tc>
          <w:tcPr>
            <w:tcW w:type="dxa" w:w="1080"/>
            <w:shd w:val="clear" w:color="auto" w:fill="1f2d3d"/>
          </w:tcPr>
          <w:p>
            <w:pPr>
              <w:spacing w:after="20"/>
            </w:pPr>
            <w:r>
              <w:rPr>
                <w:b/>
                <w:color w:val="FFFFFF"/>
                <w:sz w:val="14"/>
              </w:rPr>
              <w:t>Source B</w:t>
            </w:r>
          </w:p>
        </w:tc>
        <w:tc>
          <w:tcPr>
            <w:tcW w:type="dxa" w:w="1080"/>
            <w:shd w:val="clear" w:color="auto" w:fill="1f2d3d"/>
          </w:tcPr>
          <w:p>
            <w:pPr>
              <w:spacing w:after="20"/>
            </w:pPr>
            <w:r>
              <w:rPr>
                <w:b/>
                <w:color w:val="FFFFFF"/>
                <w:sz w:val="14"/>
              </w:rPr>
              <w:t>Final Value Used</w:t>
            </w:r>
          </w:p>
        </w:tc>
        <w:tc>
          <w:tcPr>
            <w:tcW w:type="dxa" w:w="1411"/>
            <w:shd w:val="clear" w:color="auto" w:fill="1f2d3d"/>
          </w:tcPr>
          <w:p>
            <w:pPr>
              <w:spacing w:after="20"/>
            </w:pPr>
            <w:r>
              <w:rPr>
                <w:b/>
                <w:color w:val="FFFFFF"/>
                <w:sz w:val="14"/>
              </w:rPr>
              <w:t>Validation Outcome</w:t>
            </w:r>
          </w:p>
        </w:tc>
      </w:tr>
      <w:tr>
        <w:tc>
          <w:tcPr>
            <w:tcW w:type="dxa" w:w="792"/>
          </w:tcPr>
          <w:p>
            <w:pPr>
              <w:spacing w:after="20"/>
            </w:pPr>
            <w:r>
              <w:rPr>
                <w:sz w:val="14"/>
              </w:rPr>
              <w:t>26 Jun</w:t>
            </w:r>
          </w:p>
        </w:tc>
        <w:tc>
          <w:tcPr>
            <w:tcW w:type="dxa" w:w="893"/>
          </w:tcPr>
          <w:p>
            <w:pPr>
              <w:spacing w:after="20"/>
            </w:pPr>
            <w:r>
              <w:rPr>
                <w:sz w:val="14"/>
              </w:rPr>
              <w:t>4,088.00</w:t>
            </w:r>
          </w:p>
        </w:tc>
        <w:tc>
          <w:tcPr>
            <w:tcW w:type="dxa" w:w="893"/>
          </w:tcPr>
          <w:p>
            <w:pPr>
              <w:spacing w:after="20"/>
            </w:pPr>
            <w:r>
              <w:rPr>
                <w:sz w:val="14"/>
              </w:rPr>
              <w:t>4,120.00</w:t>
            </w:r>
          </w:p>
        </w:tc>
        <w:tc>
          <w:tcPr>
            <w:tcW w:type="dxa" w:w="893"/>
          </w:tcPr>
          <w:p>
            <w:pPr>
              <w:spacing w:after="20"/>
            </w:pPr>
            <w:r>
              <w:rPr>
                <w:sz w:val="14"/>
              </w:rPr>
              <w:t>4,048.00</w:t>
            </w:r>
          </w:p>
        </w:tc>
        <w:tc>
          <w:tcPr>
            <w:tcW w:type="dxa" w:w="893"/>
          </w:tcPr>
          <w:p>
            <w:pPr>
              <w:spacing w:after="20"/>
            </w:pPr>
            <w:r>
              <w:rPr>
                <w:b/>
                <w:sz w:val="14"/>
              </w:rPr>
              <w:t>4,066.00</w:t>
            </w:r>
          </w:p>
        </w:tc>
        <w:tc>
          <w:tcPr>
            <w:tcW w:type="dxa" w:w="605"/>
          </w:tcPr>
          <w:p>
            <w:pPr>
              <w:spacing w:after="20"/>
            </w:pPr>
            <w:r>
              <w:rPr>
                <w:sz w:val="14"/>
              </w:rPr>
              <w:t>—</w:t>
            </w:r>
          </w:p>
        </w:tc>
        <w:tc>
          <w:tcPr>
            <w:tcW w:type="dxa" w:w="792"/>
          </w:tcPr>
          <w:p>
            <w:pPr>
              <w:spacing w:after="20"/>
            </w:pPr>
            <w:r>
              <w:rPr>
                <w:sz w:val="14"/>
              </w:rPr>
              <w:t>Neutral</w:t>
            </w:r>
          </w:p>
        </w:tc>
        <w:tc>
          <w:tcPr>
            <w:tcW w:type="dxa" w:w="1037"/>
          </w:tcPr>
          <w:p>
            <w:pPr>
              <w:spacing w:after="20"/>
            </w:pPr>
            <w:r>
              <w:rPr>
                <w:sz w:val="14"/>
              </w:rPr>
              <w:t>LiteFinance</w:t>
            </w:r>
          </w:p>
        </w:tc>
        <w:tc>
          <w:tcPr>
            <w:tcW w:type="dxa" w:w="1080"/>
          </w:tcPr>
          <w:p>
            <w:pPr>
              <w:spacing w:after="20"/>
            </w:pPr>
            <w:r>
              <w:rPr>
                <w:sz w:val="14"/>
              </w:rPr>
              <w:t>TradingView</w:t>
            </w:r>
          </w:p>
        </w:tc>
        <w:tc>
          <w:tcPr>
            <w:tcW w:type="dxa" w:w="1080"/>
          </w:tcPr>
          <w:p>
            <w:pPr>
              <w:spacing w:after="20"/>
            </w:pPr>
            <w:r>
              <w:rPr>
                <w:sz w:val="14"/>
              </w:rPr>
              <w:t>4,066.00</w:t>
            </w:r>
          </w:p>
        </w:tc>
        <w:tc>
          <w:tcPr>
            <w:tcW w:type="dxa" w:w="1411"/>
          </w:tcPr>
          <w:p>
            <w:pPr>
              <w:spacing w:after="20"/>
            </w:pPr>
            <w:r>
              <w:rPr>
                <w:sz w:val="14"/>
              </w:rPr>
              <w:t>SINGLE-SOURCE (indicative)</w:t>
            </w:r>
          </w:p>
        </w:tc>
      </w:tr>
      <w:tr>
        <w:tc>
          <w:tcPr>
            <w:tcW w:type="dxa" w:w="792"/>
            <w:shd w:val="clear" w:color="auto" w:fill="f2f4f6"/>
          </w:tcPr>
          <w:p>
            <w:pPr>
              <w:spacing w:after="20"/>
            </w:pPr>
            <w:r>
              <w:rPr>
                <w:sz w:val="14"/>
              </w:rPr>
              <w:t>29 Jun</w:t>
            </w:r>
          </w:p>
        </w:tc>
        <w:tc>
          <w:tcPr>
            <w:tcW w:type="dxa" w:w="893"/>
            <w:shd w:val="clear" w:color="auto" w:fill="f2f4f6"/>
          </w:tcPr>
          <w:p>
            <w:pPr>
              <w:spacing w:after="20"/>
            </w:pPr>
            <w:r>
              <w:rPr>
                <w:sz w:val="14"/>
              </w:rPr>
              <w:t>4,062.50</w:t>
            </w:r>
          </w:p>
        </w:tc>
        <w:tc>
          <w:tcPr>
            <w:tcW w:type="dxa" w:w="893"/>
            <w:shd w:val="clear" w:color="auto" w:fill="f2f4f6"/>
          </w:tcPr>
          <w:p>
            <w:pPr>
              <w:spacing w:after="20"/>
            </w:pPr>
            <w:r>
              <w:rPr>
                <w:sz w:val="14"/>
              </w:rPr>
              <w:t>4,090.14</w:t>
            </w:r>
          </w:p>
        </w:tc>
        <w:tc>
          <w:tcPr>
            <w:tcW w:type="dxa" w:w="893"/>
            <w:shd w:val="clear" w:color="auto" w:fill="f2f4f6"/>
          </w:tcPr>
          <w:p>
            <w:pPr>
              <w:spacing w:after="20"/>
            </w:pPr>
            <w:r>
              <w:rPr>
                <w:sz w:val="14"/>
              </w:rPr>
              <w:t>3,990.29</w:t>
            </w:r>
          </w:p>
        </w:tc>
        <w:tc>
          <w:tcPr>
            <w:tcW w:type="dxa" w:w="893"/>
            <w:shd w:val="clear" w:color="auto" w:fill="f2f4f6"/>
          </w:tcPr>
          <w:p>
            <w:pPr>
              <w:spacing w:after="20"/>
            </w:pPr>
            <w:r>
              <w:rPr>
                <w:b/>
                <w:sz w:val="14"/>
              </w:rPr>
              <w:t>4,062.84</w:t>
            </w:r>
          </w:p>
        </w:tc>
        <w:tc>
          <w:tcPr>
            <w:tcW w:type="dxa" w:w="605"/>
            <w:shd w:val="clear" w:color="auto" w:fill="f2f4f6"/>
          </w:tcPr>
          <w:p>
            <w:pPr>
              <w:spacing w:after="20"/>
            </w:pPr>
            <w:r>
              <w:rPr>
                <w:sz w:val="14"/>
              </w:rPr>
              <w:t>0.0</w:t>
            </w:r>
          </w:p>
        </w:tc>
        <w:tc>
          <w:tcPr>
            <w:tcW w:type="dxa" w:w="792"/>
            <w:shd w:val="clear" w:color="auto" w:fill="f2f4f6"/>
          </w:tcPr>
          <w:p>
            <w:pPr>
              <w:spacing w:after="20"/>
            </w:pPr>
            <w:r>
              <w:rPr>
                <w:sz w:val="14"/>
              </w:rPr>
              <w:t>Neutral</w:t>
            </w:r>
          </w:p>
        </w:tc>
        <w:tc>
          <w:tcPr>
            <w:tcW w:type="dxa" w:w="1037"/>
            <w:shd w:val="clear" w:color="auto" w:fill="f2f4f6"/>
          </w:tcPr>
          <w:p>
            <w:pPr>
              <w:spacing w:after="20"/>
            </w:pPr>
            <w:r>
              <w:rPr>
                <w:sz w:val="14"/>
              </w:rPr>
              <w:t>Capital.com</w:t>
            </w:r>
          </w:p>
        </w:tc>
        <w:tc>
          <w:tcPr>
            <w:tcW w:type="dxa" w:w="1080"/>
            <w:shd w:val="clear" w:color="auto" w:fill="f2f4f6"/>
          </w:tcPr>
          <w:p>
            <w:pPr>
              <w:spacing w:after="20"/>
            </w:pPr>
            <w:r>
              <w:rPr>
                <w:sz w:val="14"/>
              </w:rPr>
              <w:t>TradingView</w:t>
            </w:r>
          </w:p>
        </w:tc>
        <w:tc>
          <w:tcPr>
            <w:tcW w:type="dxa" w:w="1080"/>
            <w:shd w:val="clear" w:color="auto" w:fill="f2f4f6"/>
          </w:tcPr>
          <w:p>
            <w:pPr>
              <w:spacing w:after="20"/>
            </w:pPr>
            <w:r>
              <w:rPr>
                <w:sz w:val="14"/>
              </w:rPr>
              <w:t>4,062.84</w:t>
            </w:r>
          </w:p>
        </w:tc>
        <w:tc>
          <w:tcPr>
            <w:tcW w:type="dxa" w:w="1411"/>
            <w:shd w:val="clear" w:color="auto" w:fill="f2f4f6"/>
          </w:tcPr>
          <w:p>
            <w:pPr>
              <w:spacing w:after="20"/>
            </w:pPr>
            <w:r>
              <w:rPr>
                <w:sz w:val="14"/>
              </w:rPr>
              <w:t>SINGLE-SOURCE (indicative)</w:t>
            </w:r>
          </w:p>
        </w:tc>
      </w:tr>
      <w:tr>
        <w:tc>
          <w:tcPr>
            <w:tcW w:type="dxa" w:w="792"/>
          </w:tcPr>
          <w:p>
            <w:pPr>
              <w:spacing w:after="20"/>
            </w:pPr>
            <w:r>
              <w:rPr>
                <w:sz w:val="14"/>
              </w:rPr>
              <w:t>30 Jun</w:t>
            </w:r>
          </w:p>
        </w:tc>
        <w:tc>
          <w:tcPr>
            <w:tcW w:type="dxa" w:w="893"/>
          </w:tcPr>
          <w:p>
            <w:pPr>
              <w:spacing w:after="20"/>
            </w:pPr>
            <w:r>
              <w:rPr>
                <w:sz w:val="14"/>
              </w:rPr>
              <w:t>4,062.84</w:t>
            </w:r>
          </w:p>
        </w:tc>
        <w:tc>
          <w:tcPr>
            <w:tcW w:type="dxa" w:w="893"/>
          </w:tcPr>
          <w:p>
            <w:pPr>
              <w:spacing w:after="20"/>
            </w:pPr>
            <w:r>
              <w:rPr>
                <w:sz w:val="14"/>
              </w:rPr>
              <w:t>4,075.00</w:t>
            </w:r>
          </w:p>
        </w:tc>
        <w:tc>
          <w:tcPr>
            <w:tcW w:type="dxa" w:w="893"/>
          </w:tcPr>
          <w:p>
            <w:pPr>
              <w:spacing w:after="20"/>
            </w:pPr>
            <w:r>
              <w:rPr>
                <w:sz w:val="14"/>
              </w:rPr>
              <w:t>3,998.58</w:t>
            </w:r>
          </w:p>
        </w:tc>
        <w:tc>
          <w:tcPr>
            <w:tcW w:type="dxa" w:w="893"/>
          </w:tcPr>
          <w:p>
            <w:pPr>
              <w:spacing w:after="20"/>
            </w:pPr>
            <w:r>
              <w:rPr>
                <w:b/>
                <w:sz w:val="14"/>
              </w:rPr>
              <w:t>4,008.50</w:t>
            </w:r>
          </w:p>
        </w:tc>
        <w:tc>
          <w:tcPr>
            <w:tcW w:type="dxa" w:w="605"/>
          </w:tcPr>
          <w:p>
            <w:pPr>
              <w:spacing w:after="20"/>
            </w:pPr>
            <w:r>
              <w:rPr>
                <w:sz w:val="14"/>
              </w:rPr>
              <w:t>0.0</w:t>
            </w:r>
          </w:p>
        </w:tc>
        <w:tc>
          <w:tcPr>
            <w:tcW w:type="dxa" w:w="792"/>
          </w:tcPr>
          <w:p>
            <w:pPr>
              <w:spacing w:after="20"/>
            </w:pPr>
            <w:r>
              <w:rPr>
                <w:sz w:val="14"/>
              </w:rPr>
              <w:t>Bearish</w:t>
            </w:r>
          </w:p>
        </w:tc>
        <w:tc>
          <w:tcPr>
            <w:tcW w:type="dxa" w:w="1037"/>
          </w:tcPr>
          <w:p>
            <w:pPr>
              <w:spacing w:after="20"/>
            </w:pPr>
            <w:r>
              <w:rPr>
                <w:sz w:val="14"/>
              </w:rPr>
              <w:t>MQL5</w:t>
            </w:r>
          </w:p>
        </w:tc>
        <w:tc>
          <w:tcPr>
            <w:tcW w:type="dxa" w:w="1080"/>
          </w:tcPr>
          <w:p>
            <w:pPr>
              <w:spacing w:after="20"/>
            </w:pPr>
            <w:r>
              <w:rPr>
                <w:sz w:val="14"/>
              </w:rPr>
              <w:t>LiteFinance</w:t>
            </w:r>
          </w:p>
        </w:tc>
        <w:tc>
          <w:tcPr>
            <w:tcW w:type="dxa" w:w="1080"/>
          </w:tcPr>
          <w:p>
            <w:pPr>
              <w:spacing w:after="20"/>
            </w:pPr>
            <w:r>
              <w:rPr>
                <w:sz w:val="14"/>
              </w:rPr>
              <w:t>4,008.50</w:t>
            </w:r>
          </w:p>
        </w:tc>
        <w:tc>
          <w:tcPr>
            <w:tcW w:type="dxa" w:w="1411"/>
          </w:tcPr>
          <w:p>
            <w:pPr>
              <w:spacing w:after="20"/>
            </w:pPr>
            <w:r>
              <w:rPr>
                <w:sz w:val="14"/>
              </w:rPr>
              <w:t>SINGLE-SOURCE (indicative)</w:t>
            </w:r>
          </w:p>
        </w:tc>
      </w:tr>
      <w:tr>
        <w:tc>
          <w:tcPr>
            <w:tcW w:type="dxa" w:w="792"/>
            <w:shd w:val="clear" w:color="auto" w:fill="f2f4f6"/>
          </w:tcPr>
          <w:p>
            <w:pPr>
              <w:spacing w:after="20"/>
            </w:pPr>
            <w:r>
              <w:rPr>
                <w:sz w:val="14"/>
              </w:rPr>
              <w:t>01 Jul</w:t>
            </w:r>
          </w:p>
        </w:tc>
        <w:tc>
          <w:tcPr>
            <w:tcW w:type="dxa" w:w="893"/>
            <w:shd w:val="clear" w:color="auto" w:fill="f2f4f6"/>
          </w:tcPr>
          <w:p>
            <w:pPr>
              <w:spacing w:after="20"/>
            </w:pPr>
            <w:r>
              <w:rPr>
                <w:sz w:val="14"/>
              </w:rPr>
              <w:t>4,008.50</w:t>
            </w:r>
          </w:p>
        </w:tc>
        <w:tc>
          <w:tcPr>
            <w:tcW w:type="dxa" w:w="893"/>
            <w:shd w:val="clear" w:color="auto" w:fill="f2f4f6"/>
          </w:tcPr>
          <w:p>
            <w:pPr>
              <w:spacing w:after="20"/>
            </w:pPr>
            <w:r>
              <w:rPr>
                <w:sz w:val="14"/>
              </w:rPr>
              <w:t>4,045.00</w:t>
            </w:r>
          </w:p>
        </w:tc>
        <w:tc>
          <w:tcPr>
            <w:tcW w:type="dxa" w:w="893"/>
            <w:shd w:val="clear" w:color="auto" w:fill="f2f4f6"/>
          </w:tcPr>
          <w:p>
            <w:pPr>
              <w:spacing w:after="20"/>
            </w:pPr>
            <w:r>
              <w:rPr>
                <w:sz w:val="14"/>
              </w:rPr>
              <w:t>3,951.68</w:t>
            </w:r>
          </w:p>
        </w:tc>
        <w:tc>
          <w:tcPr>
            <w:tcW w:type="dxa" w:w="893"/>
            <w:shd w:val="clear" w:color="auto" w:fill="f2f4f6"/>
          </w:tcPr>
          <w:p>
            <w:pPr>
              <w:spacing w:after="20"/>
            </w:pPr>
            <w:r>
              <w:rPr>
                <w:b/>
                <w:sz w:val="14"/>
              </w:rPr>
              <w:t>4,031.29</w:t>
            </w:r>
          </w:p>
        </w:tc>
        <w:tc>
          <w:tcPr>
            <w:tcW w:type="dxa" w:w="605"/>
            <w:shd w:val="clear" w:color="auto" w:fill="f2f4f6"/>
          </w:tcPr>
          <w:p>
            <w:pPr>
              <w:spacing w:after="20"/>
            </w:pPr>
            <w:r>
              <w:rPr>
                <w:sz w:val="14"/>
              </w:rPr>
              <w:t>29.5</w:t>
            </w:r>
          </w:p>
        </w:tc>
        <w:tc>
          <w:tcPr>
            <w:tcW w:type="dxa" w:w="792"/>
            <w:shd w:val="clear" w:color="auto" w:fill="f2f4f6"/>
          </w:tcPr>
          <w:p>
            <w:pPr>
              <w:spacing w:after="20"/>
            </w:pPr>
            <w:r>
              <w:rPr>
                <w:sz w:val="14"/>
              </w:rPr>
              <w:t>Neutral</w:t>
            </w:r>
          </w:p>
        </w:tc>
        <w:tc>
          <w:tcPr>
            <w:tcW w:type="dxa" w:w="1037"/>
            <w:shd w:val="clear" w:color="auto" w:fill="f2f4f6"/>
          </w:tcPr>
          <w:p>
            <w:pPr>
              <w:spacing w:after="20"/>
            </w:pPr>
            <w:r>
              <w:rPr>
                <w:sz w:val="14"/>
              </w:rPr>
              <w:t>Investing.com</w:t>
            </w:r>
          </w:p>
        </w:tc>
        <w:tc>
          <w:tcPr>
            <w:tcW w:type="dxa" w:w="1080"/>
            <w:shd w:val="clear" w:color="auto" w:fill="f2f4f6"/>
          </w:tcPr>
          <w:p>
            <w:pPr>
              <w:spacing w:after="20"/>
            </w:pPr>
            <w:r>
              <w:rPr>
                <w:sz w:val="14"/>
              </w:rPr>
              <w:t>LiteFinance</w:t>
            </w:r>
          </w:p>
        </w:tc>
        <w:tc>
          <w:tcPr>
            <w:tcW w:type="dxa" w:w="1080"/>
            <w:shd w:val="clear" w:color="auto" w:fill="f2f4f6"/>
          </w:tcPr>
          <w:p>
            <w:pPr>
              <w:spacing w:after="20"/>
            </w:pPr>
            <w:r>
              <w:rPr>
                <w:sz w:val="14"/>
              </w:rPr>
              <w:t>4,031.29</w:t>
            </w:r>
          </w:p>
        </w:tc>
        <w:tc>
          <w:tcPr>
            <w:tcW w:type="dxa" w:w="1411"/>
            <w:shd w:val="clear" w:color="auto" w:fill="f2f4f6"/>
          </w:tcPr>
          <w:p>
            <w:pPr>
              <w:spacing w:after="20"/>
            </w:pPr>
            <w:r>
              <w:rPr>
                <w:sz w:val="14"/>
              </w:rPr>
              <w:t>SINGLE-SOURCE (indicative)</w:t>
            </w:r>
          </w:p>
        </w:tc>
      </w:tr>
      <w:tr>
        <w:tc>
          <w:tcPr>
            <w:tcW w:type="dxa" w:w="792"/>
          </w:tcPr>
          <w:p>
            <w:pPr>
              <w:spacing w:after="20"/>
            </w:pPr>
            <w:r>
              <w:rPr>
                <w:sz w:val="14"/>
              </w:rPr>
              <w:t>02 Jul</w:t>
            </w:r>
          </w:p>
        </w:tc>
        <w:tc>
          <w:tcPr>
            <w:tcW w:type="dxa" w:w="893"/>
          </w:tcPr>
          <w:p>
            <w:pPr>
              <w:spacing w:after="20"/>
            </w:pPr>
            <w:r>
              <w:rPr>
                <w:sz w:val="14"/>
              </w:rPr>
              <w:t>4,031.29</w:t>
            </w:r>
          </w:p>
        </w:tc>
        <w:tc>
          <w:tcPr>
            <w:tcW w:type="dxa" w:w="893"/>
          </w:tcPr>
          <w:p>
            <w:pPr>
              <w:spacing w:after="20"/>
            </w:pPr>
            <w:r>
              <w:rPr>
                <w:sz w:val="14"/>
              </w:rPr>
              <w:t>4,144.11</w:t>
            </w:r>
          </w:p>
        </w:tc>
        <w:tc>
          <w:tcPr>
            <w:tcW w:type="dxa" w:w="893"/>
          </w:tcPr>
          <w:p>
            <w:pPr>
              <w:spacing w:after="20"/>
            </w:pPr>
            <w:r>
              <w:rPr>
                <w:sz w:val="14"/>
              </w:rPr>
              <w:t>4,030.81</w:t>
            </w:r>
          </w:p>
        </w:tc>
        <w:tc>
          <w:tcPr>
            <w:tcW w:type="dxa" w:w="893"/>
          </w:tcPr>
          <w:p>
            <w:pPr>
              <w:spacing w:after="20"/>
            </w:pPr>
            <w:r>
              <w:rPr>
                <w:b/>
                <w:sz w:val="14"/>
              </w:rPr>
              <w:t>4,108.07</w:t>
            </w:r>
          </w:p>
        </w:tc>
        <w:tc>
          <w:tcPr>
            <w:tcW w:type="dxa" w:w="605"/>
          </w:tcPr>
          <w:p>
            <w:pPr>
              <w:spacing w:after="20"/>
            </w:pPr>
            <w:r>
              <w:rPr>
                <w:sz w:val="14"/>
              </w:rPr>
              <w:t>100.0</w:t>
            </w:r>
          </w:p>
        </w:tc>
        <w:tc>
          <w:tcPr>
            <w:tcW w:type="dxa" w:w="792"/>
          </w:tcPr>
          <w:p>
            <w:pPr>
              <w:spacing w:after="20"/>
            </w:pPr>
            <w:r>
              <w:rPr>
                <w:sz w:val="14"/>
              </w:rPr>
              <w:t>Bullish</w:t>
            </w:r>
          </w:p>
        </w:tc>
        <w:tc>
          <w:tcPr>
            <w:tcW w:type="dxa" w:w="1037"/>
          </w:tcPr>
          <w:p>
            <w:pPr>
              <w:spacing w:after="20"/>
            </w:pPr>
            <w:r>
              <w:rPr>
                <w:sz w:val="14"/>
              </w:rPr>
              <w:t>Investing.com</w:t>
            </w:r>
          </w:p>
        </w:tc>
        <w:tc>
          <w:tcPr>
            <w:tcW w:type="dxa" w:w="1080"/>
          </w:tcPr>
          <w:p>
            <w:pPr>
              <w:spacing w:after="20"/>
            </w:pPr>
            <w:r>
              <w:rPr>
                <w:sz w:val="14"/>
              </w:rPr>
              <w:t>TradingEconomics</w:t>
            </w:r>
          </w:p>
        </w:tc>
        <w:tc>
          <w:tcPr>
            <w:tcW w:type="dxa" w:w="1080"/>
          </w:tcPr>
          <w:p>
            <w:pPr>
              <w:spacing w:after="20"/>
            </w:pPr>
            <w:r>
              <w:rPr>
                <w:sz w:val="14"/>
              </w:rPr>
              <w:t>4,108.07</w:t>
            </w:r>
          </w:p>
        </w:tc>
        <w:tc>
          <w:tcPr>
            <w:tcW w:type="dxa" w:w="1411"/>
          </w:tcPr>
          <w:p>
            <w:pPr>
              <w:spacing w:after="20"/>
            </w:pPr>
            <w:r>
              <w:rPr>
                <w:sz w:val="14"/>
              </w:rPr>
              <w:t>SINGLE-SOURCE (indicative)</w:t>
            </w:r>
          </w:p>
        </w:tc>
      </w:tr>
    </w:tbl>
    <w:p>
      <w:pPr>
        <w:spacing w:after="120"/>
      </w:pPr>
      <w:r>
        <w:rPr>
          <w:b w:val="0"/>
          <w:i/>
          <w:color w:val="A02020"/>
          <w:sz w:val="18"/>
        </w:rPr>
        <w:t>All five sessions are marked single-source indicative: cross-provider deltas exceed the ±$0.50 tolerance for gold, so no OHLC field achieves formal two-source corroboration. Per instruction, the analysis proceeds and the trading section is not suppressed; the indicative flag is carried through to the pivot and strategy sections (see §11, §19, §21).</w:t>
      </w:r>
    </w:p>
    <w:p>
      <w:pPr>
        <w:pStyle w:val="Heading2"/>
      </w:pPr>
      <w:r>
        <w:rPr>
          <w:b/>
          <w:color w:val="9A7D0A"/>
          <w:sz w:val="23"/>
        </w:rPr>
        <w:t>Silver (XAG/USD) — secondary (condensed)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080"/>
            <w:shd w:val="clear" w:color="auto" w:fill="1f2d3d"/>
          </w:tcPr>
          <w:p>
            <w:pPr>
              <w:spacing w:after="20"/>
            </w:pPr>
            <w:r>
              <w:rPr>
                <w:b/>
                <w:color w:val="FFFFFF"/>
                <w:sz w:val="15"/>
              </w:rPr>
              <w:t>Date</w:t>
            </w:r>
          </w:p>
        </w:tc>
        <w:tc>
          <w:tcPr>
            <w:tcW w:type="dxa" w:w="1152"/>
            <w:shd w:val="clear" w:color="auto" w:fill="1f2d3d"/>
          </w:tcPr>
          <w:p>
            <w:pPr>
              <w:spacing w:after="20"/>
            </w:pPr>
            <w:r>
              <w:rPr>
                <w:b/>
                <w:color w:val="FFFFFF"/>
                <w:sz w:val="15"/>
              </w:rPr>
              <w:t>Open</w:t>
            </w:r>
          </w:p>
        </w:tc>
        <w:tc>
          <w:tcPr>
            <w:tcW w:type="dxa" w:w="1152"/>
            <w:shd w:val="clear" w:color="auto" w:fill="1f2d3d"/>
          </w:tcPr>
          <w:p>
            <w:pPr>
              <w:spacing w:after="20"/>
            </w:pPr>
            <w:r>
              <w:rPr>
                <w:b/>
                <w:color w:val="FFFFFF"/>
                <w:sz w:val="15"/>
              </w:rPr>
              <w:t>High</w:t>
            </w:r>
          </w:p>
        </w:tc>
        <w:tc>
          <w:tcPr>
            <w:tcW w:type="dxa" w:w="1152"/>
            <w:shd w:val="clear" w:color="auto" w:fill="1f2d3d"/>
          </w:tcPr>
          <w:p>
            <w:pPr>
              <w:spacing w:after="20"/>
            </w:pPr>
            <w:r>
              <w:rPr>
                <w:b/>
                <w:color w:val="FFFFFF"/>
                <w:sz w:val="15"/>
              </w:rPr>
              <w:t>Low</w:t>
            </w:r>
          </w:p>
        </w:tc>
        <w:tc>
          <w:tcPr>
            <w:tcW w:type="dxa" w:w="1152"/>
            <w:shd w:val="clear" w:color="auto" w:fill="1f2d3d"/>
          </w:tcPr>
          <w:p>
            <w:pPr>
              <w:spacing w:after="20"/>
            </w:pPr>
            <w:r>
              <w:rPr>
                <w:b/>
                <w:color w:val="FFFFFF"/>
                <w:sz w:val="15"/>
              </w:rPr>
              <w:t>Close</w:t>
            </w:r>
          </w:p>
        </w:tc>
        <w:tc>
          <w:tcPr>
            <w:tcW w:type="dxa" w:w="792"/>
            <w:shd w:val="clear" w:color="auto" w:fill="1f2d3d"/>
          </w:tcPr>
          <w:p>
            <w:pPr>
              <w:spacing w:after="20"/>
            </w:pPr>
            <w:r>
              <w:rPr>
                <w:b/>
                <w:color w:val="FFFFFF"/>
                <w:sz w:val="15"/>
              </w:rPr>
              <w:t>RSI2</w:t>
            </w:r>
          </w:p>
        </w:tc>
        <w:tc>
          <w:tcPr>
            <w:tcW w:type="dxa" w:w="1080"/>
            <w:shd w:val="clear" w:color="auto" w:fill="1f2d3d"/>
          </w:tcPr>
          <w:p>
            <w:pPr>
              <w:spacing w:after="20"/>
            </w:pPr>
            <w:r>
              <w:rPr>
                <w:b/>
                <w:color w:val="FFFFFF"/>
                <w:sz w:val="15"/>
              </w:rPr>
              <w:t>Trend</w:t>
            </w:r>
          </w:p>
        </w:tc>
        <w:tc>
          <w:tcPr>
            <w:tcW w:type="dxa" w:w="1440"/>
            <w:shd w:val="clear" w:color="auto" w:fill="1f2d3d"/>
          </w:tcPr>
          <w:p>
            <w:pPr>
              <w:spacing w:after="20"/>
            </w:pPr>
            <w:r>
              <w:rPr>
                <w:b/>
                <w:color w:val="FFFFFF"/>
                <w:sz w:val="15"/>
              </w:rPr>
              <w:t>Validation</w:t>
            </w:r>
          </w:p>
        </w:tc>
      </w:tr>
      <w:tr>
        <w:tc>
          <w:tcPr>
            <w:tcW w:type="dxa" w:w="1080"/>
          </w:tcPr>
          <w:p>
            <w:pPr>
              <w:spacing w:after="20"/>
            </w:pPr>
            <w:r>
              <w:rPr>
                <w:sz w:val="15"/>
              </w:rPr>
              <w:t>26 Jun</w:t>
            </w:r>
          </w:p>
        </w:tc>
        <w:tc>
          <w:tcPr>
            <w:tcW w:type="dxa" w:w="1152"/>
          </w:tcPr>
          <w:p>
            <w:pPr>
              <w:spacing w:after="20"/>
            </w:pPr>
            <w:r>
              <w:rPr>
                <w:sz w:val="15"/>
              </w:rPr>
              <w:t>46.10</w:t>
            </w:r>
          </w:p>
        </w:tc>
        <w:tc>
          <w:tcPr>
            <w:tcW w:type="dxa" w:w="1152"/>
          </w:tcPr>
          <w:p>
            <w:pPr>
              <w:spacing w:after="20"/>
            </w:pPr>
            <w:r>
              <w:rPr>
                <w:sz w:val="15"/>
              </w:rPr>
              <w:t>46.85</w:t>
            </w:r>
          </w:p>
        </w:tc>
        <w:tc>
          <w:tcPr>
            <w:tcW w:type="dxa" w:w="1152"/>
          </w:tcPr>
          <w:p>
            <w:pPr>
              <w:spacing w:after="20"/>
            </w:pPr>
            <w:r>
              <w:rPr>
                <w:sz w:val="15"/>
              </w:rPr>
              <w:t>45.20</w:t>
            </w:r>
          </w:p>
        </w:tc>
        <w:tc>
          <w:tcPr>
            <w:tcW w:type="dxa" w:w="1152"/>
          </w:tcPr>
          <w:p>
            <w:pPr>
              <w:spacing w:after="20"/>
            </w:pPr>
            <w:r>
              <w:rPr>
                <w:b/>
                <w:sz w:val="15"/>
              </w:rPr>
              <w:t>45.55</w:t>
            </w:r>
          </w:p>
        </w:tc>
        <w:tc>
          <w:tcPr>
            <w:tcW w:type="dxa" w:w="792"/>
          </w:tcPr>
          <w:p>
            <w:pPr>
              <w:spacing w:after="20"/>
            </w:pPr>
            <w:r>
              <w:rPr>
                <w:sz w:val="15"/>
              </w:rPr>
              <w:t>—</w:t>
            </w:r>
          </w:p>
        </w:tc>
        <w:tc>
          <w:tcPr>
            <w:tcW w:type="dxa" w:w="1080"/>
          </w:tcPr>
          <w:p>
            <w:pPr>
              <w:spacing w:after="20"/>
            </w:pPr>
            <w:r>
              <w:rPr>
                <w:sz w:val="15"/>
              </w:rPr>
              <w:t>Neutral</w:t>
            </w:r>
          </w:p>
        </w:tc>
        <w:tc>
          <w:tcPr>
            <w:tcW w:type="dxa" w:w="1440"/>
          </w:tcPr>
          <w:p>
            <w:pPr>
              <w:spacing w:after="20"/>
            </w:pPr>
            <w:r>
              <w:rPr>
                <w:sz w:val="15"/>
              </w:rPr>
              <w:t>indicative</w:t>
            </w:r>
          </w:p>
        </w:tc>
      </w:tr>
      <w:tr>
        <w:tc>
          <w:tcPr>
            <w:tcW w:type="dxa" w:w="1080"/>
            <w:shd w:val="clear" w:color="auto" w:fill="f2f4f6"/>
          </w:tcPr>
          <w:p>
            <w:pPr>
              <w:spacing w:after="20"/>
            </w:pPr>
            <w:r>
              <w:rPr>
                <w:sz w:val="15"/>
              </w:rPr>
              <w:t>29 Jun</w:t>
            </w:r>
          </w:p>
        </w:tc>
        <w:tc>
          <w:tcPr>
            <w:tcW w:type="dxa" w:w="1152"/>
            <w:shd w:val="clear" w:color="auto" w:fill="f2f4f6"/>
          </w:tcPr>
          <w:p>
            <w:pPr>
              <w:spacing w:after="20"/>
            </w:pPr>
            <w:r>
              <w:rPr>
                <w:sz w:val="15"/>
              </w:rPr>
              <w:t>45.55</w:t>
            </w:r>
          </w:p>
        </w:tc>
        <w:tc>
          <w:tcPr>
            <w:tcW w:type="dxa" w:w="1152"/>
            <w:shd w:val="clear" w:color="auto" w:fill="f2f4f6"/>
          </w:tcPr>
          <w:p>
            <w:pPr>
              <w:spacing w:after="20"/>
            </w:pPr>
            <w:r>
              <w:rPr>
                <w:sz w:val="15"/>
              </w:rPr>
              <w:t>46.30</w:t>
            </w:r>
          </w:p>
        </w:tc>
        <w:tc>
          <w:tcPr>
            <w:tcW w:type="dxa" w:w="1152"/>
            <w:shd w:val="clear" w:color="auto" w:fill="f2f4f6"/>
          </w:tcPr>
          <w:p>
            <w:pPr>
              <w:spacing w:after="20"/>
            </w:pPr>
            <w:r>
              <w:rPr>
                <w:sz w:val="15"/>
              </w:rPr>
              <w:t>44.80</w:t>
            </w:r>
          </w:p>
        </w:tc>
        <w:tc>
          <w:tcPr>
            <w:tcW w:type="dxa" w:w="1152"/>
            <w:shd w:val="clear" w:color="auto" w:fill="f2f4f6"/>
          </w:tcPr>
          <w:p>
            <w:pPr>
              <w:spacing w:after="20"/>
            </w:pPr>
            <w:r>
              <w:rPr>
                <w:b/>
                <w:sz w:val="15"/>
              </w:rPr>
              <w:t>45.98</w:t>
            </w:r>
          </w:p>
        </w:tc>
        <w:tc>
          <w:tcPr>
            <w:tcW w:type="dxa" w:w="792"/>
            <w:shd w:val="clear" w:color="auto" w:fill="f2f4f6"/>
          </w:tcPr>
          <w:p>
            <w:pPr>
              <w:spacing w:after="20"/>
            </w:pPr>
            <w:r>
              <w:rPr>
                <w:sz w:val="15"/>
              </w:rPr>
              <w:t>—</w:t>
            </w:r>
          </w:p>
        </w:tc>
        <w:tc>
          <w:tcPr>
            <w:tcW w:type="dxa" w:w="1080"/>
            <w:shd w:val="clear" w:color="auto" w:fill="f2f4f6"/>
          </w:tcPr>
          <w:p>
            <w:pPr>
              <w:spacing w:after="20"/>
            </w:pPr>
            <w:r>
              <w:rPr>
                <w:sz w:val="15"/>
              </w:rPr>
              <w:t>Neutral</w:t>
            </w:r>
          </w:p>
        </w:tc>
        <w:tc>
          <w:tcPr>
            <w:tcW w:type="dxa" w:w="1440"/>
            <w:shd w:val="clear" w:color="auto" w:fill="f2f4f6"/>
          </w:tcPr>
          <w:p>
            <w:pPr>
              <w:spacing w:after="20"/>
            </w:pPr>
            <w:r>
              <w:rPr>
                <w:sz w:val="15"/>
              </w:rPr>
              <w:t>indicative</w:t>
            </w:r>
          </w:p>
        </w:tc>
      </w:tr>
      <w:tr>
        <w:tc>
          <w:tcPr>
            <w:tcW w:type="dxa" w:w="1080"/>
          </w:tcPr>
          <w:p>
            <w:pPr>
              <w:spacing w:after="20"/>
            </w:pPr>
            <w:r>
              <w:rPr>
                <w:sz w:val="15"/>
              </w:rPr>
              <w:t>30 Jun</w:t>
            </w:r>
          </w:p>
        </w:tc>
        <w:tc>
          <w:tcPr>
            <w:tcW w:type="dxa" w:w="1152"/>
          </w:tcPr>
          <w:p>
            <w:pPr>
              <w:spacing w:after="20"/>
            </w:pPr>
            <w:r>
              <w:rPr>
                <w:sz w:val="15"/>
              </w:rPr>
              <w:t>45.98</w:t>
            </w:r>
          </w:p>
        </w:tc>
        <w:tc>
          <w:tcPr>
            <w:tcW w:type="dxa" w:w="1152"/>
          </w:tcPr>
          <w:p>
            <w:pPr>
              <w:spacing w:after="20"/>
            </w:pPr>
            <w:r>
              <w:rPr>
                <w:sz w:val="15"/>
              </w:rPr>
              <w:t>46.10</w:t>
            </w:r>
          </w:p>
        </w:tc>
        <w:tc>
          <w:tcPr>
            <w:tcW w:type="dxa" w:w="1152"/>
          </w:tcPr>
          <w:p>
            <w:pPr>
              <w:spacing w:after="20"/>
            </w:pPr>
            <w:r>
              <w:rPr>
                <w:sz w:val="15"/>
              </w:rPr>
              <w:t>44.40</w:t>
            </w:r>
          </w:p>
        </w:tc>
        <w:tc>
          <w:tcPr>
            <w:tcW w:type="dxa" w:w="1152"/>
          </w:tcPr>
          <w:p>
            <w:pPr>
              <w:spacing w:after="20"/>
            </w:pPr>
            <w:r>
              <w:rPr>
                <w:b/>
                <w:sz w:val="15"/>
              </w:rPr>
              <w:t>44.70</w:t>
            </w:r>
          </w:p>
        </w:tc>
        <w:tc>
          <w:tcPr>
            <w:tcW w:type="dxa" w:w="792"/>
          </w:tcPr>
          <w:p>
            <w:pPr>
              <w:spacing w:after="20"/>
            </w:pPr>
            <w:r>
              <w:rPr>
                <w:sz w:val="15"/>
              </w:rPr>
              <w:t>0.0</w:t>
            </w:r>
          </w:p>
        </w:tc>
        <w:tc>
          <w:tcPr>
            <w:tcW w:type="dxa" w:w="1080"/>
          </w:tcPr>
          <w:p>
            <w:pPr>
              <w:spacing w:after="20"/>
            </w:pPr>
            <w:r>
              <w:rPr>
                <w:sz w:val="15"/>
              </w:rPr>
              <w:t>Bearish</w:t>
            </w:r>
          </w:p>
        </w:tc>
        <w:tc>
          <w:tcPr>
            <w:tcW w:type="dxa" w:w="1440"/>
          </w:tcPr>
          <w:p>
            <w:pPr>
              <w:spacing w:after="20"/>
            </w:pPr>
            <w:r>
              <w:rPr>
                <w:sz w:val="15"/>
              </w:rPr>
              <w:t>indicative</w:t>
            </w:r>
          </w:p>
        </w:tc>
      </w:tr>
      <w:tr>
        <w:tc>
          <w:tcPr>
            <w:tcW w:type="dxa" w:w="1080"/>
            <w:shd w:val="clear" w:color="auto" w:fill="f2f4f6"/>
          </w:tcPr>
          <w:p>
            <w:pPr>
              <w:spacing w:after="20"/>
            </w:pPr>
            <w:r>
              <w:rPr>
                <w:sz w:val="15"/>
              </w:rPr>
              <w:t>01 Jul</w:t>
            </w:r>
          </w:p>
        </w:tc>
        <w:tc>
          <w:tcPr>
            <w:tcW w:type="dxa" w:w="1152"/>
            <w:shd w:val="clear" w:color="auto" w:fill="f2f4f6"/>
          </w:tcPr>
          <w:p>
            <w:pPr>
              <w:spacing w:after="20"/>
            </w:pPr>
            <w:r>
              <w:rPr>
                <w:sz w:val="15"/>
              </w:rPr>
              <w:t>44.70</w:t>
            </w:r>
          </w:p>
        </w:tc>
        <w:tc>
          <w:tcPr>
            <w:tcW w:type="dxa" w:w="1152"/>
            <w:shd w:val="clear" w:color="auto" w:fill="f2f4f6"/>
          </w:tcPr>
          <w:p>
            <w:pPr>
              <w:spacing w:after="20"/>
            </w:pPr>
            <w:r>
              <w:rPr>
                <w:sz w:val="15"/>
              </w:rPr>
              <w:t>45.30</w:t>
            </w:r>
          </w:p>
        </w:tc>
        <w:tc>
          <w:tcPr>
            <w:tcW w:type="dxa" w:w="1152"/>
            <w:shd w:val="clear" w:color="auto" w:fill="f2f4f6"/>
          </w:tcPr>
          <w:p>
            <w:pPr>
              <w:spacing w:after="20"/>
            </w:pPr>
            <w:r>
              <w:rPr>
                <w:sz w:val="15"/>
              </w:rPr>
              <w:t>43.90</w:t>
            </w:r>
          </w:p>
        </w:tc>
        <w:tc>
          <w:tcPr>
            <w:tcW w:type="dxa" w:w="1152"/>
            <w:shd w:val="clear" w:color="auto" w:fill="f2f4f6"/>
          </w:tcPr>
          <w:p>
            <w:pPr>
              <w:spacing w:after="20"/>
            </w:pPr>
            <w:r>
              <w:rPr>
                <w:b/>
                <w:sz w:val="15"/>
              </w:rPr>
              <w:t>45.05</w:t>
            </w:r>
          </w:p>
        </w:tc>
        <w:tc>
          <w:tcPr>
            <w:tcW w:type="dxa" w:w="792"/>
            <w:shd w:val="clear" w:color="auto" w:fill="f2f4f6"/>
          </w:tcPr>
          <w:p>
            <w:pPr>
              <w:spacing w:after="20"/>
            </w:pPr>
            <w:r>
              <w:rPr>
                <w:sz w:val="15"/>
              </w:rPr>
              <w:t>—</w:t>
            </w:r>
          </w:p>
        </w:tc>
        <w:tc>
          <w:tcPr>
            <w:tcW w:type="dxa" w:w="1080"/>
            <w:shd w:val="clear" w:color="auto" w:fill="f2f4f6"/>
          </w:tcPr>
          <w:p>
            <w:pPr>
              <w:spacing w:after="20"/>
            </w:pPr>
            <w:r>
              <w:rPr>
                <w:sz w:val="15"/>
              </w:rPr>
              <w:t>Neutral</w:t>
            </w:r>
          </w:p>
        </w:tc>
        <w:tc>
          <w:tcPr>
            <w:tcW w:type="dxa" w:w="1440"/>
            <w:shd w:val="clear" w:color="auto" w:fill="f2f4f6"/>
          </w:tcPr>
          <w:p>
            <w:pPr>
              <w:spacing w:after="20"/>
            </w:pPr>
            <w:r>
              <w:rPr>
                <w:sz w:val="15"/>
              </w:rPr>
              <w:t>indicative</w:t>
            </w:r>
          </w:p>
        </w:tc>
      </w:tr>
      <w:tr>
        <w:tc>
          <w:tcPr>
            <w:tcW w:type="dxa" w:w="1080"/>
          </w:tcPr>
          <w:p>
            <w:pPr>
              <w:spacing w:after="20"/>
            </w:pPr>
            <w:r>
              <w:rPr>
                <w:sz w:val="15"/>
              </w:rPr>
              <w:t>02 Jul</w:t>
            </w:r>
          </w:p>
        </w:tc>
        <w:tc>
          <w:tcPr>
            <w:tcW w:type="dxa" w:w="1152"/>
          </w:tcPr>
          <w:p>
            <w:pPr>
              <w:spacing w:after="20"/>
            </w:pPr>
            <w:r>
              <w:rPr>
                <w:sz w:val="15"/>
              </w:rPr>
              <w:t>45.05</w:t>
            </w:r>
          </w:p>
        </w:tc>
        <w:tc>
          <w:tcPr>
            <w:tcW w:type="dxa" w:w="1152"/>
          </w:tcPr>
          <w:p>
            <w:pPr>
              <w:spacing w:after="20"/>
            </w:pPr>
            <w:r>
              <w:rPr>
                <w:sz w:val="15"/>
              </w:rPr>
              <w:t>46.60</w:t>
            </w:r>
          </w:p>
        </w:tc>
        <w:tc>
          <w:tcPr>
            <w:tcW w:type="dxa" w:w="1152"/>
          </w:tcPr>
          <w:p>
            <w:pPr>
              <w:spacing w:after="20"/>
            </w:pPr>
            <w:r>
              <w:rPr>
                <w:sz w:val="15"/>
              </w:rPr>
              <w:t>45.00</w:t>
            </w:r>
          </w:p>
        </w:tc>
        <w:tc>
          <w:tcPr>
            <w:tcW w:type="dxa" w:w="1152"/>
          </w:tcPr>
          <w:p>
            <w:pPr>
              <w:spacing w:after="20"/>
            </w:pPr>
            <w:r>
              <w:rPr>
                <w:b/>
                <w:sz w:val="15"/>
              </w:rPr>
              <w:t>46.32</w:t>
            </w:r>
          </w:p>
        </w:tc>
        <w:tc>
          <w:tcPr>
            <w:tcW w:type="dxa" w:w="792"/>
          </w:tcPr>
          <w:p>
            <w:pPr>
              <w:spacing w:after="20"/>
            </w:pPr>
            <w:r>
              <w:rPr>
                <w:sz w:val="15"/>
              </w:rPr>
              <w:t>100.0</w:t>
            </w:r>
          </w:p>
        </w:tc>
        <w:tc>
          <w:tcPr>
            <w:tcW w:type="dxa" w:w="1080"/>
          </w:tcPr>
          <w:p>
            <w:pPr>
              <w:spacing w:after="20"/>
            </w:pPr>
            <w:r>
              <w:rPr>
                <w:sz w:val="15"/>
              </w:rPr>
              <w:t>Bullish</w:t>
            </w:r>
          </w:p>
        </w:tc>
        <w:tc>
          <w:tcPr>
            <w:tcW w:type="dxa" w:w="1440"/>
          </w:tcPr>
          <w:p>
            <w:pPr>
              <w:spacing w:after="20"/>
            </w:pPr>
            <w:r>
              <w:rPr>
                <w:sz w:val="15"/>
              </w:rPr>
              <w:t>indicative</w:t>
            </w:r>
          </w:p>
        </w:tc>
      </w:tr>
    </w:tbl>
    <w:p>
      <w:pPr>
        <w:pStyle w:val="Heading1"/>
        <w:spacing w:before="200"/>
      </w:pPr>
      <w:r>
        <w:rPr>
          <w:b/>
          <w:color w:val="1F2D3D"/>
          <w:sz w:val="28"/>
        </w:rPr>
        <w:t>7 · Charts</w:t>
      </w:r>
    </w:p>
    <w:p>
      <w:pPr>
        <w:jc w:val="center"/>
      </w:pPr>
      <w:r>
        <w:drawing>
          <wp:inline xmlns:a="http://schemas.openxmlformats.org/drawingml/2006/main" xmlns:pic="http://schemas.openxmlformats.org/drawingml/2006/picture">
            <wp:extent cx="5715000" cy="3048000"/>
            <wp:docPr id="1" name="Picture 1"/>
            <wp:cNvGraphicFramePr>
              <a:graphicFrameLocks noChangeAspect="1"/>
            </wp:cNvGraphicFramePr>
            <a:graphic>
              <a:graphicData uri="http://schemas.openxmlformats.org/drawingml/2006/picture">
                <pic:pic>
                  <pic:nvPicPr>
                    <pic:cNvPr id="0" name="c1_candles.png"/>
                    <pic:cNvPicPr/>
                  </pic:nvPicPr>
                  <pic:blipFill>
                    <a:blip r:embed="rId9"/>
                    <a:stretch>
                      <a:fillRect/>
                    </a:stretch>
                  </pic:blipFill>
                  <pic:spPr>
                    <a:xfrm>
                      <a:off x="0" y="0"/>
                      <a:ext cx="5715000" cy="3048000"/>
                    </a:xfrm>
                    <a:prstGeom prst="rect"/>
                  </pic:spPr>
                </pic:pic>
              </a:graphicData>
            </a:graphic>
          </wp:inline>
        </w:drawing>
      </w:r>
    </w:p>
    <w:p>
      <w:pPr>
        <w:jc w:val="center"/>
      </w:pPr>
      <w:r>
        <w:rPr>
          <w:i/>
          <w:color w:val="555555"/>
          <w:sz w:val="17"/>
        </w:rPr>
        <w:t>Chart 1 — 5-session candlestick, Gold spot, USD/oz</w:t>
      </w:r>
    </w:p>
    <w:p>
      <w:pPr>
        <w:jc w:val="center"/>
      </w:pPr>
      <w:r>
        <w:drawing>
          <wp:inline xmlns:a="http://schemas.openxmlformats.org/drawingml/2006/main" xmlns:pic="http://schemas.openxmlformats.org/drawingml/2006/picture">
            <wp:extent cx="5715000" cy="3048000"/>
            <wp:docPr id="2" name="Picture 2"/>
            <wp:cNvGraphicFramePr>
              <a:graphicFrameLocks noChangeAspect="1"/>
            </wp:cNvGraphicFramePr>
            <a:graphic>
              <a:graphicData uri="http://schemas.openxmlformats.org/drawingml/2006/picture">
                <pic:pic>
                  <pic:nvPicPr>
                    <pic:cNvPr id="0" name="c2_open0.png"/>
                    <pic:cNvPicPr/>
                  </pic:nvPicPr>
                  <pic:blipFill>
                    <a:blip r:embed="rId10"/>
                    <a:stretch>
                      <a:fillRect/>
                    </a:stretch>
                  </pic:blipFill>
                  <pic:spPr>
                    <a:xfrm>
                      <a:off x="0" y="0"/>
                      <a:ext cx="5715000" cy="3048000"/>
                    </a:xfrm>
                    <a:prstGeom prst="rect"/>
                  </pic:spPr>
                </pic:pic>
              </a:graphicData>
            </a:graphic>
          </wp:inline>
        </w:drawing>
      </w:r>
    </w:p>
    <w:p>
      <w:pPr>
        <w:jc w:val="center"/>
      </w:pPr>
      <w:r>
        <w:rPr>
          <w:i/>
          <w:color w:val="555555"/>
          <w:sz w:val="17"/>
        </w:rPr>
        <w:t>Chart 2 — Distance-from-open (Open=0) across the 5 sessions</w:t>
      </w:r>
    </w:p>
    <w:p>
      <w:pPr>
        <w:jc w:val="center"/>
      </w:pPr>
      <w:r>
        <w:drawing>
          <wp:inline xmlns:a="http://schemas.openxmlformats.org/drawingml/2006/main" xmlns:pic="http://schemas.openxmlformats.org/drawingml/2006/picture">
            <wp:extent cx="5715000" cy="3048000"/>
            <wp:docPr id="3" name="Picture 3"/>
            <wp:cNvGraphicFramePr>
              <a:graphicFrameLocks noChangeAspect="1"/>
            </wp:cNvGraphicFramePr>
            <a:graphic>
              <a:graphicData uri="http://schemas.openxmlformats.org/drawingml/2006/picture">
                <pic:pic>
                  <pic:nvPicPr>
                    <pic:cNvPr id="0" name="c3_5week.png"/>
                    <pic:cNvPicPr/>
                  </pic:nvPicPr>
                  <pic:blipFill>
                    <a:blip r:embed="rId11"/>
                    <a:stretch>
                      <a:fillRect/>
                    </a:stretch>
                  </pic:blipFill>
                  <pic:spPr>
                    <a:xfrm>
                      <a:off x="0" y="0"/>
                      <a:ext cx="5715000" cy="3048000"/>
                    </a:xfrm>
                    <a:prstGeom prst="rect"/>
                  </pic:spPr>
                </pic:pic>
              </a:graphicData>
            </a:graphic>
          </wp:inline>
        </w:drawing>
      </w:r>
    </w:p>
    <w:p>
      <w:pPr>
        <w:jc w:val="center"/>
      </w:pPr>
      <w:r>
        <w:rPr>
          <w:i/>
          <w:color w:val="555555"/>
          <w:sz w:val="17"/>
        </w:rPr>
        <w:t>Chart 3 — 25-session (5-week) structure with close overlay</w:t>
      </w:r>
    </w:p>
    <w:p>
      <w:pPr>
        <w:jc w:val="center"/>
      </w:pPr>
      <w:r>
        <w:drawing>
          <wp:inline xmlns:a="http://schemas.openxmlformats.org/drawingml/2006/main" xmlns:pic="http://schemas.openxmlformats.org/drawingml/2006/picture">
            <wp:extent cx="5715000" cy="3175000"/>
            <wp:docPr id="4" name="Picture 4"/>
            <wp:cNvGraphicFramePr>
              <a:graphicFrameLocks noChangeAspect="1"/>
            </wp:cNvGraphicFramePr>
            <a:graphic>
              <a:graphicData uri="http://schemas.openxmlformats.org/drawingml/2006/picture">
                <pic:pic>
                  <pic:nvPicPr>
                    <pic:cNvPr id="0" name="c4_volator.png"/>
                    <pic:cNvPicPr/>
                  </pic:nvPicPr>
                  <pic:blipFill>
                    <a:blip r:embed="rId12"/>
                    <a:stretch>
                      <a:fillRect/>
                    </a:stretch>
                  </pic:blipFill>
                  <pic:spPr>
                    <a:xfrm>
                      <a:off x="0" y="0"/>
                      <a:ext cx="5715000" cy="3175000"/>
                    </a:xfrm>
                    <a:prstGeom prst="rect"/>
                  </pic:spPr>
                </pic:pic>
              </a:graphicData>
            </a:graphic>
          </wp:inline>
        </w:drawing>
      </w:r>
    </w:p>
    <w:p>
      <w:pPr>
        <w:jc w:val="center"/>
      </w:pPr>
      <w:r>
        <w:rPr>
          <w:i/>
          <w:color w:val="555555"/>
          <w:sz w:val="17"/>
        </w:rPr>
        <w:t>Chart 4 — Comparative scaled volatility: Gold vs USDX, S&amp;P 500, DAX 40</w:t>
      </w:r>
    </w:p>
    <w:p>
      <w:pPr>
        <w:jc w:val="center"/>
      </w:pPr>
      <w:r>
        <w:drawing>
          <wp:inline xmlns:a="http://schemas.openxmlformats.org/drawingml/2006/main" xmlns:pic="http://schemas.openxmlformats.org/drawingml/2006/picture">
            <wp:extent cx="5715000" cy="4127500"/>
            <wp:docPr id="5" name="Picture 5"/>
            <wp:cNvGraphicFramePr>
              <a:graphicFrameLocks noChangeAspect="1"/>
            </wp:cNvGraphicFramePr>
            <a:graphic>
              <a:graphicData uri="http://schemas.openxmlformats.org/drawingml/2006/picture">
                <pic:pic>
                  <pic:nvPicPr>
                    <pic:cNvPr id="0" name="c5_pivot.png"/>
                    <pic:cNvPicPr/>
                  </pic:nvPicPr>
                  <pic:blipFill>
                    <a:blip r:embed="rId13"/>
                    <a:stretch>
                      <a:fillRect/>
                    </a:stretch>
                  </pic:blipFill>
                  <pic:spPr>
                    <a:xfrm>
                      <a:off x="0" y="0"/>
                      <a:ext cx="5715000" cy="4127500"/>
                    </a:xfrm>
                    <a:prstGeom prst="rect"/>
                  </pic:spPr>
                </pic:pic>
              </a:graphicData>
            </a:graphic>
          </wp:inline>
        </w:drawing>
      </w:r>
    </w:p>
    <w:p>
      <w:pPr>
        <w:jc w:val="center"/>
      </w:pPr>
      <w:r>
        <w:rPr>
          <w:i/>
          <w:color w:val="555555"/>
          <w:sz w:val="17"/>
        </w:rPr>
        <w:t>Chart 5 — Weekly candles with daily floor pivots (smart-scale)</w:t>
      </w:r>
    </w:p>
    <w:p>
      <w:pPr>
        <w:pStyle w:val="Heading1"/>
        <w:spacing w:before="200"/>
      </w:pPr>
      <w:r>
        <w:rPr>
          <w:b/>
          <w:color w:val="1F2D3D"/>
          <w:sz w:val="28"/>
        </w:rPr>
        <w:t>8 · Short-Term Technical Analysis</w:t>
      </w:r>
    </w:p>
    <w:p>
      <w:pPr>
        <w:pStyle w:val="ListBullet"/>
        <w:spacing w:after="60"/>
      </w:pPr>
      <w:r>
        <w:rPr>
          <w:b/>
        </w:rPr>
        <w:t xml:space="preserve">26 Jun: </w:t>
      </w:r>
      <w:r>
        <w:t>small-bodied neutral candle inside the prior range; close mid-range (~28% of range), consolidation after the mid-week slide. Signal: pause, no fresh trend information.</w:t>
      </w:r>
    </w:p>
    <w:p>
      <w:pPr>
        <w:pStyle w:val="ListBullet"/>
        <w:spacing w:after="60"/>
      </w:pPr>
      <w:r>
        <w:rPr>
          <w:b/>
        </w:rPr>
        <w:t xml:space="preserve">29 Jun: </w:t>
      </w:r>
      <w:r>
        <w:t>wide-range session that swept to 3,990.29 then recovered to close at 4,062.84 (close ~73% of range) — a bullish-tailed reversal candle off the 24 Jun low zone, though RSI2 sits at 0 on the two-day close comparison, flagging near-term stretch. Signal: demand response at the lows.</w:t>
      </w:r>
    </w:p>
    <w:p>
      <w:pPr>
        <w:pStyle w:val="ListBullet"/>
        <w:spacing w:after="60"/>
      </w:pPr>
      <w:r>
        <w:rPr>
          <w:b/>
        </w:rPr>
        <w:t xml:space="preserve">30 Jun: </w:t>
      </w:r>
      <w:r>
        <w:t>bearish body giving back the 29 Jun bounce, close near the lows (~17% of range), RSI2 = 0. Signal: sellers still present; the reversal was not yet confirmed.</w:t>
      </w:r>
    </w:p>
    <w:p>
      <w:pPr>
        <w:pStyle w:val="ListBullet"/>
        <w:spacing w:after="60"/>
      </w:pPr>
      <w:r>
        <w:rPr>
          <w:b/>
        </w:rPr>
        <w:t xml:space="preserve">01 Jul: </w:t>
      </w:r>
      <w:r>
        <w:t>inside-ish neutral session probing 3,951.68 before closing back at 4,031.29 (close ~85% of range), RSI2 lifting to 29.5. Signal: a higher-conviction demand tail — the base of the bounce.</w:t>
      </w:r>
    </w:p>
    <w:p>
      <w:pPr>
        <w:pStyle w:val="ListBullet"/>
        <w:spacing w:after="60"/>
      </w:pPr>
      <w:r>
        <w:rPr>
          <w:b/>
        </w:rPr>
        <w:t xml:space="preserve">02 Jul: </w:t>
      </w:r>
      <w:r>
        <w:t>strong bullish marubozu-like candle, range 4,030.81–4,144.11, close 4,108.07 near the high (~66% of range), RSI2 = 100.0 on soft-payrolls dovish repricing. Signal: momentum thrust — but into overhead supply.</w:t>
      </w:r>
    </w:p>
    <w:p>
      <w:pPr>
        <w:spacing w:after="120"/>
      </w:pPr>
      <w:r>
        <w:rPr>
          <w:b w:val="0"/>
          <w:i w:val="0"/>
          <w:sz w:val="21"/>
        </w:rPr>
        <w:t>Sequence assessment: Exhaustion-then-thrust — the sequence reads as a downside exhaustion low (29 Jun–01 Jul demand tails) resolving into a two-day momentum snap-back. Evidence: successive lower wicks holding above ~$3,950, followed by an expansion candle on 02 Jul. Classification leans Continuation (of the bounce) in the very short term but sits inside a larger downtrend.</w:t>
      </w:r>
    </w:p>
    <w:p>
      <w:pPr>
        <w:spacing w:after="120"/>
      </w:pPr>
      <w:r>
        <w:rPr>
          <w:b w:val="0"/>
          <w:i w:val="0"/>
          <w:sz w:val="21"/>
        </w:rPr>
        <w:t>Nearest support / resistance (from the validated window): support $4,030.81 (02 Jul low), then $3,951.68 (01 Jul low) and $3,990.29 (29 Jul low cluster). Resistance $4,144.11 (02 Jul high), then structural $4,183 (20-day SMA per FXStreet).</w:t>
      </w:r>
    </w:p>
    <w:p>
      <w:pPr>
        <w:spacing w:after="120"/>
      </w:pPr>
      <w:r>
        <w:rPr>
          <w:b/>
          <w:i w:val="0"/>
          <w:sz w:val="21"/>
        </w:rPr>
        <w:t xml:space="preserve">Judgement label: Range — with reversal risk. </w:t>
      </w:r>
    </w:p>
    <w:p>
      <w:pPr>
        <w:spacing w:after="120"/>
      </w:pPr>
      <w:r>
        <w:rPr>
          <w:b w:val="0"/>
          <w:i/>
          <w:sz w:val="18"/>
        </w:rPr>
        <w:t>Consistency check: this label is consistent with the §9 TRANSITION regime — a short-term bullish impulse embedded in a medium-term bearish structure. No hard conflict; the tension is explicit and carried into the forward view.</w:t>
      </w:r>
    </w:p>
    <w:p>
      <w:pPr>
        <w:pStyle w:val="Heading1"/>
        <w:spacing w:before="200"/>
      </w:pPr>
      <w:r>
        <w:rPr>
          <w:b/>
          <w:color w:val="1F2D3D"/>
          <w:sz w:val="28"/>
        </w:rPr>
        <w:t>9 · Medium-Term Regime &amp; VOLator</w:t>
      </w:r>
    </w:p>
    <w:p>
      <w:pPr>
        <w:pStyle w:val="ListBullet"/>
        <w:spacing w:after="60"/>
      </w:pPr>
      <w:r>
        <w:rPr>
          <w:b/>
        </w:rPr>
        <w:t xml:space="preserve">Regime classification: </w:t>
      </w:r>
      <w:r>
        <w:t>Trending (bearish) transitioning. The 25-session block falls from ~$4,520 to ~$4,108 with directional persistence to the downside; overlap ratio is moderate and the last two sessions break the persistence with an up-thrust — hence TRANSITION rather than clean TREND_DOWN.</w:t>
      </w:r>
    </w:p>
    <w:p>
      <w:pPr>
        <w:pStyle w:val="ListBullet"/>
        <w:spacing w:after="60"/>
      </w:pPr>
      <w:r>
        <w:rPr>
          <w:b/>
        </w:rPr>
        <w:t xml:space="preserve">Bias: </w:t>
      </w:r>
      <w:r>
        <w:t>Bearish (medium-term), with a short-term bullish counter-impulse.</w:t>
      </w:r>
    </w:p>
    <w:p>
      <w:pPr>
        <w:pStyle w:val="ListBullet"/>
        <w:spacing w:after="60"/>
      </w:pPr>
      <w:r>
        <w:rPr>
          <w:b/>
        </w:rPr>
        <w:t xml:space="preserve">VOLator current readings: </w:t>
      </w:r>
      <w:r>
        <w:t>Gold scaled volatility is near its upper band but the 10-observation slope is negative (-0.05) — volatility expanding on the down-legs but contracting into the bounce. Counters (USDX, S&amp;P 500, DAX 40) sit closer to their 0 midpoints; none is in an extreme expansion state.</w:t>
      </w:r>
    </w:p>
    <w:p>
      <w:pPr>
        <w:pStyle w:val="ListBullet"/>
        <w:spacing w:after="60"/>
      </w:pPr>
      <w:r>
        <w:rPr>
          <w:b/>
        </w:rPr>
        <w:t xml:space="preserve">Preferred trade protocol: </w:t>
      </w:r>
      <w:r>
        <w:t>Range-fade / reduced-conviction. With short-term bullish and medium-term bearish signals in conflict, favour fading extremes into pivot resistance rather than chasing the breakout.</w:t>
      </w:r>
    </w:p>
    <w:p>
      <w:pPr>
        <w:pStyle w:val="ListBullet"/>
        <w:spacing w:after="60"/>
      </w:pPr>
      <w:r>
        <w:rPr>
          <w:b/>
        </w:rPr>
        <w:t xml:space="preserve">Kaufman confirmation: </w:t>
      </w:r>
      <w:r>
        <w:t>KER = {S['ker_value']:.2f} → Trending Down — Moderate (|KER| &gt; 0.13). This contradicts the two-day bounce. Where KER and the short-term tape disagree, KER (the smoothed efficiency read) takes precedence for regime labelling — reinforcing TRANSITION and a counter-trend read of the rally.</w:t>
      </w:r>
    </w:p>
    <w:p>
      <w:pPr>
        <w:pStyle w:val="Heading1"/>
        <w:spacing w:before="200"/>
      </w:pPr>
      <w:r>
        <w:rPr>
          <w:b/>
          <w:color w:val="1F2D3D"/>
          <w:sz w:val="28"/>
        </w:rPr>
        <w:t>10 · Cross-Asset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12"/>
            <w:shd w:val="clear" w:color="auto" w:fill="1f2d3d"/>
          </w:tcPr>
          <w:p>
            <w:pPr>
              <w:spacing w:after="20"/>
            </w:pPr>
            <w:r>
              <w:rPr>
                <w:b/>
                <w:color w:val="FFFFFF"/>
                <w:sz w:val="15"/>
              </w:rPr>
              <w:t>Counter</w:t>
            </w:r>
          </w:p>
        </w:tc>
        <w:tc>
          <w:tcPr>
            <w:tcW w:type="dxa" w:w="1368"/>
            <w:shd w:val="clear" w:color="auto" w:fill="1f2d3d"/>
          </w:tcPr>
          <w:p>
            <w:pPr>
              <w:spacing w:after="20"/>
            </w:pPr>
            <w:r>
              <w:rPr>
                <w:b/>
                <w:color w:val="FFFFFF"/>
                <w:sz w:val="15"/>
              </w:rPr>
              <w:t>5-day dir.</w:t>
            </w:r>
          </w:p>
        </w:tc>
        <w:tc>
          <w:tcPr>
            <w:tcW w:type="dxa" w:w="2304"/>
            <w:shd w:val="clear" w:color="auto" w:fill="1f2d3d"/>
          </w:tcPr>
          <w:p>
            <w:pPr>
              <w:spacing w:after="20"/>
            </w:pPr>
            <w:r>
              <w:rPr>
                <w:b/>
                <w:color w:val="FFFFFF"/>
                <w:sz w:val="15"/>
              </w:rPr>
              <w:t>Mechanism</w:t>
            </w:r>
          </w:p>
        </w:tc>
        <w:tc>
          <w:tcPr>
            <w:tcW w:type="dxa" w:w="1512"/>
            <w:shd w:val="clear" w:color="auto" w:fill="1f2d3d"/>
          </w:tcPr>
          <w:p>
            <w:pPr>
              <w:spacing w:after="20"/>
            </w:pPr>
            <w:r>
              <w:rPr>
                <w:b/>
                <w:color w:val="FFFFFF"/>
                <w:sz w:val="15"/>
              </w:rPr>
              <w:t>Status vs regime</w:t>
            </w:r>
          </w:p>
        </w:tc>
        <w:tc>
          <w:tcPr>
            <w:tcW w:type="dxa" w:w="2304"/>
            <w:shd w:val="clear" w:color="auto" w:fill="1f2d3d"/>
          </w:tcPr>
          <w:p>
            <w:pPr>
              <w:spacing w:after="20"/>
            </w:pPr>
            <w:r>
              <w:rPr>
                <w:b/>
                <w:color w:val="FFFFFF"/>
                <w:sz w:val="15"/>
              </w:rPr>
              <w:t>Implication for Gold</w:t>
            </w:r>
          </w:p>
        </w:tc>
      </w:tr>
      <w:tr>
        <w:tc>
          <w:tcPr>
            <w:tcW w:type="dxa" w:w="1512"/>
          </w:tcPr>
          <w:p>
            <w:pPr>
              <w:spacing w:after="20"/>
            </w:pPr>
            <w:r>
              <w:rPr>
                <w:sz w:val="15"/>
              </w:rPr>
              <w:t>USDX (Dollar Index)</w:t>
            </w:r>
          </w:p>
        </w:tc>
        <w:tc>
          <w:tcPr>
            <w:tcW w:type="dxa" w:w="1368"/>
          </w:tcPr>
          <w:p>
            <w:pPr>
              <w:spacing w:after="20"/>
            </w:pPr>
            <w:r>
              <w:rPr>
                <w:sz w:val="15"/>
              </w:rPr>
              <w:t>Falling (off 1-yr high)</w:t>
            </w:r>
          </w:p>
        </w:tc>
        <w:tc>
          <w:tcPr>
            <w:tcW w:type="dxa" w:w="2304"/>
          </w:tcPr>
          <w:p>
            <w:pPr>
              <w:spacing w:after="20"/>
            </w:pPr>
            <w:r>
              <w:rPr>
                <w:sz w:val="15"/>
              </w:rPr>
              <w:t>Inverse: a softer dollar lowers the opportunity cost of holding non-yielding gold</w:t>
            </w:r>
          </w:p>
        </w:tc>
        <w:tc>
          <w:tcPr>
            <w:tcW w:type="dxa" w:w="1512"/>
          </w:tcPr>
          <w:p>
            <w:pPr>
              <w:spacing w:after="20"/>
            </w:pPr>
            <w:r>
              <w:rPr>
                <w:sz w:val="15"/>
              </w:rPr>
              <w:t>Contradicts (bearish regime)</w:t>
            </w:r>
          </w:p>
        </w:tc>
        <w:tc>
          <w:tcPr>
            <w:tcW w:type="dxa" w:w="2304"/>
          </w:tcPr>
          <w:p>
            <w:pPr>
              <w:spacing w:after="20"/>
            </w:pPr>
            <w:r>
              <w:rPr>
                <w:sz w:val="15"/>
              </w:rPr>
              <w:t>Supports the short-term bounce; the main prop under the rally</w:t>
            </w:r>
          </w:p>
        </w:tc>
      </w:tr>
      <w:tr>
        <w:tc>
          <w:tcPr>
            <w:tcW w:type="dxa" w:w="1512"/>
            <w:shd w:val="clear" w:color="auto" w:fill="f2f4f6"/>
          </w:tcPr>
          <w:p>
            <w:pPr>
              <w:spacing w:after="20"/>
            </w:pPr>
            <w:r>
              <w:rPr>
                <w:sz w:val="15"/>
              </w:rPr>
              <w:t>S&amp;P 500</w:t>
            </w:r>
          </w:p>
        </w:tc>
        <w:tc>
          <w:tcPr>
            <w:tcW w:type="dxa" w:w="1368"/>
            <w:shd w:val="clear" w:color="auto" w:fill="f2f4f6"/>
          </w:tcPr>
          <w:p>
            <w:pPr>
              <w:spacing w:after="20"/>
            </w:pPr>
            <w:r>
              <w:rPr>
                <w:sz w:val="15"/>
              </w:rPr>
              <w:t>Flat–soft</w:t>
            </w:r>
          </w:p>
        </w:tc>
        <w:tc>
          <w:tcPr>
            <w:tcW w:type="dxa" w:w="2304"/>
            <w:shd w:val="clear" w:color="auto" w:fill="f2f4f6"/>
          </w:tcPr>
          <w:p>
            <w:pPr>
              <w:spacing w:after="20"/>
            </w:pPr>
            <w:r>
              <w:rPr>
                <w:sz w:val="15"/>
              </w:rPr>
              <w:t>Risk-on/off proxy; equity wobble can rotate flows into gold as a haven</w:t>
            </w:r>
          </w:p>
        </w:tc>
        <w:tc>
          <w:tcPr>
            <w:tcW w:type="dxa" w:w="1512"/>
            <w:shd w:val="clear" w:color="auto" w:fill="f2f4f6"/>
          </w:tcPr>
          <w:p>
            <w:pPr>
              <w:spacing w:after="20"/>
            </w:pPr>
            <w:r>
              <w:rPr>
                <w:sz w:val="15"/>
              </w:rPr>
              <w:t>Neutral</w:t>
            </w:r>
          </w:p>
        </w:tc>
        <w:tc>
          <w:tcPr>
            <w:tcW w:type="dxa" w:w="2304"/>
            <w:shd w:val="clear" w:color="auto" w:fill="f2f4f6"/>
          </w:tcPr>
          <w:p>
            <w:pPr>
              <w:spacing w:after="20"/>
            </w:pPr>
            <w:r>
              <w:rPr>
                <w:sz w:val="15"/>
              </w:rPr>
              <w:t>Mildly supportive at the margin; not decisive</w:t>
            </w:r>
          </w:p>
        </w:tc>
      </w:tr>
      <w:tr>
        <w:tc>
          <w:tcPr>
            <w:tcW w:type="dxa" w:w="1512"/>
          </w:tcPr>
          <w:p>
            <w:pPr>
              <w:spacing w:after="20"/>
            </w:pPr>
            <w:r>
              <w:rPr>
                <w:sz w:val="15"/>
              </w:rPr>
              <w:t>DAX 40</w:t>
            </w:r>
          </w:p>
        </w:tc>
        <w:tc>
          <w:tcPr>
            <w:tcW w:type="dxa" w:w="1368"/>
          </w:tcPr>
          <w:p>
            <w:pPr>
              <w:spacing w:after="20"/>
            </w:pPr>
            <w:r>
              <w:rPr>
                <w:sz w:val="15"/>
              </w:rPr>
              <w:t>Flat</w:t>
            </w:r>
          </w:p>
        </w:tc>
        <w:tc>
          <w:tcPr>
            <w:tcW w:type="dxa" w:w="2304"/>
          </w:tcPr>
          <w:p>
            <w:pPr>
              <w:spacing w:after="20"/>
            </w:pPr>
            <w:r>
              <w:rPr>
                <w:sz w:val="15"/>
              </w:rPr>
              <w:t>European risk confirmation; cross-validates US risk tone</w:t>
            </w:r>
          </w:p>
        </w:tc>
        <w:tc>
          <w:tcPr>
            <w:tcW w:type="dxa" w:w="1512"/>
          </w:tcPr>
          <w:p>
            <w:pPr>
              <w:spacing w:after="20"/>
            </w:pPr>
            <w:r>
              <w:rPr>
                <w:sz w:val="15"/>
              </w:rPr>
              <w:t>Neutral</w:t>
            </w:r>
          </w:p>
        </w:tc>
        <w:tc>
          <w:tcPr>
            <w:tcW w:type="dxa" w:w="2304"/>
          </w:tcPr>
          <w:p>
            <w:pPr>
              <w:spacing w:after="20"/>
            </w:pPr>
            <w:r>
              <w:rPr>
                <w:sz w:val="15"/>
              </w:rPr>
              <w:t>No independent signal this window</w:t>
            </w:r>
          </w:p>
        </w:tc>
      </w:tr>
      <w:tr>
        <w:tc>
          <w:tcPr>
            <w:tcW w:type="dxa" w:w="1512"/>
            <w:shd w:val="clear" w:color="auto" w:fill="f2f4f6"/>
          </w:tcPr>
          <w:p>
            <w:pPr>
              <w:spacing w:after="20"/>
            </w:pPr>
            <w:r>
              <w:rPr>
                <w:sz w:val="15"/>
              </w:rPr>
              <w:t>Silver (XAG/USD)</w:t>
            </w:r>
          </w:p>
        </w:tc>
        <w:tc>
          <w:tcPr>
            <w:tcW w:type="dxa" w:w="1368"/>
            <w:shd w:val="clear" w:color="auto" w:fill="f2f4f6"/>
          </w:tcPr>
          <w:p>
            <w:pPr>
              <w:spacing w:after="20"/>
            </w:pPr>
            <w:r>
              <w:rPr>
                <w:sz w:val="15"/>
              </w:rPr>
              <w:t>Rising (with gold)</w:t>
            </w:r>
          </w:p>
        </w:tc>
        <w:tc>
          <w:tcPr>
            <w:tcW w:type="dxa" w:w="2304"/>
            <w:shd w:val="clear" w:color="auto" w:fill="f2f4f6"/>
          </w:tcPr>
          <w:p>
            <w:pPr>
              <w:spacing w:after="20"/>
            </w:pPr>
            <w:r>
              <w:rPr>
                <w:sz w:val="15"/>
              </w:rPr>
              <w:t>Precious-metals beta; silver leads/confirms metal-complex risk appetite</w:t>
            </w:r>
          </w:p>
        </w:tc>
        <w:tc>
          <w:tcPr>
            <w:tcW w:type="dxa" w:w="1512"/>
            <w:shd w:val="clear" w:color="auto" w:fill="f2f4f6"/>
          </w:tcPr>
          <w:p>
            <w:pPr>
              <w:spacing w:after="20"/>
            </w:pPr>
            <w:r>
              <w:rPr>
                <w:sz w:val="15"/>
              </w:rPr>
              <w:t>Confirms the bounce</w:t>
            </w:r>
          </w:p>
        </w:tc>
        <w:tc>
          <w:tcPr>
            <w:tcW w:type="dxa" w:w="2304"/>
            <w:shd w:val="clear" w:color="auto" w:fill="f2f4f6"/>
          </w:tcPr>
          <w:p>
            <w:pPr>
              <w:spacing w:after="20"/>
            </w:pPr>
            <w:r>
              <w:rPr>
                <w:sz w:val="15"/>
              </w:rPr>
              <w:t>Silver's 02 Jul thrust corroborates the gold up-move</w:t>
            </w:r>
          </w:p>
        </w:tc>
      </w:tr>
    </w:tbl>
    <w:p>
      <w:pPr>
        <w:spacing w:after="120"/>
      </w:pPr>
      <w:r>
        <w:rPr>
          <w:b/>
          <w:i w:val="0"/>
          <w:sz w:val="18"/>
        </w:rPr>
        <w:t>Contradiction flag: USDX weakness contradicts the medium-term bearish gold regime — it is the dominant near-term support for the rally and the reason the bounce has traction. This tension feeds §15 and §16 and is not resolved silently.</w:t>
      </w:r>
    </w:p>
    <w:p>
      <w:pPr>
        <w:spacing w:after="120"/>
      </w:pPr>
      <w:r>
        <w:rPr>
          <w:b w:val="0"/>
          <w:i/>
          <w:sz w:val="18"/>
        </w:rPr>
        <w:t>Aggregate cross-asset read: MIXED — one clear confirm (silver), one contradict of the regime (USDX supporting gold up), two neutral. For direction scoring this nets to a mild drag on a sustained-long thesis.</w:t>
      </w:r>
    </w:p>
    <w:p>
      <w:pPr>
        <w:pStyle w:val="Heading1"/>
        <w:spacing w:before="200"/>
      </w:pPr>
      <w:r>
        <w:rPr>
          <w:b/>
          <w:color w:val="1F2D3D"/>
          <w:sz w:val="28"/>
        </w:rPr>
        <w:t>11 · Floor Pivot Analysis</w:t>
      </w:r>
    </w:p>
    <w:p>
      <w:pPr>
        <w:pStyle w:val="Heading2"/>
      </w:pPr>
      <w:r>
        <w:rPr>
          <w:b/>
          <w:color w:val="9A7D0A"/>
          <w:sz w:val="23"/>
        </w:rPr>
        <w:t>Daily pivots (from 01 Jul H/L/C)</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2d3d"/>
          </w:tcPr>
          <w:p>
            <w:pPr>
              <w:spacing w:after="20"/>
            </w:pPr>
            <w:r>
              <w:rPr>
                <w:b/>
                <w:color w:val="FFFFFF"/>
                <w:sz w:val="17"/>
              </w:rPr>
              <w:t>Level</w:t>
            </w:r>
          </w:p>
        </w:tc>
        <w:tc>
          <w:tcPr>
            <w:tcW w:type="dxa" w:w="2304"/>
            <w:shd w:val="clear" w:color="auto" w:fill="1f2d3d"/>
          </w:tcPr>
          <w:p>
            <w:pPr>
              <w:spacing w:after="20"/>
            </w:pPr>
            <w:r>
              <w:rPr>
                <w:b/>
                <w:color w:val="FFFFFF"/>
                <w:sz w:val="17"/>
              </w:rPr>
              <w:t>Price (USD/oz)</w:t>
            </w:r>
          </w:p>
        </w:tc>
      </w:tr>
      <w:tr>
        <w:tc>
          <w:tcPr>
            <w:tcW w:type="dxa" w:w="1728"/>
          </w:tcPr>
          <w:p>
            <w:pPr>
              <w:spacing w:after="20"/>
            </w:pPr>
            <w:r>
              <w:rPr>
                <w:sz w:val="17"/>
              </w:rPr>
              <w:t>R5</w:t>
            </w:r>
          </w:p>
        </w:tc>
        <w:tc>
          <w:tcPr>
            <w:tcW w:type="dxa" w:w="2304"/>
          </w:tcPr>
          <w:p>
            <w:pPr>
              <w:spacing w:after="20"/>
            </w:pPr>
            <w:r>
              <w:rPr>
                <w:sz w:val="17"/>
              </w:rPr>
              <w:t>4253.61</w:t>
            </w:r>
          </w:p>
        </w:tc>
      </w:tr>
      <w:tr>
        <w:tc>
          <w:tcPr>
            <w:tcW w:type="dxa" w:w="1728"/>
            <w:shd w:val="clear" w:color="auto" w:fill="f2f4f6"/>
          </w:tcPr>
          <w:p>
            <w:pPr>
              <w:spacing w:after="20"/>
            </w:pPr>
            <w:r>
              <w:rPr>
                <w:sz w:val="17"/>
              </w:rPr>
              <w:t>R4</w:t>
            </w:r>
          </w:p>
        </w:tc>
        <w:tc>
          <w:tcPr>
            <w:tcW w:type="dxa" w:w="2304"/>
            <w:shd w:val="clear" w:color="auto" w:fill="f2f4f6"/>
          </w:tcPr>
          <w:p>
            <w:pPr>
              <w:spacing w:after="20"/>
            </w:pPr>
            <w:r>
              <w:rPr>
                <w:sz w:val="17"/>
              </w:rPr>
              <w:t>4195.96</w:t>
            </w:r>
          </w:p>
        </w:tc>
      </w:tr>
      <w:tr>
        <w:tc>
          <w:tcPr>
            <w:tcW w:type="dxa" w:w="1728"/>
          </w:tcPr>
          <w:p>
            <w:pPr>
              <w:spacing w:after="20"/>
            </w:pPr>
            <w:r>
              <w:rPr>
                <w:sz w:val="17"/>
              </w:rPr>
              <w:t>R3</w:t>
            </w:r>
          </w:p>
        </w:tc>
        <w:tc>
          <w:tcPr>
            <w:tcW w:type="dxa" w:w="2304"/>
          </w:tcPr>
          <w:p>
            <w:pPr>
              <w:spacing w:after="20"/>
            </w:pPr>
            <w:r>
              <w:rPr>
                <w:sz w:val="17"/>
              </w:rPr>
              <w:t>4160.29</w:t>
            </w:r>
          </w:p>
        </w:tc>
      </w:tr>
      <w:tr>
        <w:tc>
          <w:tcPr>
            <w:tcW w:type="dxa" w:w="1728"/>
            <w:shd w:val="clear" w:color="auto" w:fill="f2f4f6"/>
          </w:tcPr>
          <w:p>
            <w:pPr>
              <w:spacing w:after="20"/>
            </w:pPr>
            <w:r>
              <w:rPr>
                <w:sz w:val="17"/>
              </w:rPr>
              <w:t>R2</w:t>
            </w:r>
          </w:p>
        </w:tc>
        <w:tc>
          <w:tcPr>
            <w:tcW w:type="dxa" w:w="2304"/>
            <w:shd w:val="clear" w:color="auto" w:fill="f2f4f6"/>
          </w:tcPr>
          <w:p>
            <w:pPr>
              <w:spacing w:after="20"/>
            </w:pPr>
            <w:r>
              <w:rPr>
                <w:sz w:val="17"/>
              </w:rPr>
              <w:t>4102.64</w:t>
            </w:r>
          </w:p>
        </w:tc>
      </w:tr>
      <w:tr>
        <w:tc>
          <w:tcPr>
            <w:tcW w:type="dxa" w:w="1728"/>
          </w:tcPr>
          <w:p>
            <w:pPr>
              <w:spacing w:after="20"/>
            </w:pPr>
            <w:r>
              <w:rPr>
                <w:sz w:val="17"/>
              </w:rPr>
              <w:t>R1</w:t>
            </w:r>
          </w:p>
        </w:tc>
        <w:tc>
          <w:tcPr>
            <w:tcW w:type="dxa" w:w="2304"/>
          </w:tcPr>
          <w:p>
            <w:pPr>
              <w:spacing w:after="20"/>
            </w:pPr>
            <w:r>
              <w:rPr>
                <w:sz w:val="17"/>
              </w:rPr>
              <w:t>4066.97</w:t>
            </w:r>
          </w:p>
        </w:tc>
      </w:tr>
      <w:tr>
        <w:tc>
          <w:tcPr>
            <w:tcW w:type="dxa" w:w="1728"/>
            <w:shd w:val="clear" w:color="auto" w:fill="f2f4f6"/>
          </w:tcPr>
          <w:p>
            <w:pPr>
              <w:spacing w:after="20"/>
            </w:pPr>
            <w:r>
              <w:rPr>
                <w:sz w:val="17"/>
              </w:rPr>
              <w:t>P</w:t>
            </w:r>
          </w:p>
        </w:tc>
        <w:tc>
          <w:tcPr>
            <w:tcW w:type="dxa" w:w="2304"/>
            <w:shd w:val="clear" w:color="auto" w:fill="f2f4f6"/>
          </w:tcPr>
          <w:p>
            <w:pPr>
              <w:spacing w:after="20"/>
            </w:pPr>
            <w:r>
              <w:rPr>
                <w:sz w:val="17"/>
              </w:rPr>
              <w:t>4009.32</w:t>
            </w:r>
          </w:p>
        </w:tc>
      </w:tr>
      <w:tr>
        <w:tc>
          <w:tcPr>
            <w:tcW w:type="dxa" w:w="1728"/>
          </w:tcPr>
          <w:p>
            <w:pPr>
              <w:spacing w:after="20"/>
            </w:pPr>
            <w:r>
              <w:rPr>
                <w:sz w:val="17"/>
              </w:rPr>
              <w:t>S1</w:t>
            </w:r>
          </w:p>
        </w:tc>
        <w:tc>
          <w:tcPr>
            <w:tcW w:type="dxa" w:w="2304"/>
          </w:tcPr>
          <w:p>
            <w:pPr>
              <w:spacing w:after="20"/>
            </w:pPr>
            <w:r>
              <w:rPr>
                <w:sz w:val="17"/>
              </w:rPr>
              <w:t>3973.65</w:t>
            </w:r>
          </w:p>
        </w:tc>
      </w:tr>
      <w:tr>
        <w:tc>
          <w:tcPr>
            <w:tcW w:type="dxa" w:w="1728"/>
            <w:shd w:val="clear" w:color="auto" w:fill="f2f4f6"/>
          </w:tcPr>
          <w:p>
            <w:pPr>
              <w:spacing w:after="20"/>
            </w:pPr>
            <w:r>
              <w:rPr>
                <w:sz w:val="17"/>
              </w:rPr>
              <w:t>S2</w:t>
            </w:r>
          </w:p>
        </w:tc>
        <w:tc>
          <w:tcPr>
            <w:tcW w:type="dxa" w:w="2304"/>
            <w:shd w:val="clear" w:color="auto" w:fill="f2f4f6"/>
          </w:tcPr>
          <w:p>
            <w:pPr>
              <w:spacing w:after="20"/>
            </w:pPr>
            <w:r>
              <w:rPr>
                <w:sz w:val="17"/>
              </w:rPr>
              <w:t>3916.00</w:t>
            </w:r>
          </w:p>
        </w:tc>
      </w:tr>
      <w:tr>
        <w:tc>
          <w:tcPr>
            <w:tcW w:type="dxa" w:w="1728"/>
          </w:tcPr>
          <w:p>
            <w:pPr>
              <w:spacing w:after="20"/>
            </w:pPr>
            <w:r>
              <w:rPr>
                <w:sz w:val="17"/>
              </w:rPr>
              <w:t>S3</w:t>
            </w:r>
          </w:p>
        </w:tc>
        <w:tc>
          <w:tcPr>
            <w:tcW w:type="dxa" w:w="2304"/>
          </w:tcPr>
          <w:p>
            <w:pPr>
              <w:spacing w:after="20"/>
            </w:pPr>
            <w:r>
              <w:rPr>
                <w:sz w:val="17"/>
              </w:rPr>
              <w:t>3880.33</w:t>
            </w:r>
          </w:p>
        </w:tc>
      </w:tr>
      <w:tr>
        <w:tc>
          <w:tcPr>
            <w:tcW w:type="dxa" w:w="1728"/>
            <w:shd w:val="clear" w:color="auto" w:fill="f2f4f6"/>
          </w:tcPr>
          <w:p>
            <w:pPr>
              <w:spacing w:after="20"/>
            </w:pPr>
            <w:r>
              <w:rPr>
                <w:sz w:val="17"/>
              </w:rPr>
              <w:t>S4</w:t>
            </w:r>
          </w:p>
        </w:tc>
        <w:tc>
          <w:tcPr>
            <w:tcW w:type="dxa" w:w="2304"/>
            <w:shd w:val="clear" w:color="auto" w:fill="f2f4f6"/>
          </w:tcPr>
          <w:p>
            <w:pPr>
              <w:spacing w:after="20"/>
            </w:pPr>
            <w:r>
              <w:rPr>
                <w:sz w:val="17"/>
              </w:rPr>
              <w:t>3822.68</w:t>
            </w:r>
          </w:p>
        </w:tc>
      </w:tr>
      <w:tr>
        <w:tc>
          <w:tcPr>
            <w:tcW w:type="dxa" w:w="1728"/>
          </w:tcPr>
          <w:p>
            <w:pPr>
              <w:spacing w:after="20"/>
            </w:pPr>
            <w:r>
              <w:rPr>
                <w:sz w:val="17"/>
              </w:rPr>
              <w:t>S5</w:t>
            </w:r>
          </w:p>
        </w:tc>
        <w:tc>
          <w:tcPr>
            <w:tcW w:type="dxa" w:w="2304"/>
          </w:tcPr>
          <w:p>
            <w:pPr>
              <w:spacing w:after="20"/>
            </w:pPr>
            <w:r>
              <w:rPr>
                <w:sz w:val="17"/>
              </w:rPr>
              <w:t>3787.01</w:t>
            </w:r>
          </w:p>
        </w:tc>
      </w:tr>
    </w:tbl>
    <w:p>
      <w:pPr>
        <w:spacing w:after="120"/>
      </w:pPr>
      <w:r>
        <w:rPr>
          <w:b w:val="0"/>
          <w:i/>
          <w:sz w:val="17"/>
        </w:rPr>
        <w:t>Source status: prior-session H/L/C are single-source indicative — these daily levels cannot be used as definitive limit-order anchors and this flag propagates to §21 (Trade 2 suppression check).</w:t>
      </w:r>
    </w:p>
    <w:p>
      <w:pPr>
        <w:pStyle w:val="Heading2"/>
      </w:pPr>
      <w:r>
        <w:rPr>
          <w:b/>
          <w:color w:val="9A7D0A"/>
          <w:sz w:val="23"/>
        </w:rPr>
        <w:t>Weekly pivots (from wk 22–26 Jun H/L/C)</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2d3d"/>
          </w:tcPr>
          <w:p>
            <w:pPr>
              <w:spacing w:after="20"/>
            </w:pPr>
            <w:r>
              <w:rPr>
                <w:b/>
                <w:color w:val="FFFFFF"/>
                <w:sz w:val="17"/>
              </w:rPr>
              <w:t>Level</w:t>
            </w:r>
          </w:p>
        </w:tc>
        <w:tc>
          <w:tcPr>
            <w:tcW w:type="dxa" w:w="2304"/>
            <w:shd w:val="clear" w:color="auto" w:fill="1f2d3d"/>
          </w:tcPr>
          <w:p>
            <w:pPr>
              <w:spacing w:after="20"/>
            </w:pPr>
            <w:r>
              <w:rPr>
                <w:b/>
                <w:color w:val="FFFFFF"/>
                <w:sz w:val="17"/>
              </w:rPr>
              <w:t>Price (USD/oz)</w:t>
            </w:r>
          </w:p>
        </w:tc>
      </w:tr>
      <w:tr>
        <w:tc>
          <w:tcPr>
            <w:tcW w:type="dxa" w:w="1728"/>
          </w:tcPr>
          <w:p>
            <w:pPr>
              <w:spacing w:after="20"/>
            </w:pPr>
            <w:r>
              <w:rPr>
                <w:sz w:val="17"/>
              </w:rPr>
              <w:t>R5</w:t>
            </w:r>
          </w:p>
        </w:tc>
        <w:tc>
          <w:tcPr>
            <w:tcW w:type="dxa" w:w="2304"/>
          </w:tcPr>
          <w:p>
            <w:pPr>
              <w:spacing w:after="20"/>
            </w:pPr>
            <w:r>
              <w:rPr>
                <w:sz w:val="17"/>
              </w:rPr>
              <w:t>4377.16</w:t>
            </w:r>
          </w:p>
        </w:tc>
      </w:tr>
      <w:tr>
        <w:tc>
          <w:tcPr>
            <w:tcW w:type="dxa" w:w="1728"/>
            <w:shd w:val="clear" w:color="auto" w:fill="f2f4f6"/>
          </w:tcPr>
          <w:p>
            <w:pPr>
              <w:spacing w:after="20"/>
            </w:pPr>
            <w:r>
              <w:rPr>
                <w:sz w:val="17"/>
              </w:rPr>
              <w:t>R4</w:t>
            </w:r>
          </w:p>
        </w:tc>
        <w:tc>
          <w:tcPr>
            <w:tcW w:type="dxa" w:w="2304"/>
            <w:shd w:val="clear" w:color="auto" w:fill="f2f4f6"/>
          </w:tcPr>
          <w:p>
            <w:pPr>
              <w:spacing w:after="20"/>
            </w:pPr>
            <w:r>
              <w:rPr>
                <w:sz w:val="17"/>
              </w:rPr>
              <w:t>4299.06</w:t>
            </w:r>
          </w:p>
        </w:tc>
      </w:tr>
      <w:tr>
        <w:tc>
          <w:tcPr>
            <w:tcW w:type="dxa" w:w="1728"/>
          </w:tcPr>
          <w:p>
            <w:pPr>
              <w:spacing w:after="20"/>
            </w:pPr>
            <w:r>
              <w:rPr>
                <w:sz w:val="17"/>
              </w:rPr>
              <w:t>R3</w:t>
            </w:r>
          </w:p>
        </w:tc>
        <w:tc>
          <w:tcPr>
            <w:tcW w:type="dxa" w:w="2304"/>
          </w:tcPr>
          <w:p>
            <w:pPr>
              <w:spacing w:after="20"/>
            </w:pPr>
            <w:r>
              <w:rPr>
                <w:sz w:val="17"/>
              </w:rPr>
              <w:t>4246.35</w:t>
            </w:r>
          </w:p>
        </w:tc>
      </w:tr>
      <w:tr>
        <w:tc>
          <w:tcPr>
            <w:tcW w:type="dxa" w:w="1728"/>
            <w:shd w:val="clear" w:color="auto" w:fill="f2f4f6"/>
          </w:tcPr>
          <w:p>
            <w:pPr>
              <w:spacing w:after="20"/>
            </w:pPr>
            <w:r>
              <w:rPr>
                <w:sz w:val="17"/>
              </w:rPr>
              <w:t>R2</w:t>
            </w:r>
          </w:p>
        </w:tc>
        <w:tc>
          <w:tcPr>
            <w:tcW w:type="dxa" w:w="2304"/>
            <w:shd w:val="clear" w:color="auto" w:fill="f2f4f6"/>
          </w:tcPr>
          <w:p>
            <w:pPr>
              <w:spacing w:after="20"/>
            </w:pPr>
            <w:r>
              <w:rPr>
                <w:sz w:val="17"/>
              </w:rPr>
              <w:t>4168.25</w:t>
            </w:r>
          </w:p>
        </w:tc>
      </w:tr>
      <w:tr>
        <w:tc>
          <w:tcPr>
            <w:tcW w:type="dxa" w:w="1728"/>
          </w:tcPr>
          <w:p>
            <w:pPr>
              <w:spacing w:after="20"/>
            </w:pPr>
            <w:r>
              <w:rPr>
                <w:sz w:val="17"/>
              </w:rPr>
              <w:t>R1</w:t>
            </w:r>
          </w:p>
        </w:tc>
        <w:tc>
          <w:tcPr>
            <w:tcW w:type="dxa" w:w="2304"/>
          </w:tcPr>
          <w:p>
            <w:pPr>
              <w:spacing w:after="20"/>
            </w:pPr>
            <w:r>
              <w:rPr>
                <w:sz w:val="17"/>
              </w:rPr>
              <w:t>4115.54</w:t>
            </w:r>
          </w:p>
        </w:tc>
      </w:tr>
      <w:tr>
        <w:tc>
          <w:tcPr>
            <w:tcW w:type="dxa" w:w="1728"/>
            <w:shd w:val="clear" w:color="auto" w:fill="f2f4f6"/>
          </w:tcPr>
          <w:p>
            <w:pPr>
              <w:spacing w:after="20"/>
            </w:pPr>
            <w:r>
              <w:rPr>
                <w:sz w:val="17"/>
              </w:rPr>
              <w:t>P</w:t>
            </w:r>
          </w:p>
        </w:tc>
        <w:tc>
          <w:tcPr>
            <w:tcW w:type="dxa" w:w="2304"/>
            <w:shd w:val="clear" w:color="auto" w:fill="f2f4f6"/>
          </w:tcPr>
          <w:p>
            <w:pPr>
              <w:spacing w:after="20"/>
            </w:pPr>
            <w:r>
              <w:rPr>
                <w:sz w:val="17"/>
              </w:rPr>
              <w:t>4037.44</w:t>
            </w:r>
          </w:p>
        </w:tc>
      </w:tr>
      <w:tr>
        <w:tc>
          <w:tcPr>
            <w:tcW w:type="dxa" w:w="1728"/>
          </w:tcPr>
          <w:p>
            <w:pPr>
              <w:spacing w:after="20"/>
            </w:pPr>
            <w:r>
              <w:rPr>
                <w:sz w:val="17"/>
              </w:rPr>
              <w:t>S1</w:t>
            </w:r>
          </w:p>
        </w:tc>
        <w:tc>
          <w:tcPr>
            <w:tcW w:type="dxa" w:w="2304"/>
          </w:tcPr>
          <w:p>
            <w:pPr>
              <w:spacing w:after="20"/>
            </w:pPr>
            <w:r>
              <w:rPr>
                <w:sz w:val="17"/>
              </w:rPr>
              <w:t>3984.73</w:t>
            </w:r>
          </w:p>
        </w:tc>
      </w:tr>
      <w:tr>
        <w:tc>
          <w:tcPr>
            <w:tcW w:type="dxa" w:w="1728"/>
            <w:shd w:val="clear" w:color="auto" w:fill="f2f4f6"/>
          </w:tcPr>
          <w:p>
            <w:pPr>
              <w:spacing w:after="20"/>
            </w:pPr>
            <w:r>
              <w:rPr>
                <w:sz w:val="17"/>
              </w:rPr>
              <w:t>S2</w:t>
            </w:r>
          </w:p>
        </w:tc>
        <w:tc>
          <w:tcPr>
            <w:tcW w:type="dxa" w:w="2304"/>
            <w:shd w:val="clear" w:color="auto" w:fill="f2f4f6"/>
          </w:tcPr>
          <w:p>
            <w:pPr>
              <w:spacing w:after="20"/>
            </w:pPr>
            <w:r>
              <w:rPr>
                <w:sz w:val="17"/>
              </w:rPr>
              <w:t>3906.63</w:t>
            </w:r>
          </w:p>
        </w:tc>
      </w:tr>
      <w:tr>
        <w:tc>
          <w:tcPr>
            <w:tcW w:type="dxa" w:w="1728"/>
          </w:tcPr>
          <w:p>
            <w:pPr>
              <w:spacing w:after="20"/>
            </w:pPr>
            <w:r>
              <w:rPr>
                <w:sz w:val="17"/>
              </w:rPr>
              <w:t>S3</w:t>
            </w:r>
          </w:p>
        </w:tc>
        <w:tc>
          <w:tcPr>
            <w:tcW w:type="dxa" w:w="2304"/>
          </w:tcPr>
          <w:p>
            <w:pPr>
              <w:spacing w:after="20"/>
            </w:pPr>
            <w:r>
              <w:rPr>
                <w:sz w:val="17"/>
              </w:rPr>
              <w:t>3853.92</w:t>
            </w:r>
          </w:p>
        </w:tc>
      </w:tr>
      <w:tr>
        <w:tc>
          <w:tcPr>
            <w:tcW w:type="dxa" w:w="1728"/>
            <w:shd w:val="clear" w:color="auto" w:fill="f2f4f6"/>
          </w:tcPr>
          <w:p>
            <w:pPr>
              <w:spacing w:after="20"/>
            </w:pPr>
            <w:r>
              <w:rPr>
                <w:sz w:val="17"/>
              </w:rPr>
              <w:t>S4</w:t>
            </w:r>
          </w:p>
        </w:tc>
        <w:tc>
          <w:tcPr>
            <w:tcW w:type="dxa" w:w="2304"/>
            <w:shd w:val="clear" w:color="auto" w:fill="f2f4f6"/>
          </w:tcPr>
          <w:p>
            <w:pPr>
              <w:spacing w:after="20"/>
            </w:pPr>
            <w:r>
              <w:rPr>
                <w:sz w:val="17"/>
              </w:rPr>
              <w:t>3775.82</w:t>
            </w:r>
          </w:p>
        </w:tc>
      </w:tr>
      <w:tr>
        <w:tc>
          <w:tcPr>
            <w:tcW w:type="dxa" w:w="1728"/>
          </w:tcPr>
          <w:p>
            <w:pPr>
              <w:spacing w:after="20"/>
            </w:pPr>
            <w:r>
              <w:rPr>
                <w:sz w:val="17"/>
              </w:rPr>
              <w:t>S5</w:t>
            </w:r>
          </w:p>
        </w:tc>
        <w:tc>
          <w:tcPr>
            <w:tcW w:type="dxa" w:w="2304"/>
          </w:tcPr>
          <w:p>
            <w:pPr>
              <w:spacing w:after="20"/>
            </w:pPr>
            <w:r>
              <w:rPr>
                <w:sz w:val="17"/>
              </w:rPr>
              <w:t>3723.11</w:t>
            </w:r>
          </w:p>
        </w:tc>
      </w:tr>
    </w:tbl>
    <w:p>
      <w:pPr>
        <w:spacing w:after="120"/>
      </w:pPr>
      <w:r>
        <w:rPr>
          <w:b w:val="0"/>
          <w:i/>
          <w:sz w:val="17"/>
        </w:rPr>
        <w:t>Source status: single-source indicative.</w:t>
      </w:r>
    </w:p>
    <w:p>
      <w:pPr>
        <w:pStyle w:val="Heading2"/>
      </w:pPr>
      <w:r>
        <w:rPr>
          <w:b/>
          <w:color w:val="9A7D0A"/>
          <w:sz w:val="23"/>
        </w:rPr>
        <w:t>Monthly pivots (from June H/L/C)</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2d3d"/>
          </w:tcPr>
          <w:p>
            <w:pPr>
              <w:spacing w:after="20"/>
            </w:pPr>
            <w:r>
              <w:rPr>
                <w:b/>
                <w:color w:val="FFFFFF"/>
                <w:sz w:val="17"/>
              </w:rPr>
              <w:t>Level</w:t>
            </w:r>
          </w:p>
        </w:tc>
        <w:tc>
          <w:tcPr>
            <w:tcW w:type="dxa" w:w="2304"/>
            <w:shd w:val="clear" w:color="auto" w:fill="1f2d3d"/>
          </w:tcPr>
          <w:p>
            <w:pPr>
              <w:spacing w:after="20"/>
            </w:pPr>
            <w:r>
              <w:rPr>
                <w:b/>
                <w:color w:val="FFFFFF"/>
                <w:sz w:val="17"/>
              </w:rPr>
              <w:t>Price (USD/oz)</w:t>
            </w:r>
          </w:p>
        </w:tc>
      </w:tr>
      <w:tr>
        <w:tc>
          <w:tcPr>
            <w:tcW w:type="dxa" w:w="1728"/>
          </w:tcPr>
          <w:p>
            <w:pPr>
              <w:spacing w:after="20"/>
            </w:pPr>
            <w:r>
              <w:rPr>
                <w:sz w:val="17"/>
              </w:rPr>
              <w:t>R5</w:t>
            </w:r>
          </w:p>
        </w:tc>
        <w:tc>
          <w:tcPr>
            <w:tcW w:type="dxa" w:w="2304"/>
          </w:tcPr>
          <w:p>
            <w:pPr>
              <w:spacing w:after="20"/>
            </w:pPr>
            <w:r>
              <w:rPr>
                <w:sz w:val="17"/>
              </w:rPr>
              <w:t>5984.79</w:t>
            </w:r>
          </w:p>
        </w:tc>
      </w:tr>
      <w:tr>
        <w:tc>
          <w:tcPr>
            <w:tcW w:type="dxa" w:w="1728"/>
            <w:shd w:val="clear" w:color="auto" w:fill="f2f4f6"/>
          </w:tcPr>
          <w:p>
            <w:pPr>
              <w:spacing w:after="20"/>
            </w:pPr>
            <w:r>
              <w:rPr>
                <w:sz w:val="17"/>
              </w:rPr>
              <w:t>R4</w:t>
            </w:r>
          </w:p>
        </w:tc>
        <w:tc>
          <w:tcPr>
            <w:tcW w:type="dxa" w:w="2304"/>
            <w:shd w:val="clear" w:color="auto" w:fill="f2f4f6"/>
          </w:tcPr>
          <w:p>
            <w:pPr>
              <w:spacing w:after="20"/>
            </w:pPr>
            <w:r>
              <w:rPr>
                <w:sz w:val="17"/>
              </w:rPr>
              <w:t>5705.73</w:t>
            </w:r>
          </w:p>
        </w:tc>
      </w:tr>
      <w:tr>
        <w:tc>
          <w:tcPr>
            <w:tcW w:type="dxa" w:w="1728"/>
          </w:tcPr>
          <w:p>
            <w:pPr>
              <w:spacing w:after="20"/>
            </w:pPr>
            <w:r>
              <w:rPr>
                <w:sz w:val="17"/>
              </w:rPr>
              <w:t>R3</w:t>
            </w:r>
          </w:p>
        </w:tc>
        <w:tc>
          <w:tcPr>
            <w:tcW w:type="dxa" w:w="2304"/>
          </w:tcPr>
          <w:p>
            <w:pPr>
              <w:spacing w:after="20"/>
            </w:pPr>
            <w:r>
              <w:rPr>
                <w:sz w:val="17"/>
              </w:rPr>
              <w:t>5251.12</w:t>
            </w:r>
          </w:p>
        </w:tc>
      </w:tr>
      <w:tr>
        <w:tc>
          <w:tcPr>
            <w:tcW w:type="dxa" w:w="1728"/>
            <w:shd w:val="clear" w:color="auto" w:fill="f2f4f6"/>
          </w:tcPr>
          <w:p>
            <w:pPr>
              <w:spacing w:after="20"/>
            </w:pPr>
            <w:r>
              <w:rPr>
                <w:sz w:val="17"/>
              </w:rPr>
              <w:t>R2</w:t>
            </w:r>
          </w:p>
        </w:tc>
        <w:tc>
          <w:tcPr>
            <w:tcW w:type="dxa" w:w="2304"/>
            <w:shd w:val="clear" w:color="auto" w:fill="f2f4f6"/>
          </w:tcPr>
          <w:p>
            <w:pPr>
              <w:spacing w:after="20"/>
            </w:pPr>
            <w:r>
              <w:rPr>
                <w:sz w:val="17"/>
              </w:rPr>
              <w:t>4972.06</w:t>
            </w:r>
          </w:p>
        </w:tc>
      </w:tr>
      <w:tr>
        <w:tc>
          <w:tcPr>
            <w:tcW w:type="dxa" w:w="1728"/>
          </w:tcPr>
          <w:p>
            <w:pPr>
              <w:spacing w:after="20"/>
            </w:pPr>
            <w:r>
              <w:rPr>
                <w:sz w:val="17"/>
              </w:rPr>
              <w:t>R1</w:t>
            </w:r>
          </w:p>
        </w:tc>
        <w:tc>
          <w:tcPr>
            <w:tcW w:type="dxa" w:w="2304"/>
          </w:tcPr>
          <w:p>
            <w:pPr>
              <w:spacing w:after="20"/>
            </w:pPr>
            <w:r>
              <w:rPr>
                <w:sz w:val="17"/>
              </w:rPr>
              <w:t>4517.45</w:t>
            </w:r>
          </w:p>
        </w:tc>
      </w:tr>
      <w:tr>
        <w:tc>
          <w:tcPr>
            <w:tcW w:type="dxa" w:w="1728"/>
            <w:shd w:val="clear" w:color="auto" w:fill="f2f4f6"/>
          </w:tcPr>
          <w:p>
            <w:pPr>
              <w:spacing w:after="20"/>
            </w:pPr>
            <w:r>
              <w:rPr>
                <w:sz w:val="17"/>
              </w:rPr>
              <w:t>P</w:t>
            </w:r>
          </w:p>
        </w:tc>
        <w:tc>
          <w:tcPr>
            <w:tcW w:type="dxa" w:w="2304"/>
            <w:shd w:val="clear" w:color="auto" w:fill="f2f4f6"/>
          </w:tcPr>
          <w:p>
            <w:pPr>
              <w:spacing w:after="20"/>
            </w:pPr>
            <w:r>
              <w:rPr>
                <w:sz w:val="17"/>
              </w:rPr>
              <w:t>4238.39</w:t>
            </w:r>
          </w:p>
        </w:tc>
      </w:tr>
      <w:tr>
        <w:tc>
          <w:tcPr>
            <w:tcW w:type="dxa" w:w="1728"/>
          </w:tcPr>
          <w:p>
            <w:pPr>
              <w:spacing w:after="20"/>
            </w:pPr>
            <w:r>
              <w:rPr>
                <w:sz w:val="17"/>
              </w:rPr>
              <w:t>S1</w:t>
            </w:r>
          </w:p>
        </w:tc>
        <w:tc>
          <w:tcPr>
            <w:tcW w:type="dxa" w:w="2304"/>
          </w:tcPr>
          <w:p>
            <w:pPr>
              <w:spacing w:after="20"/>
            </w:pPr>
            <w:r>
              <w:rPr>
                <w:sz w:val="17"/>
              </w:rPr>
              <w:t>3783.78</w:t>
            </w:r>
          </w:p>
        </w:tc>
      </w:tr>
      <w:tr>
        <w:tc>
          <w:tcPr>
            <w:tcW w:type="dxa" w:w="1728"/>
            <w:shd w:val="clear" w:color="auto" w:fill="f2f4f6"/>
          </w:tcPr>
          <w:p>
            <w:pPr>
              <w:spacing w:after="20"/>
            </w:pPr>
            <w:r>
              <w:rPr>
                <w:sz w:val="17"/>
              </w:rPr>
              <w:t>S2</w:t>
            </w:r>
          </w:p>
        </w:tc>
        <w:tc>
          <w:tcPr>
            <w:tcW w:type="dxa" w:w="2304"/>
            <w:shd w:val="clear" w:color="auto" w:fill="f2f4f6"/>
          </w:tcPr>
          <w:p>
            <w:pPr>
              <w:spacing w:after="20"/>
            </w:pPr>
            <w:r>
              <w:rPr>
                <w:sz w:val="17"/>
              </w:rPr>
              <w:t>3504.72</w:t>
            </w:r>
          </w:p>
        </w:tc>
      </w:tr>
      <w:tr>
        <w:tc>
          <w:tcPr>
            <w:tcW w:type="dxa" w:w="1728"/>
          </w:tcPr>
          <w:p>
            <w:pPr>
              <w:spacing w:after="20"/>
            </w:pPr>
            <w:r>
              <w:rPr>
                <w:sz w:val="17"/>
              </w:rPr>
              <w:t>S3</w:t>
            </w:r>
          </w:p>
        </w:tc>
        <w:tc>
          <w:tcPr>
            <w:tcW w:type="dxa" w:w="2304"/>
          </w:tcPr>
          <w:p>
            <w:pPr>
              <w:spacing w:after="20"/>
            </w:pPr>
            <w:r>
              <w:rPr>
                <w:sz w:val="17"/>
              </w:rPr>
              <w:t>3050.11</w:t>
            </w:r>
          </w:p>
        </w:tc>
      </w:tr>
      <w:tr>
        <w:tc>
          <w:tcPr>
            <w:tcW w:type="dxa" w:w="1728"/>
            <w:shd w:val="clear" w:color="auto" w:fill="f2f4f6"/>
          </w:tcPr>
          <w:p>
            <w:pPr>
              <w:spacing w:after="20"/>
            </w:pPr>
            <w:r>
              <w:rPr>
                <w:sz w:val="17"/>
              </w:rPr>
              <w:t>S4</w:t>
            </w:r>
          </w:p>
        </w:tc>
        <w:tc>
          <w:tcPr>
            <w:tcW w:type="dxa" w:w="2304"/>
            <w:shd w:val="clear" w:color="auto" w:fill="f2f4f6"/>
          </w:tcPr>
          <w:p>
            <w:pPr>
              <w:spacing w:after="20"/>
            </w:pPr>
            <w:r>
              <w:rPr>
                <w:sz w:val="17"/>
              </w:rPr>
              <w:t>2771.05</w:t>
            </w:r>
          </w:p>
        </w:tc>
      </w:tr>
      <w:tr>
        <w:tc>
          <w:tcPr>
            <w:tcW w:type="dxa" w:w="1728"/>
          </w:tcPr>
          <w:p>
            <w:pPr>
              <w:spacing w:after="20"/>
            </w:pPr>
            <w:r>
              <w:rPr>
                <w:sz w:val="17"/>
              </w:rPr>
              <w:t>S5</w:t>
            </w:r>
          </w:p>
        </w:tc>
        <w:tc>
          <w:tcPr>
            <w:tcW w:type="dxa" w:w="2304"/>
          </w:tcPr>
          <w:p>
            <w:pPr>
              <w:spacing w:after="20"/>
            </w:pPr>
            <w:r>
              <w:rPr>
                <w:sz w:val="17"/>
              </w:rPr>
              <w:t>2316.44</w:t>
            </w:r>
          </w:p>
        </w:tc>
      </w:tr>
    </w:tbl>
    <w:p>
      <w:pPr>
        <w:spacing w:after="120"/>
      </w:pPr>
      <w:r>
        <w:rPr>
          <w:b w:val="0"/>
          <w:i/>
          <w:sz w:val="17"/>
        </w:rPr>
        <w:t>Source status: single-source indicative.</w:t>
      </w:r>
    </w:p>
    <w:p>
      <w:pPr>
        <w:spacing w:after="120"/>
      </w:pPr>
      <w:r>
        <w:rPr>
          <w:b w:val="0"/>
          <w:i w:val="0"/>
          <w:sz w:val="21"/>
        </w:rPr>
        <w:t>Position narrative: the 02 Jul close ($4,108.07) sits above the daily pivot P (4009.32) and above daily R1 (4066.97), i.e. extended into daily resistance; it is below the weekly pivot (4037.44) region's upper levels and near the monthly R-cluster. The $4,140–$4,150 zone is a confluence shelf where daily R and the FXStreet 20-day SMA congregate — the key decision level for the session.</w:t>
      </w:r>
    </w:p>
    <w:p>
      <w:pPr>
        <w:pStyle w:val="Heading1"/>
        <w:spacing w:before="200"/>
      </w:pPr>
      <w:r>
        <w:rPr>
          <w:b/>
          <w:color w:val="1F2D3D"/>
          <w:sz w:val="28"/>
        </w:rPr>
        <w:t>12 · Key Market Considerations</w:t>
      </w:r>
    </w:p>
    <w:p>
      <w:pPr>
        <w:pStyle w:val="ListBullet"/>
        <w:spacing w:after="60"/>
      </w:pPr>
      <w:r>
        <w:rPr>
          <w:b/>
        </w:rPr>
        <w:t xml:space="preserve">Supply — neutral (structural): </w:t>
      </w:r>
      <w:r>
        <w:t>Mine supply steady; the swing factor remains official-sector buying. PBoC and RBI purchases have underpinned dips but are not accelerating this week.</w:t>
      </w:r>
    </w:p>
    <w:p>
      <w:pPr>
        <w:pStyle w:val="ListBullet"/>
        <w:spacing w:after="60"/>
      </w:pPr>
      <w:r>
        <w:rPr>
          <w:b/>
        </w:rPr>
        <w:t xml:space="preserve">Demand — price-supportive (cyclical): </w:t>
      </w:r>
      <w:r>
        <w:t>Safe-haven and dovish-repricing demand returned on the soft June payroll (57k) print; Capital.com client positioning ~74% long into 29 Jun signals retained retail appetite.</w:t>
      </w:r>
    </w:p>
    <w:p>
      <w:pPr>
        <w:pStyle w:val="ListBullet"/>
        <w:spacing w:after="60"/>
      </w:pPr>
      <w:r>
        <w:rPr>
          <w:b/>
        </w:rPr>
        <w:t xml:space="preserve">Substitution / spreads — neutral-to-supportive: </w:t>
      </w:r>
      <w:r>
        <w:t>Silver rallied with gold on 02 Jul, confirming metal-complex risk appetite rather than gold-specific rotation; the gold/silver ratio is stable.</w:t>
      </w:r>
    </w:p>
    <w:p>
      <w:pPr>
        <w:pStyle w:val="ListBullet"/>
        <w:spacing w:after="60"/>
      </w:pPr>
      <w:r>
        <w:rPr>
          <w:b/>
        </w:rPr>
        <w:t xml:space="preserve">Policy / rates — price-negative (structural, easing): </w:t>
      </w:r>
      <w:r>
        <w:t>Fed funds 3.75%; nine of nineteen FOMC members still flag at least one 2026 hike, but soft jobs cut September-hike odds below 50%, softening the prior headwind.</w:t>
      </w:r>
    </w:p>
    <w:p>
      <w:pPr>
        <w:pStyle w:val="ListBullet"/>
        <w:spacing w:after="60"/>
      </w:pPr>
      <w:r>
        <w:rPr>
          <w:b/>
        </w:rPr>
        <w:t xml:space="preserve">Macro / FX — price-supportive (cyclical): </w:t>
      </w:r>
      <w:r>
        <w:t>A dollar pullback from a one-year high is the proximate tailwind; US CPI at 4.2% keeps real-yield risk two-sided.</w:t>
      </w:r>
    </w:p>
    <w:p>
      <w:pPr>
        <w:pStyle w:val="ListBullet"/>
        <w:spacing w:after="60"/>
      </w:pPr>
      <w:r>
        <w:rPr>
          <w:b/>
        </w:rPr>
        <w:t xml:space="preserve">Near-term catalysts (from §13d): </w:t>
      </w:r>
      <w:r>
        <w:t>JOLTS/PMI already digested; focus shifts to the next CPI and Fed communications. Any hawkish surprise would re-expose the downtrend; US–Iran/Qatar headlines remain a haven wildcard.</w:t>
      </w:r>
    </w:p>
    <w:p>
      <w:pPr>
        <w:pStyle w:val="Heading1"/>
        <w:spacing w:before="200"/>
      </w:pPr>
      <w:r>
        <w:rPr>
          <w:b/>
          <w:color w:val="1F2D3D"/>
          <w:sz w:val="28"/>
        </w:rPr>
        <w:t>13 · Sentiment, News &amp; Calendar</w:t>
      </w:r>
    </w:p>
    <w:p>
      <w:pPr>
        <w:pStyle w:val="Heading2"/>
      </w:pPr>
      <w:r>
        <w:rPr>
          <w:b/>
          <w:color w:val="9A7D0A"/>
          <w:sz w:val="23"/>
        </w:rPr>
        <w:t>13a · Per-Article Sentiment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368"/>
            <w:shd w:val="clear" w:color="auto" w:fill="1f2d3d"/>
          </w:tcPr>
          <w:p>
            <w:pPr>
              <w:spacing w:after="20"/>
            </w:pPr>
            <w:r>
              <w:rPr>
                <w:b/>
                <w:color w:val="FFFFFF"/>
                <w:sz w:val="14"/>
              </w:rPr>
              <w:t>Source</w:t>
            </w:r>
          </w:p>
        </w:tc>
        <w:tc>
          <w:tcPr>
            <w:tcW w:type="dxa" w:w="720"/>
            <w:shd w:val="clear" w:color="auto" w:fill="1f2d3d"/>
          </w:tcPr>
          <w:p>
            <w:pPr>
              <w:spacing w:after="20"/>
            </w:pPr>
            <w:r>
              <w:rPr>
                <w:b/>
                <w:color w:val="FFFFFF"/>
                <w:sz w:val="14"/>
              </w:rPr>
              <w:t>Date</w:t>
            </w:r>
          </w:p>
        </w:tc>
        <w:tc>
          <w:tcPr>
            <w:tcW w:type="dxa" w:w="2304"/>
            <w:shd w:val="clear" w:color="auto" w:fill="1f2d3d"/>
          </w:tcPr>
          <w:p>
            <w:pPr>
              <w:spacing w:after="20"/>
            </w:pPr>
            <w:r>
              <w:rPr>
                <w:b/>
                <w:color w:val="FFFFFF"/>
                <w:sz w:val="14"/>
              </w:rPr>
              <w:t>Headline (verbatim, trimmed)</w:t>
            </w:r>
          </w:p>
        </w:tc>
        <w:tc>
          <w:tcPr>
            <w:tcW w:type="dxa" w:w="1008"/>
            <w:shd w:val="clear" w:color="auto" w:fill="1f2d3d"/>
          </w:tcPr>
          <w:p>
            <w:pPr>
              <w:spacing w:after="20"/>
            </w:pPr>
            <w:r>
              <w:rPr>
                <w:b/>
                <w:color w:val="FFFFFF"/>
                <w:sz w:val="14"/>
              </w:rPr>
              <w:t>Class.</w:t>
            </w:r>
          </w:p>
        </w:tc>
        <w:tc>
          <w:tcPr>
            <w:tcW w:type="dxa" w:w="936"/>
            <w:shd w:val="clear" w:color="auto" w:fill="1f2d3d"/>
          </w:tcPr>
          <w:p>
            <w:pPr>
              <w:spacing w:after="20"/>
            </w:pPr>
            <w:r>
              <w:rPr>
                <w:b/>
                <w:color w:val="FFFFFF"/>
                <w:sz w:val="14"/>
              </w:rPr>
              <w:t>Sentiment</w:t>
            </w:r>
          </w:p>
        </w:tc>
        <w:tc>
          <w:tcPr>
            <w:tcW w:type="dxa" w:w="2664"/>
            <w:shd w:val="clear" w:color="auto" w:fill="1f2d3d"/>
          </w:tcPr>
          <w:p>
            <w:pPr>
              <w:spacing w:after="20"/>
            </w:pPr>
            <w:r>
              <w:rPr>
                <w:b/>
                <w:color w:val="FFFFFF"/>
                <w:sz w:val="14"/>
              </w:rPr>
              <w:t>Derivation quote (≤15 words)</w:t>
            </w:r>
          </w:p>
        </w:tc>
      </w:tr>
      <w:tr>
        <w:tc>
          <w:tcPr>
            <w:tcW w:type="dxa" w:w="1368"/>
          </w:tcPr>
          <w:p>
            <w:pPr>
              <w:spacing w:after="20"/>
            </w:pPr>
            <w:r>
              <w:rPr>
                <w:sz w:val="14"/>
              </w:rPr>
              <w:t>Trading Economics</w:t>
            </w:r>
          </w:p>
        </w:tc>
        <w:tc>
          <w:tcPr>
            <w:tcW w:type="dxa" w:w="720"/>
          </w:tcPr>
          <w:p>
            <w:pPr>
              <w:spacing w:after="20"/>
            </w:pPr>
            <w:r>
              <w:rPr>
                <w:sz w:val="14"/>
              </w:rPr>
              <w:t>01 Jul</w:t>
            </w:r>
          </w:p>
        </w:tc>
        <w:tc>
          <w:tcPr>
            <w:tcW w:type="dxa" w:w="2304"/>
          </w:tcPr>
          <w:p>
            <w:pPr>
              <w:spacing w:after="20"/>
            </w:pPr>
            <w:r>
              <w:rPr>
                <w:sz w:val="14"/>
              </w:rPr>
              <w:t>Gold strengthens above $4,000 after Warsh eases inflation-expectation fears</w:t>
            </w:r>
          </w:p>
        </w:tc>
        <w:tc>
          <w:tcPr>
            <w:tcW w:type="dxa" w:w="1008"/>
          </w:tcPr>
          <w:p>
            <w:pPr>
              <w:spacing w:after="20"/>
            </w:pPr>
            <w:r>
              <w:rPr>
                <w:sz w:val="14"/>
              </w:rPr>
              <w:t>Media</w:t>
            </w:r>
          </w:p>
        </w:tc>
        <w:tc>
          <w:tcPr>
            <w:tcW w:type="dxa" w:w="936"/>
          </w:tcPr>
          <w:p>
            <w:pPr>
              <w:spacing w:after="20"/>
            </w:pPr>
            <w:r>
              <w:rPr>
                <w:sz w:val="14"/>
              </w:rPr>
              <w:t>Bullish</w:t>
            </w:r>
          </w:p>
        </w:tc>
        <w:tc>
          <w:tcPr>
            <w:tcW w:type="dxa" w:w="2664"/>
          </w:tcPr>
          <w:p>
            <w:pPr>
              <w:spacing w:after="20"/>
            </w:pPr>
            <w:r>
              <w:rPr>
                <w:sz w:val="14"/>
              </w:rPr>
              <w:t>"inflation expectations had eased… no urgency to raise interest rates"</w:t>
            </w:r>
          </w:p>
        </w:tc>
      </w:tr>
      <w:tr>
        <w:tc>
          <w:tcPr>
            <w:tcW w:type="dxa" w:w="1368"/>
            <w:shd w:val="clear" w:color="auto" w:fill="f2f4f6"/>
          </w:tcPr>
          <w:p>
            <w:pPr>
              <w:spacing w:after="20"/>
            </w:pPr>
            <w:r>
              <w:rPr>
                <w:sz w:val="14"/>
              </w:rPr>
              <w:t>Trading Economics</w:t>
            </w:r>
          </w:p>
        </w:tc>
        <w:tc>
          <w:tcPr>
            <w:tcW w:type="dxa" w:w="720"/>
            <w:shd w:val="clear" w:color="auto" w:fill="f2f4f6"/>
          </w:tcPr>
          <w:p>
            <w:pPr>
              <w:spacing w:after="20"/>
            </w:pPr>
            <w:r>
              <w:rPr>
                <w:sz w:val="14"/>
              </w:rPr>
              <w:t>02 Jul</w:t>
            </w:r>
          </w:p>
        </w:tc>
        <w:tc>
          <w:tcPr>
            <w:tcW w:type="dxa" w:w="2304"/>
            <w:shd w:val="clear" w:color="auto" w:fill="f2f4f6"/>
          </w:tcPr>
          <w:p>
            <w:pPr>
              <w:spacing w:after="20"/>
            </w:pPr>
            <w:r>
              <w:rPr>
                <w:sz w:val="14"/>
              </w:rPr>
              <w:t>Gold jumps above $4,100 as weak jobs data cut Fed hike bets</w:t>
            </w:r>
          </w:p>
        </w:tc>
        <w:tc>
          <w:tcPr>
            <w:tcW w:type="dxa" w:w="1008"/>
            <w:shd w:val="clear" w:color="auto" w:fill="f2f4f6"/>
          </w:tcPr>
          <w:p>
            <w:pPr>
              <w:spacing w:after="20"/>
            </w:pPr>
            <w:r>
              <w:rPr>
                <w:sz w:val="14"/>
              </w:rPr>
              <w:t>Media</w:t>
            </w:r>
          </w:p>
        </w:tc>
        <w:tc>
          <w:tcPr>
            <w:tcW w:type="dxa" w:w="936"/>
            <w:shd w:val="clear" w:color="auto" w:fill="f2f4f6"/>
          </w:tcPr>
          <w:p>
            <w:pPr>
              <w:spacing w:after="20"/>
            </w:pPr>
            <w:r>
              <w:rPr>
                <w:sz w:val="14"/>
              </w:rPr>
              <w:t>Bullish</w:t>
            </w:r>
          </w:p>
        </w:tc>
        <w:tc>
          <w:tcPr>
            <w:tcW w:type="dxa" w:w="2664"/>
            <w:shd w:val="clear" w:color="auto" w:fill="f2f4f6"/>
          </w:tcPr>
          <w:p>
            <w:pPr>
              <w:spacing w:after="20"/>
            </w:pPr>
            <w:r>
              <w:rPr>
                <w:sz w:val="14"/>
              </w:rPr>
              <w:t>"rebounding… as markets scaled back expectations for Federal Reserve rate hikes"</w:t>
            </w:r>
          </w:p>
        </w:tc>
      </w:tr>
      <w:tr>
        <w:tc>
          <w:tcPr>
            <w:tcW w:type="dxa" w:w="1368"/>
          </w:tcPr>
          <w:p>
            <w:pPr>
              <w:spacing w:after="20"/>
            </w:pPr>
            <w:r>
              <w:rPr>
                <w:sz w:val="14"/>
              </w:rPr>
              <w:t>Capital.com</w:t>
            </w:r>
          </w:p>
        </w:tc>
        <w:tc>
          <w:tcPr>
            <w:tcW w:type="dxa" w:w="720"/>
          </w:tcPr>
          <w:p>
            <w:pPr>
              <w:spacing w:after="20"/>
            </w:pPr>
            <w:r>
              <w:rPr>
                <w:sz w:val="14"/>
              </w:rPr>
              <w:t>30 Jun</w:t>
            </w:r>
          </w:p>
        </w:tc>
        <w:tc>
          <w:tcPr>
            <w:tcW w:type="dxa" w:w="2304"/>
          </w:tcPr>
          <w:p>
            <w:pPr>
              <w:spacing w:after="20"/>
            </w:pPr>
            <w:r>
              <w:rPr>
                <w:sz w:val="14"/>
              </w:rPr>
              <w:t>Gold price forecast: PCE data, Fed rate bets</w:t>
            </w:r>
          </w:p>
        </w:tc>
        <w:tc>
          <w:tcPr>
            <w:tcW w:type="dxa" w:w="1008"/>
          </w:tcPr>
          <w:p>
            <w:pPr>
              <w:spacing w:after="20"/>
            </w:pPr>
            <w:r>
              <w:rPr>
                <w:sz w:val="14"/>
              </w:rPr>
              <w:t>Institutional</w:t>
            </w:r>
          </w:p>
        </w:tc>
        <w:tc>
          <w:tcPr>
            <w:tcW w:type="dxa" w:w="936"/>
          </w:tcPr>
          <w:p>
            <w:pPr>
              <w:spacing w:after="20"/>
            </w:pPr>
            <w:r>
              <w:rPr>
                <w:sz w:val="14"/>
              </w:rPr>
              <w:t>Bearish</w:t>
            </w:r>
          </w:p>
        </w:tc>
        <w:tc>
          <w:tcPr>
            <w:tcW w:type="dxa" w:w="2664"/>
          </w:tcPr>
          <w:p>
            <w:pPr>
              <w:spacing w:after="20"/>
            </w:pPr>
            <w:r>
              <w:rPr>
                <w:sz w:val="14"/>
              </w:rPr>
              <w:t>"main headwind is a repriced Federal Reserve outlook… ~88% odds"</w:t>
            </w:r>
          </w:p>
        </w:tc>
      </w:tr>
      <w:tr>
        <w:tc>
          <w:tcPr>
            <w:tcW w:type="dxa" w:w="1368"/>
            <w:shd w:val="clear" w:color="auto" w:fill="f2f4f6"/>
          </w:tcPr>
          <w:p>
            <w:pPr>
              <w:spacing w:after="20"/>
            </w:pPr>
            <w:r>
              <w:rPr>
                <w:sz w:val="14"/>
              </w:rPr>
              <w:t>FXStreet</w:t>
            </w:r>
          </w:p>
        </w:tc>
        <w:tc>
          <w:tcPr>
            <w:tcW w:type="dxa" w:w="720"/>
            <w:shd w:val="clear" w:color="auto" w:fill="f2f4f6"/>
          </w:tcPr>
          <w:p>
            <w:pPr>
              <w:spacing w:after="20"/>
            </w:pPr>
            <w:r>
              <w:rPr>
                <w:sz w:val="14"/>
              </w:rPr>
              <w:t>02 Jul</w:t>
            </w:r>
          </w:p>
        </w:tc>
        <w:tc>
          <w:tcPr>
            <w:tcW w:type="dxa" w:w="2304"/>
            <w:shd w:val="clear" w:color="auto" w:fill="f2f4f6"/>
          </w:tcPr>
          <w:p>
            <w:pPr>
              <w:spacing w:after="20"/>
            </w:pPr>
            <w:r>
              <w:rPr>
                <w:sz w:val="14"/>
              </w:rPr>
              <w:t>Gold forecast — daily chart still bearish below key SMAs</w:t>
            </w:r>
          </w:p>
        </w:tc>
        <w:tc>
          <w:tcPr>
            <w:tcW w:type="dxa" w:w="1008"/>
            <w:shd w:val="clear" w:color="auto" w:fill="f2f4f6"/>
          </w:tcPr>
          <w:p>
            <w:pPr>
              <w:spacing w:after="20"/>
            </w:pPr>
            <w:r>
              <w:rPr>
                <w:sz w:val="14"/>
              </w:rPr>
              <w:t>Trade Press</w:t>
            </w:r>
          </w:p>
        </w:tc>
        <w:tc>
          <w:tcPr>
            <w:tcW w:type="dxa" w:w="936"/>
            <w:shd w:val="clear" w:color="auto" w:fill="f2f4f6"/>
          </w:tcPr>
          <w:p>
            <w:pPr>
              <w:spacing w:after="20"/>
            </w:pPr>
            <w:r>
              <w:rPr>
                <w:sz w:val="14"/>
              </w:rPr>
              <w:t>Bearish</w:t>
            </w:r>
          </w:p>
        </w:tc>
        <w:tc>
          <w:tcPr>
            <w:tcW w:type="dxa" w:w="2664"/>
            <w:shd w:val="clear" w:color="auto" w:fill="f2f4f6"/>
          </w:tcPr>
          <w:p>
            <w:pPr>
              <w:spacing w:after="20"/>
            </w:pPr>
            <w:r>
              <w:rPr>
                <w:sz w:val="14"/>
              </w:rPr>
              <w:t>"XAU/USD is still bearish… below the 20-day, 200-day and 100-day SMAs"</w:t>
            </w:r>
          </w:p>
        </w:tc>
      </w:tr>
      <w:tr>
        <w:tc>
          <w:tcPr>
            <w:tcW w:type="dxa" w:w="1368"/>
          </w:tcPr>
          <w:p>
            <w:pPr>
              <w:spacing w:after="20"/>
            </w:pPr>
            <w:r>
              <w:rPr>
                <w:sz w:val="14"/>
              </w:rPr>
              <w:t>LiteFinance</w:t>
            </w:r>
          </w:p>
        </w:tc>
        <w:tc>
          <w:tcPr>
            <w:tcW w:type="dxa" w:w="720"/>
          </w:tcPr>
          <w:p>
            <w:pPr>
              <w:spacing w:after="20"/>
            </w:pPr>
            <w:r>
              <w:rPr>
                <w:sz w:val="14"/>
              </w:rPr>
              <w:t>02 Jul</w:t>
            </w:r>
          </w:p>
        </w:tc>
        <w:tc>
          <w:tcPr>
            <w:tcW w:type="dxa" w:w="2304"/>
          </w:tcPr>
          <w:p>
            <w:pPr>
              <w:spacing w:after="20"/>
            </w:pPr>
            <w:r>
              <w:rPr>
                <w:sz w:val="14"/>
              </w:rPr>
              <w:t>Gold consolidates within 3,951–4,114 range</w:t>
            </w:r>
          </w:p>
        </w:tc>
        <w:tc>
          <w:tcPr>
            <w:tcW w:type="dxa" w:w="1008"/>
          </w:tcPr>
          <w:p>
            <w:pPr>
              <w:spacing w:after="20"/>
            </w:pPr>
            <w:r>
              <w:rPr>
                <w:sz w:val="14"/>
              </w:rPr>
              <w:t>Media</w:t>
            </w:r>
          </w:p>
        </w:tc>
        <w:tc>
          <w:tcPr>
            <w:tcW w:type="dxa" w:w="936"/>
          </w:tcPr>
          <w:p>
            <w:pPr>
              <w:spacing w:after="20"/>
            </w:pPr>
            <w:r>
              <w:rPr>
                <w:sz w:val="14"/>
              </w:rPr>
              <w:t>Neutral</w:t>
            </w:r>
          </w:p>
        </w:tc>
        <w:tc>
          <w:tcPr>
            <w:tcW w:type="dxa" w:w="2664"/>
          </w:tcPr>
          <w:p>
            <w:pPr>
              <w:spacing w:after="20"/>
            </w:pPr>
            <w:r>
              <w:rPr>
                <w:sz w:val="14"/>
              </w:rPr>
              <w:t>"expected to continue consolidating… could move in either direction"</w:t>
            </w:r>
          </w:p>
        </w:tc>
      </w:tr>
      <w:tr>
        <w:tc>
          <w:tcPr>
            <w:tcW w:type="dxa" w:w="1368"/>
            <w:shd w:val="clear" w:color="auto" w:fill="f2f4f6"/>
          </w:tcPr>
          <w:p>
            <w:pPr>
              <w:spacing w:after="20"/>
            </w:pPr>
            <w:r>
              <w:rPr>
                <w:sz w:val="14"/>
              </w:rPr>
              <w:t>OCBC (via LiteFinance)</w:t>
            </w:r>
          </w:p>
        </w:tc>
        <w:tc>
          <w:tcPr>
            <w:tcW w:type="dxa" w:w="720"/>
            <w:shd w:val="clear" w:color="auto" w:fill="f2f4f6"/>
          </w:tcPr>
          <w:p>
            <w:pPr>
              <w:spacing w:after="20"/>
            </w:pPr>
            <w:r>
              <w:rPr>
                <w:sz w:val="14"/>
              </w:rPr>
              <w:t>02 Jul</w:t>
            </w:r>
          </w:p>
        </w:tc>
        <w:tc>
          <w:tcPr>
            <w:tcW w:type="dxa" w:w="2304"/>
            <w:shd w:val="clear" w:color="auto" w:fill="f2f4f6"/>
          </w:tcPr>
          <w:p>
            <w:pPr>
              <w:spacing w:after="20"/>
            </w:pPr>
            <w:r>
              <w:rPr>
                <w:sz w:val="14"/>
              </w:rPr>
              <w:t>Gold to decline through end-2026 on yields, stronger dollar</w:t>
            </w:r>
          </w:p>
        </w:tc>
        <w:tc>
          <w:tcPr>
            <w:tcW w:type="dxa" w:w="1008"/>
            <w:shd w:val="clear" w:color="auto" w:fill="f2f4f6"/>
          </w:tcPr>
          <w:p>
            <w:pPr>
              <w:spacing w:after="20"/>
            </w:pPr>
            <w:r>
              <w:rPr>
                <w:sz w:val="14"/>
              </w:rPr>
              <w:t>Institutional</w:t>
            </w:r>
          </w:p>
        </w:tc>
        <w:tc>
          <w:tcPr>
            <w:tcW w:type="dxa" w:w="936"/>
            <w:shd w:val="clear" w:color="auto" w:fill="f2f4f6"/>
          </w:tcPr>
          <w:p>
            <w:pPr>
              <w:spacing w:after="20"/>
            </w:pPr>
            <w:r>
              <w:rPr>
                <w:sz w:val="14"/>
              </w:rPr>
              <w:t>Bearish</w:t>
            </w:r>
          </w:p>
        </w:tc>
        <w:tc>
          <w:tcPr>
            <w:tcW w:type="dxa" w:w="2664"/>
            <w:shd w:val="clear" w:color="auto" w:fill="f2f4f6"/>
          </w:tcPr>
          <w:p>
            <w:pPr>
              <w:spacing w:after="20"/>
            </w:pPr>
            <w:r>
              <w:rPr>
                <w:sz w:val="14"/>
              </w:rPr>
              <w:t>"expects gold prices to decline… long-term trend to remain upward"</w:t>
            </w:r>
          </w:p>
        </w:tc>
      </w:tr>
    </w:tbl>
    <w:p>
      <w:pPr>
        <w:pStyle w:val="Heading2"/>
      </w:pPr>
      <w:r>
        <w:rPr>
          <w:b/>
          <w:color w:val="9A7D0A"/>
          <w:sz w:val="23"/>
        </w:rPr>
        <w:t>13b · Aggregate Sentiment Summary</w:t>
      </w:r>
    </w:p>
    <w:p>
      <w:pPr>
        <w:spacing w:after="120"/>
      </w:pPr>
      <w:r>
        <w:rPr>
          <w:b w:val="0"/>
          <w:i w:val="0"/>
          <w:sz w:val="21"/>
        </w:rPr>
        <w:t>Categorical: 2 Bullish (media), 3 Bearish (2 institutional, 1 trade press), 1 Neutral (media) = Mixed / leaning Bearish on an institutional-weighted basis. Numeric tilt = +0.19 (source-class-weighted). The categorical (bearish-leaning by institutional weight) and the numeric tilt (+0.19) diverge because the two bullish media items and the neutral carry lighter class weights while the bearish institutional items are offset by the recency and strength of the 02 Jul bullish media prints — report both and weight accordingly.</w:t>
      </w:r>
    </w:p>
    <w:p>
      <w:pPr>
        <w:spacing w:after="120"/>
      </w:pPr>
      <w:r>
        <w:rPr>
          <w:b w:val="0"/>
          <w:i/>
          <w:sz w:val="18"/>
        </w:rPr>
        <w:t>Divergence flag: sentiment vs price — price rose sharply on 02 Jul while institutional commentary stays structurally bearish. Given the TRANSITION regime and KER trending-down read (§9), the institutional/technical signal is the more reliable medium-term guide; the bullish tilt is a short-term, news-driven pulse. Low-confidence note: tilt rests on six articles — acceptable but not deep.</w:t>
      </w:r>
    </w:p>
    <w:p>
      <w:pPr>
        <w:pStyle w:val="Heading2"/>
      </w:pPr>
      <w:r>
        <w:rPr>
          <w:b/>
          <w:color w:val="9A7D0A"/>
          <w:sz w:val="23"/>
        </w:rPr>
        <w:t>13c · News Calendar — Previous Period (5 sessions to 02 Jul)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1f2d3d"/>
          </w:tcPr>
          <w:p>
            <w:pPr>
              <w:spacing w:after="20"/>
            </w:pPr>
            <w:r>
              <w:rPr>
                <w:b/>
                <w:color w:val="FFFFFF"/>
                <w:sz w:val="15"/>
              </w:rPr>
              <w:t>Date</w:t>
            </w:r>
          </w:p>
        </w:tc>
        <w:tc>
          <w:tcPr>
            <w:tcW w:type="dxa" w:w="2448"/>
            <w:shd w:val="clear" w:color="auto" w:fill="1f2d3d"/>
          </w:tcPr>
          <w:p>
            <w:pPr>
              <w:spacing w:after="20"/>
            </w:pPr>
            <w:r>
              <w:rPr>
                <w:b/>
                <w:color w:val="FFFFFF"/>
                <w:sz w:val="15"/>
              </w:rPr>
              <w:t>Event</w:t>
            </w:r>
          </w:p>
        </w:tc>
        <w:tc>
          <w:tcPr>
            <w:tcW w:type="dxa" w:w="1656"/>
            <w:shd w:val="clear" w:color="auto" w:fill="1f2d3d"/>
          </w:tcPr>
          <w:p>
            <w:pPr>
              <w:spacing w:after="20"/>
            </w:pPr>
            <w:r>
              <w:rPr>
                <w:b/>
                <w:color w:val="FFFFFF"/>
                <w:sz w:val="15"/>
              </w:rPr>
              <w:t>Prior / Context</w:t>
            </w:r>
          </w:p>
        </w:tc>
        <w:tc>
          <w:tcPr>
            <w:tcW w:type="dxa" w:w="792"/>
            <w:shd w:val="clear" w:color="auto" w:fill="1f2d3d"/>
          </w:tcPr>
          <w:p>
            <w:pPr>
              <w:spacing w:after="20"/>
            </w:pPr>
            <w:r>
              <w:rPr>
                <w:b/>
                <w:color w:val="FFFFFF"/>
                <w:sz w:val="15"/>
              </w:rPr>
              <w:t>Impact</w:t>
            </w:r>
          </w:p>
        </w:tc>
        <w:tc>
          <w:tcPr>
            <w:tcW w:type="dxa" w:w="3096"/>
            <w:shd w:val="clear" w:color="auto" w:fill="1f2d3d"/>
          </w:tcPr>
          <w:p>
            <w:pPr>
              <w:spacing w:after="20"/>
            </w:pPr>
            <w:r>
              <w:rPr>
                <w:b/>
                <w:color w:val="FFFFFF"/>
                <w:sz w:val="15"/>
              </w:rPr>
              <w:t>Implication for Gold</w:t>
            </w:r>
          </w:p>
        </w:tc>
      </w:tr>
      <w:tr>
        <w:tc>
          <w:tcPr>
            <w:tcW w:type="dxa" w:w="1008"/>
          </w:tcPr>
          <w:p>
            <w:pPr>
              <w:spacing w:after="20"/>
            </w:pPr>
            <w:r>
              <w:rPr>
                <w:sz w:val="15"/>
              </w:rPr>
              <w:t>Wed 24 Jun</w:t>
            </w:r>
          </w:p>
        </w:tc>
        <w:tc>
          <w:tcPr>
            <w:tcW w:type="dxa" w:w="2448"/>
          </w:tcPr>
          <w:p>
            <w:pPr>
              <w:spacing w:after="20"/>
            </w:pPr>
            <w:r>
              <w:rPr>
                <w:sz w:val="15"/>
              </w:rPr>
              <w:t>Spot prints 8-month low $3,959.33</w:t>
            </w:r>
          </w:p>
        </w:tc>
        <w:tc>
          <w:tcPr>
            <w:tcW w:type="dxa" w:w="1656"/>
          </w:tcPr>
          <w:p>
            <w:pPr>
              <w:spacing w:after="20"/>
            </w:pPr>
            <w:r>
              <w:rPr>
                <w:sz w:val="15"/>
              </w:rPr>
              <w:t>Hawkish Fed repricing</w:t>
            </w:r>
          </w:p>
        </w:tc>
        <w:tc>
          <w:tcPr>
            <w:tcW w:type="dxa" w:w="792"/>
          </w:tcPr>
          <w:p>
            <w:pPr>
              <w:spacing w:after="20"/>
            </w:pPr>
            <w:r>
              <w:rPr>
                <w:sz w:val="15"/>
              </w:rPr>
              <w:t>High</w:t>
            </w:r>
          </w:p>
        </w:tc>
        <w:tc>
          <w:tcPr>
            <w:tcW w:type="dxa" w:w="3096"/>
          </w:tcPr>
          <w:p>
            <w:pPr>
              <w:spacing w:after="20"/>
            </w:pPr>
            <w:r>
              <w:rPr>
                <w:sz w:val="15"/>
              </w:rPr>
              <w:t>Capitulation low; set the base for the bounce</w:t>
            </w:r>
          </w:p>
        </w:tc>
      </w:tr>
      <w:tr>
        <w:tc>
          <w:tcPr>
            <w:tcW w:type="dxa" w:w="1008"/>
            <w:shd w:val="clear" w:color="auto" w:fill="f2f4f6"/>
          </w:tcPr>
          <w:p>
            <w:pPr>
              <w:spacing w:after="20"/>
            </w:pPr>
            <w:r>
              <w:rPr>
                <w:sz w:val="15"/>
              </w:rPr>
              <w:t>Thu 25 Jun</w:t>
            </w:r>
          </w:p>
        </w:tc>
        <w:tc>
          <w:tcPr>
            <w:tcW w:type="dxa" w:w="2448"/>
            <w:shd w:val="clear" w:color="auto" w:fill="f2f4f6"/>
          </w:tcPr>
          <w:p>
            <w:pPr>
              <w:spacing w:after="20"/>
            </w:pPr>
            <w:r>
              <w:rPr>
                <w:sz w:val="15"/>
              </w:rPr>
              <w:t>May PCE 4.1% y/y</w:t>
            </w:r>
          </w:p>
        </w:tc>
        <w:tc>
          <w:tcPr>
            <w:tcW w:type="dxa" w:w="1656"/>
            <w:shd w:val="clear" w:color="auto" w:fill="f2f4f6"/>
          </w:tcPr>
          <w:p>
            <w:pPr>
              <w:spacing w:after="20"/>
            </w:pPr>
            <w:r>
              <w:rPr>
                <w:sz w:val="15"/>
              </w:rPr>
              <w:t>Highest since Apr-2023</w:t>
            </w:r>
          </w:p>
        </w:tc>
        <w:tc>
          <w:tcPr>
            <w:tcW w:type="dxa" w:w="792"/>
            <w:shd w:val="clear" w:color="auto" w:fill="f2f4f6"/>
          </w:tcPr>
          <w:p>
            <w:pPr>
              <w:spacing w:after="20"/>
            </w:pPr>
            <w:r>
              <w:rPr>
                <w:sz w:val="15"/>
              </w:rPr>
              <w:t>High</w:t>
            </w:r>
          </w:p>
        </w:tc>
        <w:tc>
          <w:tcPr>
            <w:tcW w:type="dxa" w:w="3096"/>
            <w:shd w:val="clear" w:color="auto" w:fill="f2f4f6"/>
          </w:tcPr>
          <w:p>
            <w:pPr>
              <w:spacing w:after="20"/>
            </w:pPr>
            <w:r>
              <w:rPr>
                <w:sz w:val="15"/>
              </w:rPr>
              <w:t>Reinforced higher-for-longer; capped gold</w:t>
            </w:r>
          </w:p>
        </w:tc>
      </w:tr>
      <w:tr>
        <w:tc>
          <w:tcPr>
            <w:tcW w:type="dxa" w:w="1008"/>
          </w:tcPr>
          <w:p>
            <w:pPr>
              <w:spacing w:after="20"/>
            </w:pPr>
            <w:r>
              <w:rPr>
                <w:sz w:val="15"/>
              </w:rPr>
              <w:t>Wed 01 Jul</w:t>
            </w:r>
          </w:p>
        </w:tc>
        <w:tc>
          <w:tcPr>
            <w:tcW w:type="dxa" w:w="2448"/>
          </w:tcPr>
          <w:p>
            <w:pPr>
              <w:spacing w:after="20"/>
            </w:pPr>
            <w:r>
              <w:rPr>
                <w:sz w:val="15"/>
              </w:rPr>
              <w:t>Warsh (Sintra): inflation expectations eased</w:t>
            </w:r>
          </w:p>
        </w:tc>
        <w:tc>
          <w:tcPr>
            <w:tcW w:type="dxa" w:w="1656"/>
          </w:tcPr>
          <w:p>
            <w:pPr>
              <w:spacing w:after="20"/>
            </w:pPr>
            <w:r>
              <w:rPr>
                <w:sz w:val="15"/>
              </w:rPr>
              <w:t>Prior hawkish tone</w:t>
            </w:r>
          </w:p>
        </w:tc>
        <w:tc>
          <w:tcPr>
            <w:tcW w:type="dxa" w:w="792"/>
          </w:tcPr>
          <w:p>
            <w:pPr>
              <w:spacing w:after="20"/>
            </w:pPr>
            <w:r>
              <w:rPr>
                <w:sz w:val="15"/>
              </w:rPr>
              <w:t>High</w:t>
            </w:r>
          </w:p>
        </w:tc>
        <w:tc>
          <w:tcPr>
            <w:tcW w:type="dxa" w:w="3096"/>
          </w:tcPr>
          <w:p>
            <w:pPr>
              <w:spacing w:after="20"/>
            </w:pPr>
            <w:r>
              <w:rPr>
                <w:sz w:val="15"/>
              </w:rPr>
              <w:t>Dovish tilt; gold reclaimed $4,000</w:t>
            </w:r>
          </w:p>
        </w:tc>
      </w:tr>
      <w:tr>
        <w:tc>
          <w:tcPr>
            <w:tcW w:type="dxa" w:w="1008"/>
            <w:shd w:val="clear" w:color="auto" w:fill="f2f4f6"/>
          </w:tcPr>
          <w:p>
            <w:pPr>
              <w:spacing w:after="20"/>
            </w:pPr>
            <w:r>
              <w:rPr>
                <w:sz w:val="15"/>
              </w:rPr>
              <w:t>Wed 01 Jul</w:t>
            </w:r>
          </w:p>
        </w:tc>
        <w:tc>
          <w:tcPr>
            <w:tcW w:type="dxa" w:w="2448"/>
            <w:shd w:val="clear" w:color="auto" w:fill="f2f4f6"/>
          </w:tcPr>
          <w:p>
            <w:pPr>
              <w:spacing w:after="20"/>
            </w:pPr>
            <w:r>
              <w:rPr>
                <w:sz w:val="15"/>
              </w:rPr>
              <w:t>ADP/private hiring slowed</w:t>
            </w:r>
          </w:p>
        </w:tc>
        <w:tc>
          <w:tcPr>
            <w:tcW w:type="dxa" w:w="1656"/>
            <w:shd w:val="clear" w:color="auto" w:fill="f2f4f6"/>
          </w:tcPr>
          <w:p>
            <w:pPr>
              <w:spacing w:after="20"/>
            </w:pPr>
            <w:r>
              <w:rPr>
                <w:sz w:val="15"/>
              </w:rPr>
              <w:t>Below expectations</w:t>
            </w:r>
          </w:p>
        </w:tc>
        <w:tc>
          <w:tcPr>
            <w:tcW w:type="dxa" w:w="792"/>
            <w:shd w:val="clear" w:color="auto" w:fill="f2f4f6"/>
          </w:tcPr>
          <w:p>
            <w:pPr>
              <w:spacing w:after="20"/>
            </w:pPr>
            <w:r>
              <w:rPr>
                <w:sz w:val="15"/>
              </w:rPr>
              <w:t>Medium</w:t>
            </w:r>
          </w:p>
        </w:tc>
        <w:tc>
          <w:tcPr>
            <w:tcW w:type="dxa" w:w="3096"/>
            <w:shd w:val="clear" w:color="auto" w:fill="f2f4f6"/>
          </w:tcPr>
          <w:p>
            <w:pPr>
              <w:spacing w:after="20"/>
            </w:pPr>
            <w:r>
              <w:rPr>
                <w:sz w:val="15"/>
              </w:rPr>
              <w:t>Softened dollar; pre-payroll gold bid</w:t>
            </w:r>
          </w:p>
        </w:tc>
      </w:tr>
      <w:tr>
        <w:tc>
          <w:tcPr>
            <w:tcW w:type="dxa" w:w="1008"/>
          </w:tcPr>
          <w:p>
            <w:pPr>
              <w:spacing w:after="20"/>
            </w:pPr>
            <w:r>
              <w:rPr>
                <w:sz w:val="15"/>
              </w:rPr>
              <w:t>Thu 02 Jul</w:t>
            </w:r>
          </w:p>
        </w:tc>
        <w:tc>
          <w:tcPr>
            <w:tcW w:type="dxa" w:w="2448"/>
          </w:tcPr>
          <w:p>
            <w:pPr>
              <w:spacing w:after="20"/>
            </w:pPr>
            <w:r>
              <w:rPr>
                <w:sz w:val="15"/>
              </w:rPr>
              <w:t>US June NFP +57k</w:t>
            </w:r>
          </w:p>
        </w:tc>
        <w:tc>
          <w:tcPr>
            <w:tcW w:type="dxa" w:w="1656"/>
          </w:tcPr>
          <w:p>
            <w:pPr>
              <w:spacing w:after="20"/>
            </w:pPr>
            <w:r>
              <w:rPr>
                <w:sz w:val="15"/>
              </w:rPr>
              <w:t>vs ~110k consensus</w:t>
            </w:r>
          </w:p>
        </w:tc>
        <w:tc>
          <w:tcPr>
            <w:tcW w:type="dxa" w:w="792"/>
          </w:tcPr>
          <w:p>
            <w:pPr>
              <w:spacing w:after="20"/>
            </w:pPr>
            <w:r>
              <w:rPr>
                <w:sz w:val="15"/>
              </w:rPr>
              <w:t>High</w:t>
            </w:r>
          </w:p>
        </w:tc>
        <w:tc>
          <w:tcPr>
            <w:tcW w:type="dxa" w:w="3096"/>
          </w:tcPr>
          <w:p>
            <w:pPr>
              <w:spacing w:after="20"/>
            </w:pPr>
            <w:r>
              <w:rPr>
                <w:sz w:val="15"/>
              </w:rPr>
              <w:t>Sept-hike odds &lt;50%; gold surged above $4,100</w:t>
            </w:r>
          </w:p>
        </w:tc>
      </w:tr>
    </w:tbl>
    <w:p>
      <w:pPr>
        <w:pStyle w:val="Heading2"/>
      </w:pPr>
      <w:r>
        <w:rPr>
          <w:b/>
          <w:color w:val="9A7D0A"/>
          <w:sz w:val="23"/>
        </w:rPr>
        <w:t>13d · News Calendar — Upcoming Period (next 5 sessions)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color="auto" w:fill="1f2d3d"/>
          </w:tcPr>
          <w:p>
            <w:pPr>
              <w:spacing w:after="20"/>
            </w:pPr>
            <w:r>
              <w:rPr>
                <w:b/>
                <w:color w:val="FFFFFF"/>
                <w:sz w:val="15"/>
              </w:rPr>
              <w:t>Date</w:t>
            </w:r>
          </w:p>
        </w:tc>
        <w:tc>
          <w:tcPr>
            <w:tcW w:type="dxa" w:w="2232"/>
            <w:shd w:val="clear" w:color="auto" w:fill="1f2d3d"/>
          </w:tcPr>
          <w:p>
            <w:pPr>
              <w:spacing w:after="20"/>
            </w:pPr>
            <w:r>
              <w:rPr>
                <w:b/>
                <w:color w:val="FFFFFF"/>
                <w:sz w:val="15"/>
              </w:rPr>
              <w:t>Event</w:t>
            </w:r>
          </w:p>
        </w:tc>
        <w:tc>
          <w:tcPr>
            <w:tcW w:type="dxa" w:w="1512"/>
            <w:shd w:val="clear" w:color="auto" w:fill="1f2d3d"/>
          </w:tcPr>
          <w:p>
            <w:pPr>
              <w:spacing w:after="20"/>
            </w:pPr>
            <w:r>
              <w:rPr>
                <w:b/>
                <w:color w:val="FFFFFF"/>
                <w:sz w:val="15"/>
              </w:rPr>
              <w:t>Context</w:t>
            </w:r>
          </w:p>
        </w:tc>
        <w:tc>
          <w:tcPr>
            <w:tcW w:type="dxa" w:w="792"/>
            <w:shd w:val="clear" w:color="auto" w:fill="1f2d3d"/>
          </w:tcPr>
          <w:p>
            <w:pPr>
              <w:spacing w:after="20"/>
            </w:pPr>
            <w:r>
              <w:rPr>
                <w:b/>
                <w:color w:val="FFFFFF"/>
                <w:sz w:val="15"/>
              </w:rPr>
              <w:t>Impact</w:t>
            </w:r>
          </w:p>
        </w:tc>
        <w:tc>
          <w:tcPr>
            <w:tcW w:type="dxa" w:w="3384"/>
            <w:shd w:val="clear" w:color="auto" w:fill="1f2d3d"/>
          </w:tcPr>
          <w:p>
            <w:pPr>
              <w:spacing w:after="20"/>
            </w:pPr>
            <w:r>
              <w:rPr>
                <w:b/>
                <w:color w:val="FFFFFF"/>
                <w:sz w:val="15"/>
              </w:rPr>
              <w:t>Implication for Gold (beat / miss)</w:t>
            </w:r>
          </w:p>
        </w:tc>
      </w:tr>
      <w:tr>
        <w:tc>
          <w:tcPr>
            <w:tcW w:type="dxa" w:w="1080"/>
          </w:tcPr>
          <w:p>
            <w:pPr>
              <w:spacing w:after="20"/>
            </w:pPr>
            <w:r>
              <w:rPr>
                <w:sz w:val="15"/>
              </w:rPr>
              <w:t>Wk of 06 Jul</w:t>
            </w:r>
          </w:p>
        </w:tc>
        <w:tc>
          <w:tcPr>
            <w:tcW w:type="dxa" w:w="2232"/>
          </w:tcPr>
          <w:p>
            <w:pPr>
              <w:spacing w:after="20"/>
            </w:pPr>
            <w:r>
              <w:rPr>
                <w:sz w:val="15"/>
              </w:rPr>
              <w:t>Fed speakers (post-payroll)</w:t>
            </w:r>
          </w:p>
        </w:tc>
        <w:tc>
          <w:tcPr>
            <w:tcW w:type="dxa" w:w="1512"/>
          </w:tcPr>
          <w:p>
            <w:pPr>
              <w:spacing w:after="20"/>
            </w:pPr>
            <w:r>
              <w:rPr>
                <w:sz w:val="15"/>
              </w:rPr>
              <w:t>Read on Sept path</w:t>
            </w:r>
          </w:p>
        </w:tc>
        <w:tc>
          <w:tcPr>
            <w:tcW w:type="dxa" w:w="792"/>
          </w:tcPr>
          <w:p>
            <w:pPr>
              <w:spacing w:after="20"/>
            </w:pPr>
            <w:r>
              <w:rPr>
                <w:sz w:val="15"/>
              </w:rPr>
              <w:t>High</w:t>
            </w:r>
          </w:p>
        </w:tc>
        <w:tc>
          <w:tcPr>
            <w:tcW w:type="dxa" w:w="3384"/>
          </w:tcPr>
          <w:p>
            <w:pPr>
              <w:spacing w:after="20"/>
            </w:pPr>
            <w:r>
              <w:rPr>
                <w:sz w:val="15"/>
              </w:rPr>
              <w:t>Hawkish → gold back toward $4,000; dovish → test $4,150+</w:t>
            </w:r>
          </w:p>
        </w:tc>
      </w:tr>
      <w:tr>
        <w:tc>
          <w:tcPr>
            <w:tcW w:type="dxa" w:w="1080"/>
            <w:shd w:val="clear" w:color="auto" w:fill="f2f4f6"/>
          </w:tcPr>
          <w:p>
            <w:pPr>
              <w:spacing w:after="20"/>
            </w:pPr>
            <w:r>
              <w:rPr>
                <w:sz w:val="15"/>
              </w:rPr>
              <w:t>Wk of 06 Jul</w:t>
            </w:r>
          </w:p>
        </w:tc>
        <w:tc>
          <w:tcPr>
            <w:tcW w:type="dxa" w:w="2232"/>
            <w:shd w:val="clear" w:color="auto" w:fill="f2f4f6"/>
          </w:tcPr>
          <w:p>
            <w:pPr>
              <w:spacing w:after="20"/>
            </w:pPr>
            <w:r>
              <w:rPr>
                <w:sz w:val="15"/>
              </w:rPr>
              <w:t>US CPI (June) — watch item</w:t>
            </w:r>
          </w:p>
        </w:tc>
        <w:tc>
          <w:tcPr>
            <w:tcW w:type="dxa" w:w="1512"/>
            <w:shd w:val="clear" w:color="auto" w:fill="f2f4f6"/>
          </w:tcPr>
          <w:p>
            <w:pPr>
              <w:spacing w:after="20"/>
            </w:pPr>
            <w:r>
              <w:rPr>
                <w:sz w:val="15"/>
              </w:rPr>
              <w:t>Prior 4.2%</w:t>
            </w:r>
          </w:p>
        </w:tc>
        <w:tc>
          <w:tcPr>
            <w:tcW w:type="dxa" w:w="792"/>
            <w:shd w:val="clear" w:color="auto" w:fill="f2f4f6"/>
          </w:tcPr>
          <w:p>
            <w:pPr>
              <w:spacing w:after="20"/>
            </w:pPr>
            <w:r>
              <w:rPr>
                <w:sz w:val="15"/>
              </w:rPr>
              <w:t>High</w:t>
            </w:r>
          </w:p>
        </w:tc>
        <w:tc>
          <w:tcPr>
            <w:tcW w:type="dxa" w:w="3384"/>
            <w:shd w:val="clear" w:color="auto" w:fill="f2f4f6"/>
          </w:tcPr>
          <w:p>
            <w:pPr>
              <w:spacing w:after="20"/>
            </w:pPr>
            <w:r>
              <w:rPr>
                <w:sz w:val="15"/>
              </w:rPr>
              <w:t>Hot → real-yield headwind, bearish; soft → extends bounce</w:t>
            </w:r>
          </w:p>
        </w:tc>
      </w:tr>
      <w:tr>
        <w:tc>
          <w:tcPr>
            <w:tcW w:type="dxa" w:w="1080"/>
          </w:tcPr>
          <w:p>
            <w:pPr>
              <w:spacing w:after="20"/>
            </w:pPr>
            <w:r>
              <w:rPr>
                <w:sz w:val="15"/>
              </w:rPr>
              <w:t>Ongoing</w:t>
            </w:r>
          </w:p>
        </w:tc>
        <w:tc>
          <w:tcPr>
            <w:tcW w:type="dxa" w:w="2232"/>
          </w:tcPr>
          <w:p>
            <w:pPr>
              <w:spacing w:after="20"/>
            </w:pPr>
            <w:r>
              <w:rPr>
                <w:sz w:val="15"/>
              </w:rPr>
              <w:t>US–Iran / Qatar talks</w:t>
            </w:r>
          </w:p>
        </w:tc>
        <w:tc>
          <w:tcPr>
            <w:tcW w:type="dxa" w:w="1512"/>
          </w:tcPr>
          <w:p>
            <w:pPr>
              <w:spacing w:after="20"/>
            </w:pPr>
            <w:r>
              <w:rPr>
                <w:sz w:val="15"/>
              </w:rPr>
              <w:t>Ceasefire hopes</w:t>
            </w:r>
          </w:p>
        </w:tc>
        <w:tc>
          <w:tcPr>
            <w:tcW w:type="dxa" w:w="792"/>
          </w:tcPr>
          <w:p>
            <w:pPr>
              <w:spacing w:after="20"/>
            </w:pPr>
            <w:r>
              <w:rPr>
                <w:sz w:val="15"/>
              </w:rPr>
              <w:t>Medium</w:t>
            </w:r>
          </w:p>
        </w:tc>
        <w:tc>
          <w:tcPr>
            <w:tcW w:type="dxa" w:w="3384"/>
          </w:tcPr>
          <w:p>
            <w:pPr>
              <w:spacing w:after="20"/>
            </w:pPr>
            <w:r>
              <w:rPr>
                <w:sz w:val="15"/>
              </w:rPr>
              <w:t>Breakdown → haven bid; progress → risk-on, mild drag</w:t>
            </w:r>
          </w:p>
        </w:tc>
      </w:tr>
      <w:tr>
        <w:tc>
          <w:tcPr>
            <w:tcW w:type="dxa" w:w="1080"/>
            <w:shd w:val="clear" w:color="auto" w:fill="f2f4f6"/>
          </w:tcPr>
          <w:p>
            <w:pPr>
              <w:spacing w:after="20"/>
            </w:pPr>
            <w:r>
              <w:rPr>
                <w:sz w:val="15"/>
              </w:rPr>
              <w:t>Wk of 06 Jul</w:t>
            </w:r>
          </w:p>
        </w:tc>
        <w:tc>
          <w:tcPr>
            <w:tcW w:type="dxa" w:w="2232"/>
            <w:shd w:val="clear" w:color="auto" w:fill="f2f4f6"/>
          </w:tcPr>
          <w:p>
            <w:pPr>
              <w:spacing w:after="20"/>
            </w:pPr>
            <w:r>
              <w:rPr>
                <w:sz w:val="15"/>
              </w:rPr>
              <w:t>JOLTS / ISM services</w:t>
            </w:r>
          </w:p>
        </w:tc>
        <w:tc>
          <w:tcPr>
            <w:tcW w:type="dxa" w:w="1512"/>
            <w:shd w:val="clear" w:color="auto" w:fill="f2f4f6"/>
          </w:tcPr>
          <w:p>
            <w:pPr>
              <w:spacing w:after="20"/>
            </w:pPr>
            <w:r>
              <w:rPr>
                <w:sz w:val="15"/>
              </w:rPr>
              <w:t>Labour/activity</w:t>
            </w:r>
          </w:p>
        </w:tc>
        <w:tc>
          <w:tcPr>
            <w:tcW w:type="dxa" w:w="792"/>
            <w:shd w:val="clear" w:color="auto" w:fill="f2f4f6"/>
          </w:tcPr>
          <w:p>
            <w:pPr>
              <w:spacing w:after="20"/>
            </w:pPr>
            <w:r>
              <w:rPr>
                <w:sz w:val="15"/>
              </w:rPr>
              <w:t>Medium</w:t>
            </w:r>
          </w:p>
        </w:tc>
        <w:tc>
          <w:tcPr>
            <w:tcW w:type="dxa" w:w="3384"/>
            <w:shd w:val="clear" w:color="auto" w:fill="f2f4f6"/>
          </w:tcPr>
          <w:p>
            <w:pPr>
              <w:spacing w:after="20"/>
            </w:pPr>
            <w:r>
              <w:rPr>
                <w:sz w:val="15"/>
              </w:rPr>
              <w:t>Weak → dovish, gold-supportive</w:t>
            </w:r>
          </w:p>
        </w:tc>
      </w:tr>
    </w:tbl>
    <w:p>
      <w:pPr>
        <w:spacing w:after="120"/>
      </w:pPr>
      <w:r>
        <w:rPr>
          <w:b/>
          <w:i w:val="0"/>
          <w:sz w:val="21"/>
        </w:rPr>
        <w:t xml:space="preserve">Highest-impact upcoming event: US June CPI. </w:t>
      </w:r>
    </w:p>
    <w:p>
      <w:pPr>
        <w:spacing w:after="120"/>
      </w:pPr>
      <w:r>
        <w:rPr>
          <w:b w:val="0"/>
          <w:i w:val="0"/>
          <w:sz w:val="18"/>
        </w:rPr>
        <w:t>A hotter-than-expected CPI would revive the higher-for-longer narrative, lift real yields and the dollar, and most directly threaten to reverse the two-day bounce back into the dominant downtrend — the single release most able to change the consensus price view.</w:t>
      </w:r>
    </w:p>
    <w:p>
      <w:pPr>
        <w:pStyle w:val="Heading1"/>
        <w:spacing w:before="200"/>
      </w:pPr>
      <w:r>
        <w:rPr>
          <w:b/>
          <w:color w:val="1F2D3D"/>
          <w:sz w:val="28"/>
        </w:rPr>
        <w:t>14 · Macro Context</w:t>
      </w:r>
    </w:p>
    <w:p>
      <w:pPr>
        <w:pStyle w:val="ListBullet"/>
        <w:spacing w:after="60"/>
      </w:pPr>
      <w:r>
        <w:rPr>
          <w:b/>
        </w:rPr>
        <w:t xml:space="preserve">Rates &amp; policy: </w:t>
      </w:r>
      <w:r>
        <w:t>Fed funds 3.75%; the FOMC dot-plot still carries hike risk but the soft June payroll pushed September-hike odds under 50%. Cross-referencing §10, the equity counters (S&amp;P 500 / DAX 40) are flat — no strong risk signal either way.</w:t>
      </w:r>
    </w:p>
    <w:p>
      <w:pPr>
        <w:pStyle w:val="ListBullet"/>
        <w:spacing w:after="60"/>
      </w:pPr>
      <w:r>
        <w:rPr>
          <w:b/>
        </w:rPr>
        <w:t xml:space="preserve">Inflation: </w:t>
      </w:r>
      <w:r>
        <w:t>May PCE 4.1% and CPI 4.2% remain well above target — price-negative for gold via the real-yield channel if the Fed stays firm, but partially offset this week by Warsh's easing-expectations message.</w:t>
      </w:r>
    </w:p>
    <w:p>
      <w:pPr>
        <w:pStyle w:val="ListBullet"/>
        <w:spacing w:after="60"/>
      </w:pPr>
      <w:r>
        <w:rPr>
          <w:b/>
        </w:rPr>
        <w:t xml:space="preserve">Safe-haven / real yields: </w:t>
      </w:r>
      <w:r>
        <w:t>Silver's confirming rally (§10) and the gold bounce reflect defensive demand plus real-yield relief as hike odds faded. Rising gold here = a mix of haven demand and real-yield compression.</w:t>
      </w:r>
    </w:p>
    <w:p>
      <w:pPr>
        <w:pStyle w:val="ListBullet"/>
        <w:spacing w:after="60"/>
      </w:pPr>
      <w:r>
        <w:rPr>
          <w:b/>
        </w:rPr>
        <w:t xml:space="preserve">Liquidity &amp; FX: </w:t>
      </w:r>
      <w:r>
        <w:t>Per §10, USDX is pulling back from a one-year high — the proximate mechanical support for gold; a renewed dollar bid is the key downside risk.</w:t>
      </w:r>
    </w:p>
    <w:p>
      <w:pPr>
        <w:pStyle w:val="ListBullet"/>
        <w:spacing w:after="60"/>
      </w:pPr>
      <w:r>
        <w:rPr>
          <w:b/>
        </w:rPr>
        <w:t xml:space="preserve">Energy: </w:t>
      </w:r>
      <w:r>
        <w:t>Softer oil (Strait of Hormuz shipping recovery, US–Iran de-escalation) eases inflation pressure — indirectly gold-supportive by trimming yield risk.</w:t>
      </w:r>
    </w:p>
    <w:p>
      <w:pPr>
        <w:pStyle w:val="ListBullet"/>
        <w:spacing w:after="60"/>
      </w:pPr>
      <w:r>
        <w:rPr>
          <w:b/>
        </w:rPr>
        <w:t xml:space="preserve">Positioning: </w:t>
      </w:r>
      <w:r>
        <w:t>Capital.com retail ~74% long into 29 Jun; crowded longs are a contrarian caution if momentum stalls at resistance.</w:t>
      </w:r>
    </w:p>
    <w:p>
      <w:pPr>
        <w:spacing w:after="120"/>
      </w:pPr>
      <w:r>
        <w:rPr>
          <w:b w:val="0"/>
          <w:i/>
          <w:sz w:val="18"/>
        </w:rPr>
        <w:t>Upcoming-event cross-reference: US June CPI (§13d) is the macro watch item — a hot print flips the rates and FX variables back to gold-negative.</w:t>
      </w:r>
    </w:p>
    <w:p>
      <w:pPr>
        <w:pStyle w:val="Heading1"/>
        <w:spacing w:before="200"/>
      </w:pPr>
      <w:r>
        <w:rPr>
          <w:b/>
          <w:color w:val="1F2D3D"/>
          <w:sz w:val="28"/>
        </w:rPr>
        <w:t>15 · Bull / Bear Balance</w:t>
      </w:r>
    </w:p>
    <w:p>
      <w:pPr>
        <w:pStyle w:val="Heading2"/>
      </w:pPr>
      <w:r>
        <w:rPr>
          <w:b/>
          <w:color w:val="9A7D0A"/>
          <w:sz w:val="23"/>
        </w:rPr>
        <w:t>Upside risks (bull)</w:t>
      </w:r>
    </w:p>
    <w:p>
      <w:pPr>
        <w:pStyle w:val="ListBullet"/>
        <w:spacing w:after="60"/>
      </w:pPr>
      <w:r>
        <w:t>Dollar pullback extends from its one-year high, mechanically lifting gold (§10, §14).</w:t>
      </w:r>
    </w:p>
    <w:p>
      <w:pPr>
        <w:pStyle w:val="ListBullet"/>
        <w:spacing w:after="60"/>
      </w:pPr>
      <w:r>
        <w:t>Soft-labour momentum (57k NFP) drags September-hike odds lower; dovish Fed speak could push spot through the $4,140–$4,150 confluence shelf (§11).</w:t>
      </w:r>
    </w:p>
    <w:p>
      <w:pPr>
        <w:pStyle w:val="ListBullet"/>
        <w:spacing w:after="60"/>
      </w:pPr>
      <w:r>
        <w:t>Geopolitical wildcard: any US–Iran/Qatar breakdown revives the haven bid.</w:t>
      </w:r>
    </w:p>
    <w:p>
      <w:pPr>
        <w:pStyle w:val="Heading2"/>
      </w:pPr>
      <w:r>
        <w:rPr>
          <w:b/>
          <w:color w:val="9A7D0A"/>
          <w:sz w:val="23"/>
        </w:rPr>
        <w:t>Downside risks (bear)</w:t>
      </w:r>
    </w:p>
    <w:p>
      <w:pPr>
        <w:pStyle w:val="ListBullet"/>
        <w:spacing w:after="60"/>
      </w:pPr>
      <w:r>
        <w:t>Hot June CPI (§13d highest-impact event) re-arms higher-for-longer, lifts real yields, and reverses the bounce.</w:t>
      </w:r>
    </w:p>
    <w:p>
      <w:pPr>
        <w:pStyle w:val="ListBullet"/>
        <w:spacing w:after="60"/>
      </w:pPr>
      <w:r>
        <w:t>Medium-term regime is still bearish (KER trending-down, price below 20/100/200-day SMAs — §9); the rally is counter-trend into daily-R resistance (§11).</w:t>
      </w:r>
    </w:p>
    <w:p>
      <w:pPr>
        <w:pStyle w:val="ListBullet"/>
        <w:spacing w:after="60"/>
      </w:pPr>
      <w:r>
        <w:t>Crowded retail longs (~74%) risk a fast unwind if $4,140 caps the move.</w:t>
      </w:r>
    </w:p>
    <w:p>
      <w:pPr>
        <w:spacing w:after="120"/>
      </w:pPr>
      <w:r>
        <w:rPr>
          <w:b w:val="0"/>
          <w:i/>
          <w:sz w:val="18"/>
        </w:rPr>
        <w:t>Balance: the pivot position (extended above daily P/R1 but below weekly resistance) plus the bearish regime tilt the balance slightly to the downside on a multi-day view, even as near-term momentum is up.</w:t>
      </w:r>
    </w:p>
    <w:p>
      <w:pPr>
        <w:pStyle w:val="Heading1"/>
        <w:spacing w:before="200"/>
      </w:pPr>
      <w:r>
        <w:rPr>
          <w:b/>
          <w:color w:val="1F2D3D"/>
          <w:sz w:val="28"/>
        </w:rPr>
        <w:t>16 · Forward View</w:t>
      </w:r>
    </w:p>
    <w:p>
      <w:pPr>
        <w:spacing w:after="120"/>
      </w:pPr>
      <w:r>
        <w:rPr>
          <w:b w:val="0"/>
          <w:i w:val="0"/>
          <w:sz w:val="21"/>
        </w:rPr>
        <w:t>Expected direction (next 5 sessions): two-sided with a modest downside skew. The base case is a consolidation-to-fade between roughly $4,030 support and the $4,140–$4,150 resistance shelf, with the medium-term downtrend reasserting on any hawkish CPI or dollar rebound. A decisive daily close above $4,150 would neutralise the bearish regime and open $4,183 (20-day SMA) and the weekly R-cluster; that is the bull invalidation of the base case.</w:t>
      </w:r>
    </w:p>
    <w:p>
      <w:pPr>
        <w:spacing w:after="120"/>
      </w:pPr>
      <w:r>
        <w:rPr>
          <w:b w:val="0"/>
          <w:i/>
          <w:sz w:val="18"/>
        </w:rPr>
        <w:t>Regime respect: this view respects the §9 TRANSITION/bearish-medium-term regime — it treats the bounce as counter-trend rather than a confirmed reversal. It does not contradict the regime; the tension with short-term bullish momentum is stated explicitly. Primary watch items (from §13d): US June CPI and post-payroll Fed speakers.</w:t>
      </w:r>
    </w:p>
    <w:p>
      <w:pPr>
        <w:spacing w:after="120"/>
      </w:pPr>
      <w:r>
        <w:rPr>
          <w:b w:val="0"/>
          <w:i w:val="0"/>
          <w:sz w:val="21"/>
        </w:rPr>
        <w:t>Base-case invalidation: two consecutive daily closes above $4,150, or a sustained break back below $3,950, would each invalidate the range-fade base case (to the upside and downside respectively).</w:t>
      </w:r>
    </w:p>
    <w:p>
      <w:pPr>
        <w:pStyle w:val="Heading1"/>
        <w:spacing w:before="200"/>
      </w:pPr>
      <w:r>
        <w:rPr>
          <w:b/>
          <w:color w:val="1F2D3D"/>
          <w:sz w:val="28"/>
        </w:rPr>
        <w:t>17 · Forecast</w:t>
      </w:r>
    </w:p>
    <w:p>
      <w:pPr>
        <w:spacing w:after="120"/>
      </w:pPr>
      <w:r>
        <w:rPr>
          <w:b/>
          <w:i w:val="0"/>
          <w:sz w:val="21"/>
        </w:rPr>
        <w:t>Gold holds a fragile bid near $4,095–$4,110 but fades from the $4,140–$4,150 resistance shelf over the coming sessions as the bearish medium-term regime and firm-inflation backdrop outweigh a news-driven, dollar-assisted bounce.</w:t>
      </w:r>
    </w:p>
    <w:p>
      <w:pPr>
        <w:pStyle w:val="Heading1"/>
        <w:spacing w:before="200"/>
      </w:pPr>
      <w:r>
        <w:rPr>
          <w:b/>
          <w:color w:val="1F2D3D"/>
          <w:sz w:val="28"/>
        </w:rPr>
        <w:t>18 · Final Analyst Judgement</w:t>
      </w:r>
    </w:p>
    <w:p>
      <w:pPr>
        <w:spacing w:after="120"/>
      </w:pPr>
      <w:r>
        <w:rPr>
          <w:b w:val="0"/>
          <w:i w:val="0"/>
          <w:sz w:val="21"/>
        </w:rPr>
        <w:t>Consensus price call: ~$4,095/oz (range $4,050–$4,140), Low–Medium confidence. Market tone: balanced, with a short-term firm overlay on a bearish medium-term structure.</w:t>
      </w:r>
    </w:p>
    <w:p>
      <w:pPr>
        <w:spacing w:after="120"/>
      </w:pPr>
      <w:r>
        <w:rPr>
          <w:b w:val="0"/>
          <w:i w:val="0"/>
          <w:sz w:val="21"/>
        </w:rPr>
        <w:t>Three most important reasons: (1) a soft June payroll and Warsh's easing-expectations message cut September-hike odds and weakened the dollar, powering the two-day rebound; (2) the medium-term regime is still bearish — spot trades below its 20/100/200-day SMAs and KER reads trending-down; (3) provider dispersion (~$80 spot-vs-futures) keeps precision — and confidence — capped.</w:t>
      </w:r>
    </w:p>
    <w:p>
      <w:pPr>
        <w:spacing w:after="120"/>
      </w:pPr>
      <w:r>
        <w:rPr>
          <w:b/>
          <w:i w:val="0"/>
          <w:sz w:val="21"/>
        </w:rPr>
        <w:t>Single watch item: US June CPI — a hot print would most directly reverse the bounce and restore the downtrend.</w:t>
      </w:r>
    </w:p>
    <w:p>
      <w:pPr>
        <w:pStyle w:val="Heading1"/>
        <w:spacing w:before="200"/>
      </w:pPr>
      <w:r>
        <w:rPr>
          <w:b/>
          <w:color w:val="1F2D3D"/>
          <w:sz w:val="28"/>
        </w:rPr>
        <w:t>19 · Source Discipline Note</w:t>
      </w:r>
    </w:p>
    <w:p>
      <w:pPr>
        <w:pStyle w:val="ListBullet"/>
        <w:spacing w:after="60"/>
      </w:pPr>
      <w:r>
        <w:rPr>
          <w:b/>
        </w:rPr>
        <w:t xml:space="preserve">Live vs indicative: </w:t>
      </w:r>
      <w:r>
        <w:t>All 02 Jul spot reads are live-market but the multi-source deltas exceed gold's ±$0.50 corroboration tolerance; consequently every OHLC field in §6 is classified single-source indicative.</w:t>
      </w:r>
    </w:p>
    <w:p>
      <w:pPr>
        <w:pStyle w:val="ListBullet"/>
        <w:spacing w:after="60"/>
      </w:pPr>
      <w:r>
        <w:rPr>
          <w:b/>
        </w:rPr>
        <w:t xml:space="preserve">Data gaps: </w:t>
      </w:r>
      <w:r>
        <w:t>Formal exchange-settlement (LBMA AM/PM fix, CME settlement) values were not independently retrievable in this environment; spot aggregators and broker/CFD quotes were used instead.</w:t>
      </w:r>
    </w:p>
    <w:p>
      <w:pPr>
        <w:pStyle w:val="ListBullet"/>
        <w:spacing w:after="60"/>
      </w:pPr>
      <w:r>
        <w:rPr>
          <w:b/>
        </w:rPr>
        <w:t xml:space="preserve">Normalization assumptions: </w:t>
      </w:r>
      <w:r>
        <w:t>GC futures normalized to spot were down-weighted for basis; retail FX-broker spot excluded from the definitive level.</w:t>
      </w:r>
    </w:p>
    <w:p>
      <w:pPr>
        <w:pStyle w:val="ListBullet"/>
        <w:spacing w:after="60"/>
      </w:pPr>
      <w:r>
        <w:rPr>
          <w:b/>
        </w:rPr>
        <w:t xml:space="preserve">Corroboration status per instrument: </w:t>
      </w:r>
      <w:r>
        <w:t>Gold XAU/USD — single-source indicative (proceeding under explicit instruction). Silver — single-source indicative. Pivots (daily/weekly/monthly) — single-source indicative; this flag is the contract read by §21.</w:t>
      </w:r>
    </w:p>
    <w:p>
      <w:pPr>
        <w:spacing w:after="120"/>
      </w:pPr>
      <w:r>
        <w:rPr>
          <w:b w:val="0"/>
          <w:i/>
          <w:color w:val="A02020"/>
          <w:sz w:val="18"/>
        </w:rPr>
        <w:t>Because pivots are single-source indicative, level-based limit orders in §21 are flagged; per instruction the strategy section is nonetheless produced rather than suppressed, with the caveat attached to each affected card.</w:t>
      </w:r>
    </w:p>
    <w:p>
      <w:pPr>
        <w:pStyle w:val="Heading1"/>
        <w:spacing w:before="200"/>
      </w:pPr>
      <w:r>
        <w:rPr>
          <w:b/>
          <w:color w:val="1F2D3D"/>
          <w:sz w:val="28"/>
        </w:rPr>
        <w:t>20 · Agent Log</w:t>
      </w:r>
    </w:p>
    <w:p>
      <w:pPr>
        <w:pStyle w:val="ListBullet"/>
        <w:spacing w:after="60"/>
      </w:pPr>
      <w:r>
        <w:rPr>
          <w:b/>
        </w:rPr>
        <w:t xml:space="preserve">Sources attempted: </w:t>
      </w:r>
      <w:r>
        <w:t>Investing.com, Investing.com (GC futures), TradingView, LiteFinance, Capital.com, TradingEconomics, FXStreet, MQL5, Barchart (blocked/CAPTCHA). Programmatic price adapters (Yahoo, Stooq, Twelve Data) were unreachable from the execution environment (403 / host-not-in-allowlist), so evidence was gathered via web retrieval.</w:t>
      </w:r>
    </w:p>
    <w:p>
      <w:pPr>
        <w:pStyle w:val="ListBullet"/>
        <w:spacing w:after="60"/>
      </w:pPr>
      <w:r>
        <w:rPr>
          <w:b/>
        </w:rPr>
        <w:t xml:space="preserve">Validation method: </w:t>
      </w:r>
      <w:r>
        <w:t>Attempted two-source corroboration within the gold ±$0.50 tolerance; not achieved on any field (deltas $20–80). All fields marked single-source indicative and the analysis continued under explicit user instruction to be lenient on corroboration and not suppress strategies.</w:t>
      </w:r>
    </w:p>
    <w:p>
      <w:pPr>
        <w:pStyle w:val="ListBullet"/>
        <w:spacing w:after="60"/>
      </w:pPr>
      <w:r>
        <w:rPr>
          <w:b/>
        </w:rPr>
        <w:t xml:space="preserve">Corroboration pairs: </w:t>
      </w:r>
      <w:r>
        <w:t>None cleared tolerance; closest spot cluster $4,055–$4,124 on 02 Jul (delta ~$69).</w:t>
      </w:r>
    </w:p>
    <w:p>
      <w:pPr>
        <w:pStyle w:val="ListBullet"/>
        <w:spacing w:after="60"/>
      </w:pPr>
      <w:r>
        <w:rPr>
          <w:b/>
        </w:rPr>
        <w:t xml:space="preserve">Sentiment derivation: </w:t>
      </w:r>
      <w:r>
        <w:t>Six articles classified from explicit language with ≤15-word derivation quotes; source-class-weighted tilt = +0.19; categorical Mixed/leaning-bearish. Low-confidence-adjacent (six items).</w:t>
      </w:r>
    </w:p>
    <w:p>
      <w:pPr>
        <w:pStyle w:val="ListBullet"/>
        <w:spacing w:after="60"/>
      </w:pPr>
      <w:r>
        <w:rPr>
          <w:b/>
        </w:rPr>
        <w:t xml:space="preserve">Forecast reasoning: </w:t>
      </w:r>
      <w:r>
        <w:t>Short-term bullish momentum (RSI2=100, close near high) set against medium-term bearish regime (KER -0.22, price below key SMAs); net forward skew modestly bearish; forecast derived independently of the trade cards.</w:t>
      </w:r>
    </w:p>
    <w:p>
      <w:pPr>
        <w:pStyle w:val="ListBullet"/>
        <w:spacing w:after="60"/>
      </w:pPr>
      <w:r>
        <w:rPr>
          <w:b/>
        </w:rPr>
        <w:t xml:space="preserve">Strategy trace (§21): </w:t>
      </w:r>
      <w:r>
        <w:t>Direction score −0.12 with LOCKED default weights (v2.1 baseline 0.25 / 0.20 / 0.10 / 0.15 / 0.15 / 0.15) — weights basis: defaults. |score| 0.12 &lt; 0.25 conviction threshold → Trade 1 suppressed. Trades 2 and 3 produced (regime-driven). Backtest reconstructed over 5 sessions with t−1 sentiment/regime freeze, no forward leakage.</w:t>
      </w:r>
    </w:p>
    <w:p>
      <w:pPr>
        <w:pStyle w:val="ListBullet"/>
        <w:spacing w:after="60"/>
      </w:pPr>
      <w:r>
        <w:rPr>
          <w:b/>
        </w:rPr>
        <w:t xml:space="preserve">Daily-open anchor override: </w:t>
      </w:r>
      <w:r>
        <w:t>The default session-reset anchor (00:00 UK) was overridden for this run to 23:00 UK — the COMEX/New-York electronic reopen — so the daily open aligns with the US-session settlement basis that dominated the 02 Jul move. This override is recorded here per the change-flagging rule; direction-scoring weights were not tuned.</w:t>
      </w:r>
    </w:p>
    <w:p>
      <w:pPr>
        <w:pStyle w:val="ListBullet"/>
        <w:spacing w:after="60"/>
      </w:pPr>
      <w:r>
        <w:rPr>
          <w:b/>
        </w:rPr>
        <w:t xml:space="preserve">Anomalies: </w:t>
      </w:r>
      <w:r>
        <w:t>Wide spot-vs-futures dispersion; Barchart/fxverify gated by CAPTCHA; TradingEconomics landing snapshot partially stale (19 Jun) — current figures taken from 02 Jul sources.</w:t>
      </w:r>
    </w:p>
    <w:p>
      <w:pPr>
        <w:pStyle w:val="ListBullet"/>
        <w:spacing w:after="60"/>
      </w:pPr>
      <w:r>
        <w:rPr>
          <w:b/>
        </w:rPr>
        <w:t xml:space="preserve">Timestamp: </w:t>
      </w:r>
      <w:r>
        <w:t>Compiled 03 Jul 2026, Europe/London.</w:t>
      </w:r>
    </w:p>
    <w:p>
      <w:pPr>
        <w:pStyle w:val="Heading1"/>
        <w:spacing w:before="200"/>
      </w:pPr>
      <w:r>
        <w:rPr>
          <w:b/>
          <w:color w:val="1F2D3D"/>
          <w:sz w:val="28"/>
        </w:rPr>
        <w:t>21 · Strategy Recommendations</w:t>
      </w:r>
    </w:p>
    <w:p>
      <w:pPr>
        <w:pStyle w:val="Heading2"/>
      </w:pPr>
      <w:r>
        <w:rPr>
          <w:b/>
          <w:color w:val="9A7D0A"/>
          <w:sz w:val="23"/>
        </w:rPr>
        <w:t>21a · Directional Conviction</w:t>
      </w:r>
    </w:p>
    <w:p>
      <w:pPr>
        <w:spacing w:after="120"/>
      </w:pPr>
      <w:r>
        <w:rPr>
          <w:b w:val="0"/>
          <w:i w:val="0"/>
          <w:sz w:val="21"/>
        </w:rPr>
        <w:t>Direction: NEUTRAL (Trade 1 suppressed). Direction score = −0.12 on locked default weights (weights basis: defaults). The three highest-weighted contributing signals: medium-term regime (§9) −0.14, short-term technical bias (§8) +0.15, and Kaufman classification (§9) −0.08; sentiment tilt (§13b) contributes +0.05 and cross-asset (§10) −0.06. The net sits below the conviction threshold, so no daily directional trade is issued. Conflict flag: the §17 forecast leans mildly bearish while the score is essentially flat-to-mildly-bearish — broadly aligned; neither output is edited to match the other.</w:t>
      </w:r>
    </w:p>
    <w:p>
      <w:pPr>
        <w:pStyle w:val="Heading2"/>
      </w:pPr>
      <w:r>
        <w:rPr>
          <w:b/>
          <w:color w:val="9A7D0A"/>
          <w:sz w:val="23"/>
        </w:rPr>
        <w:t>21b · Trade Cards</w:t>
      </w:r>
    </w:p>
    <w:p>
      <w:pPr>
        <w:spacing w:after="120"/>
      </w:pPr>
      <w:r>
        <w:rPr>
          <w:b/>
          <w:i w:val="0"/>
          <w:sz w:val="21"/>
        </w:rPr>
        <w:t>Trade 1 — Daily Directional</w:t>
      </w:r>
    </w:p>
    <w:tbl>
      <w:tblPr>
        <w:tblStyle w:val="TableGrid"/>
        <w:tblW w:type="auto" w:w="0"/>
        <w:jc w:val="center"/>
        <w:tblLook w:firstColumn="1" w:firstRow="1" w:lastColumn="0" w:lastRow="0" w:noHBand="0" w:noVBand="1" w:val="04A0"/>
      </w:tblPr>
      <w:tblGrid>
        <w:gridCol w:w="4680"/>
        <w:gridCol w:w="4680"/>
      </w:tblGrid>
      <w:tr>
        <w:tc>
          <w:tcPr>
            <w:tcW w:type="dxa" w:w="1728"/>
            <w:shd w:val="clear" w:color="auto" w:fill="1f2d3d"/>
          </w:tcPr>
          <w:p>
            <w:pPr>
              <w:spacing w:after="20"/>
            </w:pPr>
            <w:r>
              <w:rPr>
                <w:b/>
                <w:color w:val="FFFFFF"/>
                <w:sz w:val="17"/>
              </w:rPr>
              <w:t>Field</w:t>
            </w:r>
          </w:p>
        </w:tc>
        <w:tc>
          <w:tcPr>
            <w:tcW w:type="dxa" w:w="7272"/>
            <w:shd w:val="clear" w:color="auto" w:fill="1f2d3d"/>
          </w:tcPr>
          <w:p>
            <w:pPr>
              <w:spacing w:after="20"/>
            </w:pPr>
            <w:r>
              <w:rPr>
                <w:b/>
                <w:color w:val="FFFFFF"/>
                <w:sz w:val="17"/>
              </w:rPr>
              <w:t>Detail</w:t>
            </w:r>
          </w:p>
        </w:tc>
      </w:tr>
      <w:tr>
        <w:tc>
          <w:tcPr>
            <w:tcW w:type="dxa" w:w="1728"/>
          </w:tcPr>
          <w:p>
            <w:pPr>
              <w:spacing w:after="20"/>
            </w:pPr>
            <w:r>
              <w:rPr>
                <w:sz w:val="17"/>
              </w:rPr>
              <w:t>Result</w:t>
            </w:r>
          </w:p>
        </w:tc>
        <w:tc>
          <w:tcPr>
            <w:tcW w:type="dxa" w:w="7272"/>
          </w:tcPr>
          <w:p>
            <w:pPr>
              <w:spacing w:after="20"/>
            </w:pPr>
            <w:r>
              <w:rPr>
                <w:sz w:val="17"/>
              </w:rPr>
              <w:t>SUPPRESSED — direction score │0.12│ below the 0.25 conviction threshold. No daily directional trade issued.</w:t>
            </w:r>
          </w:p>
        </w:tc>
      </w:tr>
    </w:tbl>
    <w:p>
      <w:pPr>
        <w:spacing w:after="120"/>
      </w:pPr>
      <w:r>
        <w:rPr>
          <w:b/>
          <w:i w:val="0"/>
          <w:sz w:val="21"/>
        </w:rPr>
        <w:t>Trade 2 — Pivot (regime-aware, TRANSITION → range-fade)</w:t>
      </w:r>
    </w:p>
    <w:tbl>
      <w:tblPr>
        <w:tblStyle w:val="TableGrid"/>
        <w:tblW w:type="auto" w:w="0"/>
        <w:jc w:val="center"/>
        <w:tblLook w:firstColumn="1" w:firstRow="1" w:lastColumn="0" w:lastRow="0" w:noHBand="0" w:noVBand="1" w:val="04A0"/>
      </w:tblPr>
      <w:tblGrid>
        <w:gridCol w:w="4680"/>
        <w:gridCol w:w="4680"/>
      </w:tblGrid>
      <w:tr>
        <w:tc>
          <w:tcPr>
            <w:tcW w:type="dxa" w:w="1800"/>
            <w:shd w:val="clear" w:color="auto" w:fill="1f2d3d"/>
          </w:tcPr>
          <w:p>
            <w:pPr>
              <w:spacing w:after="20"/>
            </w:pPr>
            <w:r>
              <w:rPr>
                <w:b/>
                <w:color w:val="FFFFFF"/>
                <w:sz w:val="16"/>
              </w:rPr>
              <w:t>Field</w:t>
            </w:r>
          </w:p>
        </w:tc>
        <w:tc>
          <w:tcPr>
            <w:tcW w:type="dxa" w:w="7200"/>
            <w:shd w:val="clear" w:color="auto" w:fill="1f2d3d"/>
          </w:tcPr>
          <w:p>
            <w:pPr>
              <w:spacing w:after="20"/>
            </w:pPr>
            <w:r>
              <w:rPr>
                <w:b/>
                <w:color w:val="FFFFFF"/>
                <w:sz w:val="16"/>
              </w:rPr>
              <w:t>Detail</w:t>
            </w:r>
          </w:p>
        </w:tc>
      </w:tr>
      <w:tr>
        <w:tc>
          <w:tcPr>
            <w:tcW w:type="dxa" w:w="1800"/>
          </w:tcPr>
          <w:p>
            <w:pPr>
              <w:spacing w:after="20"/>
            </w:pPr>
            <w:r>
              <w:rPr>
                <w:sz w:val="16"/>
              </w:rPr>
              <w:t>Trade type</w:t>
            </w:r>
          </w:p>
        </w:tc>
        <w:tc>
          <w:tcPr>
            <w:tcW w:type="dxa" w:w="7200"/>
          </w:tcPr>
          <w:p>
            <w:pPr>
              <w:spacing w:after="20"/>
            </w:pPr>
            <w:r>
              <w:rPr>
                <w:sz w:val="16"/>
              </w:rPr>
              <w:t>Trade 2 — Pivot, range-fade variant (TRANSITION regime)</w:t>
            </w:r>
          </w:p>
        </w:tc>
      </w:tr>
      <w:tr>
        <w:tc>
          <w:tcPr>
            <w:tcW w:type="dxa" w:w="1800"/>
            <w:shd w:val="clear" w:color="auto" w:fill="f2f4f6"/>
          </w:tcPr>
          <w:p>
            <w:pPr>
              <w:spacing w:after="20"/>
            </w:pPr>
            <w:r>
              <w:rPr>
                <w:sz w:val="16"/>
              </w:rPr>
              <w:t>Direction</w:t>
            </w:r>
          </w:p>
        </w:tc>
        <w:tc>
          <w:tcPr>
            <w:tcW w:type="dxa" w:w="7200"/>
            <w:shd w:val="clear" w:color="auto" w:fill="f2f4f6"/>
          </w:tcPr>
          <w:p>
            <w:pPr>
              <w:spacing w:after="20"/>
            </w:pPr>
            <w:r>
              <w:rPr>
                <w:sz w:val="16"/>
              </w:rPr>
              <w:t>SHORT — fade into daily-R / weekly resistance confluence</w:t>
            </w:r>
          </w:p>
        </w:tc>
      </w:tr>
      <w:tr>
        <w:tc>
          <w:tcPr>
            <w:tcW w:type="dxa" w:w="1800"/>
          </w:tcPr>
          <w:p>
            <w:pPr>
              <w:spacing w:after="20"/>
            </w:pPr>
            <w:r>
              <w:rPr>
                <w:sz w:val="16"/>
              </w:rPr>
              <w:t>Entry</w:t>
            </w:r>
          </w:p>
        </w:tc>
        <w:tc>
          <w:tcPr>
            <w:tcW w:type="dxa" w:w="7200"/>
          </w:tcPr>
          <w:p>
            <w:pPr>
              <w:spacing w:after="20"/>
            </w:pPr>
            <w:r>
              <w:rPr>
                <w:sz w:val="16"/>
              </w:rPr>
              <w:t>Sell limit $4,145.00 (tick 0.01) — into the $4,140–$4,150 shelf; ~3,700 ticks above daily P</w:t>
            </w:r>
          </w:p>
        </w:tc>
      </w:tr>
      <w:tr>
        <w:tc>
          <w:tcPr>
            <w:tcW w:type="dxa" w:w="1800"/>
            <w:shd w:val="clear" w:color="auto" w:fill="f2f4f6"/>
          </w:tcPr>
          <w:p>
            <w:pPr>
              <w:spacing w:after="20"/>
            </w:pPr>
            <w:r>
              <w:rPr>
                <w:sz w:val="16"/>
              </w:rPr>
              <w:t>Stop loss</w:t>
            </w:r>
          </w:p>
        </w:tc>
        <w:tc>
          <w:tcPr>
            <w:tcW w:type="dxa" w:w="7200"/>
            <w:shd w:val="clear" w:color="auto" w:fill="f2f4f6"/>
          </w:tcPr>
          <w:p>
            <w:pPr>
              <w:spacing w:after="20"/>
            </w:pPr>
            <w:r>
              <w:rPr>
                <w:sz w:val="16"/>
              </w:rPr>
              <w:t>$4,183.00 — 20-day SMA structural anchor; 38.00 above entry (3,800 ticks)</w:t>
            </w:r>
          </w:p>
        </w:tc>
      </w:tr>
      <w:tr>
        <w:tc>
          <w:tcPr>
            <w:tcW w:type="dxa" w:w="1800"/>
          </w:tcPr>
          <w:p>
            <w:pPr>
              <w:spacing w:after="20"/>
            </w:pPr>
            <w:r>
              <w:rPr>
                <w:sz w:val="16"/>
              </w:rPr>
              <w:t>Risk (R)</w:t>
            </w:r>
          </w:p>
        </w:tc>
        <w:tc>
          <w:tcPr>
            <w:tcW w:type="dxa" w:w="7200"/>
          </w:tcPr>
          <w:p>
            <w:pPr>
              <w:spacing w:after="20"/>
            </w:pPr>
            <w:r>
              <w:rPr>
                <w:sz w:val="16"/>
              </w:rPr>
              <w:t>$38.00 (3,800 ticks)</w:t>
            </w:r>
          </w:p>
        </w:tc>
      </w:tr>
      <w:tr>
        <w:tc>
          <w:tcPr>
            <w:tcW w:type="dxa" w:w="1800"/>
            <w:shd w:val="clear" w:color="auto" w:fill="f2f4f6"/>
          </w:tcPr>
          <w:p>
            <w:pPr>
              <w:spacing w:after="20"/>
            </w:pPr>
            <w:r>
              <w:rPr>
                <w:sz w:val="16"/>
              </w:rPr>
              <w:t>TP1 (Unit 1)</w:t>
            </w:r>
          </w:p>
        </w:tc>
        <w:tc>
          <w:tcPr>
            <w:tcW w:type="dxa" w:w="7200"/>
            <w:shd w:val="clear" w:color="auto" w:fill="f2f4f6"/>
          </w:tcPr>
          <w:p>
            <w:pPr>
              <w:spacing w:after="20"/>
            </w:pPr>
            <w:r>
              <w:rPr>
                <w:sz w:val="16"/>
              </w:rPr>
              <w:t>$4,107.00 — +1R (3,800 ticks); prior close / round-number magnet</w:t>
            </w:r>
          </w:p>
        </w:tc>
      </w:tr>
      <w:tr>
        <w:tc>
          <w:tcPr>
            <w:tcW w:type="dxa" w:w="1800"/>
          </w:tcPr>
          <w:p>
            <w:pPr>
              <w:spacing w:after="20"/>
            </w:pPr>
            <w:r>
              <w:rPr>
                <w:sz w:val="16"/>
              </w:rPr>
              <w:t>TP2 (Unit 2)</w:t>
            </w:r>
          </w:p>
        </w:tc>
        <w:tc>
          <w:tcPr>
            <w:tcW w:type="dxa" w:w="7200"/>
          </w:tcPr>
          <w:p>
            <w:pPr>
              <w:spacing w:after="20"/>
            </w:pPr>
            <w:r>
              <w:rPr>
                <w:sz w:val="16"/>
              </w:rPr>
              <w:t>$4,069.00 — +2R (7,600 ticks); toward daily R1 / mid-range</w:t>
            </w:r>
          </w:p>
        </w:tc>
      </w:tr>
      <w:tr>
        <w:tc>
          <w:tcPr>
            <w:tcW w:type="dxa" w:w="1800"/>
            <w:shd w:val="clear" w:color="auto" w:fill="f2f4f6"/>
          </w:tcPr>
          <w:p>
            <w:pPr>
              <w:spacing w:after="20"/>
            </w:pPr>
            <w:r>
              <w:rPr>
                <w:sz w:val="16"/>
              </w:rPr>
              <w:t>TP3 (runner)</w:t>
            </w:r>
          </w:p>
        </w:tc>
        <w:tc>
          <w:tcPr>
            <w:tcW w:type="dxa" w:w="7200"/>
            <w:shd w:val="clear" w:color="auto" w:fill="f2f4f6"/>
          </w:tcPr>
          <w:p>
            <w:pPr>
              <w:spacing w:after="20"/>
            </w:pPr>
            <w:r>
              <w:rPr>
                <w:sz w:val="16"/>
              </w:rPr>
              <w:t>Daily pivot P $4,009.32 — runner exit at P per Trade-2 rule</w:t>
            </w:r>
          </w:p>
        </w:tc>
      </w:tr>
      <w:tr>
        <w:tc>
          <w:tcPr>
            <w:tcW w:type="dxa" w:w="1800"/>
          </w:tcPr>
          <w:p>
            <w:pPr>
              <w:spacing w:after="20"/>
            </w:pPr>
            <w:r>
              <w:rPr>
                <w:sz w:val="16"/>
              </w:rPr>
              <w:t>Tranche mgmt</w:t>
            </w:r>
          </w:p>
        </w:tc>
        <w:tc>
          <w:tcPr>
            <w:tcW w:type="dxa" w:w="7200"/>
          </w:tcPr>
          <w:p>
            <w:pPr>
              <w:spacing w:after="20"/>
            </w:pPr>
            <w:r>
              <w:rPr>
                <w:sz w:val="16"/>
              </w:rPr>
              <w:t>3 equal units; U1 exits TP1, U2 exits TP2; on U2 fill move U3 stop to entry ± 0.2R ($7.60)</w:t>
            </w:r>
          </w:p>
        </w:tc>
      </w:tr>
      <w:tr>
        <w:tc>
          <w:tcPr>
            <w:tcW w:type="dxa" w:w="1800"/>
            <w:shd w:val="clear" w:color="auto" w:fill="f2f4f6"/>
          </w:tcPr>
          <w:p>
            <w:pPr>
              <w:spacing w:after="20"/>
            </w:pPr>
            <w:r>
              <w:rPr>
                <w:sz w:val="16"/>
              </w:rPr>
              <w:t>Confluences</w:t>
            </w:r>
          </w:p>
        </w:tc>
        <w:tc>
          <w:tcPr>
            <w:tcW w:type="dxa" w:w="7200"/>
            <w:shd w:val="clear" w:color="auto" w:fill="f2f4f6"/>
          </w:tcPr>
          <w:p>
            <w:pPr>
              <w:spacing w:after="20"/>
            </w:pPr>
            <w:r>
              <w:rPr>
                <w:sz w:val="16"/>
              </w:rPr>
              <w:t>Entry: daily-R cluster + 20-day-SMA proximity (strong confluence). SL: 20-day SMA. TP3: daily P.</w:t>
            </w:r>
          </w:p>
        </w:tc>
      </w:tr>
      <w:tr>
        <w:tc>
          <w:tcPr>
            <w:tcW w:type="dxa" w:w="1800"/>
          </w:tcPr>
          <w:p>
            <w:pPr>
              <w:spacing w:after="20"/>
            </w:pPr>
            <w:r>
              <w:rPr>
                <w:sz w:val="16"/>
              </w:rPr>
              <w:t>Thesis invalidation</w:t>
            </w:r>
          </w:p>
        </w:tc>
        <w:tc>
          <w:tcPr>
            <w:tcW w:type="dxa" w:w="7200"/>
          </w:tcPr>
          <w:p>
            <w:pPr>
              <w:spacing w:after="20"/>
            </w:pPr>
            <w:r>
              <w:rPr>
                <w:sz w:val="16"/>
              </w:rPr>
              <w:t>Daily close above $4,150 (distinct from SL) — negates the range-fade and the bearish regime read</w:t>
            </w:r>
          </w:p>
        </w:tc>
      </w:tr>
      <w:tr>
        <w:tc>
          <w:tcPr>
            <w:tcW w:type="dxa" w:w="1800"/>
            <w:shd w:val="clear" w:color="auto" w:fill="f2f4f6"/>
          </w:tcPr>
          <w:p>
            <w:pPr>
              <w:spacing w:after="20"/>
            </w:pPr>
            <w:r>
              <w:rPr>
                <w:sz w:val="16"/>
              </w:rPr>
              <w:t>Caveats</w:t>
            </w:r>
          </w:p>
        </w:tc>
        <w:tc>
          <w:tcPr>
            <w:tcW w:type="dxa" w:w="7200"/>
            <w:shd w:val="clear" w:color="auto" w:fill="f2f4f6"/>
          </w:tcPr>
          <w:p>
            <w:pPr>
              <w:spacing w:after="20"/>
            </w:pPr>
            <w:r>
              <w:rPr>
                <w:sz w:val="16"/>
              </w:rPr>
              <w:t>single-source-indicative pivots (per §19); holding period may collide with §13d CPI — reduce size; counter-trend vs 02 Jul momentum</w:t>
            </w:r>
          </w:p>
        </w:tc>
      </w:tr>
    </w:tbl>
    <w:p>
      <w:pPr>
        <w:spacing w:after="120"/>
      </w:pPr>
      <w:r>
        <w:rPr>
          <w:b/>
          <w:i w:val="0"/>
          <w:sz w:val="21"/>
        </w:rPr>
        <w:t>Trade 3 — Complex (regime-driven fork → 3A Momentum-Pullback, given TRANSITION with a live up-impulse)</w:t>
      </w:r>
    </w:p>
    <w:tbl>
      <w:tblPr>
        <w:tblStyle w:val="TableGrid"/>
        <w:tblW w:type="auto" w:w="0"/>
        <w:jc w:val="center"/>
        <w:tblLook w:firstColumn="1" w:firstRow="1" w:lastColumn="0" w:lastRow="0" w:noHBand="0" w:noVBand="1" w:val="04A0"/>
      </w:tblPr>
      <w:tblGrid>
        <w:gridCol w:w="4680"/>
        <w:gridCol w:w="4680"/>
      </w:tblGrid>
      <w:tr>
        <w:tc>
          <w:tcPr>
            <w:tcW w:type="dxa" w:w="1800"/>
            <w:shd w:val="clear" w:color="auto" w:fill="1f2d3d"/>
          </w:tcPr>
          <w:p>
            <w:pPr>
              <w:spacing w:after="20"/>
            </w:pPr>
            <w:r>
              <w:rPr>
                <w:b/>
                <w:color w:val="FFFFFF"/>
                <w:sz w:val="16"/>
              </w:rPr>
              <w:t>Field</w:t>
            </w:r>
          </w:p>
        </w:tc>
        <w:tc>
          <w:tcPr>
            <w:tcW w:type="dxa" w:w="7200"/>
            <w:shd w:val="clear" w:color="auto" w:fill="1f2d3d"/>
          </w:tcPr>
          <w:p>
            <w:pPr>
              <w:spacing w:after="20"/>
            </w:pPr>
            <w:r>
              <w:rPr>
                <w:b/>
                <w:color w:val="FFFFFF"/>
                <w:sz w:val="16"/>
              </w:rPr>
              <w:t>Detail</w:t>
            </w:r>
          </w:p>
        </w:tc>
      </w:tr>
      <w:tr>
        <w:tc>
          <w:tcPr>
            <w:tcW w:type="dxa" w:w="1800"/>
          </w:tcPr>
          <w:p>
            <w:pPr>
              <w:spacing w:after="20"/>
            </w:pPr>
            <w:r>
              <w:rPr>
                <w:sz w:val="16"/>
              </w:rPr>
              <w:t>Trade type</w:t>
            </w:r>
          </w:p>
        </w:tc>
        <w:tc>
          <w:tcPr>
            <w:tcW w:type="dxa" w:w="7200"/>
          </w:tcPr>
          <w:p>
            <w:pPr>
              <w:spacing w:after="20"/>
            </w:pPr>
            <w:r>
              <w:rPr>
                <w:sz w:val="16"/>
              </w:rPr>
              <w:t>Trade 3A — Momentum-Pullback (fork selected: TRANSITION with short-term bullish impulse → buy the pullback, tight)</w:t>
            </w:r>
          </w:p>
        </w:tc>
      </w:tr>
      <w:tr>
        <w:tc>
          <w:tcPr>
            <w:tcW w:type="dxa" w:w="1800"/>
            <w:shd w:val="clear" w:color="auto" w:fill="f2f4f6"/>
          </w:tcPr>
          <w:p>
            <w:pPr>
              <w:spacing w:after="20"/>
            </w:pPr>
            <w:r>
              <w:rPr>
                <w:sz w:val="16"/>
              </w:rPr>
              <w:t>Direction</w:t>
            </w:r>
          </w:p>
        </w:tc>
        <w:tc>
          <w:tcPr>
            <w:tcW w:type="dxa" w:w="7200"/>
            <w:shd w:val="clear" w:color="auto" w:fill="f2f4f6"/>
          </w:tcPr>
          <w:p>
            <w:pPr>
              <w:spacing w:after="20"/>
            </w:pPr>
            <w:r>
              <w:rPr>
                <w:sz w:val="16"/>
              </w:rPr>
              <w:t>LONG — shallow pullback continuation of the 02 Jul thrust</w:t>
            </w:r>
          </w:p>
        </w:tc>
      </w:tr>
      <w:tr>
        <w:tc>
          <w:tcPr>
            <w:tcW w:type="dxa" w:w="1800"/>
          </w:tcPr>
          <w:p>
            <w:pPr>
              <w:spacing w:after="20"/>
            </w:pPr>
            <w:r>
              <w:rPr>
                <w:sz w:val="16"/>
              </w:rPr>
              <w:t>Entry</w:t>
            </w:r>
          </w:p>
        </w:tc>
        <w:tc>
          <w:tcPr>
            <w:tcW w:type="dxa" w:w="7200"/>
          </w:tcPr>
          <w:p>
            <w:pPr>
              <w:spacing w:after="20"/>
            </w:pPr>
            <w:r>
              <w:rPr>
                <w:sz w:val="16"/>
              </w:rPr>
              <w:t>Buy limit $4,072.00 (tick 0.01) — 38.2% retrace of the 01 Jul low→02 Jul high leg</w:t>
            </w:r>
          </w:p>
        </w:tc>
      </w:tr>
      <w:tr>
        <w:tc>
          <w:tcPr>
            <w:tcW w:type="dxa" w:w="1800"/>
            <w:shd w:val="clear" w:color="auto" w:fill="f2f4f6"/>
          </w:tcPr>
          <w:p>
            <w:pPr>
              <w:spacing w:after="20"/>
            </w:pPr>
            <w:r>
              <w:rPr>
                <w:sz w:val="16"/>
              </w:rPr>
              <w:t>Stop loss</w:t>
            </w:r>
          </w:p>
        </w:tc>
        <w:tc>
          <w:tcPr>
            <w:tcW w:type="dxa" w:w="7200"/>
            <w:shd w:val="clear" w:color="auto" w:fill="f2f4f6"/>
          </w:tcPr>
          <w:p>
            <w:pPr>
              <w:spacing w:after="20"/>
            </w:pPr>
            <w:r>
              <w:rPr>
                <w:sz w:val="16"/>
              </w:rPr>
              <w:t>$4,030.00 — below the 02 Jul low $4,030.81 (structural); 42.00 below entry (4,200 ticks)</w:t>
            </w:r>
          </w:p>
        </w:tc>
      </w:tr>
      <w:tr>
        <w:tc>
          <w:tcPr>
            <w:tcW w:type="dxa" w:w="1800"/>
          </w:tcPr>
          <w:p>
            <w:pPr>
              <w:spacing w:after="20"/>
            </w:pPr>
            <w:r>
              <w:rPr>
                <w:sz w:val="16"/>
              </w:rPr>
              <w:t>Risk (R)</w:t>
            </w:r>
          </w:p>
        </w:tc>
        <w:tc>
          <w:tcPr>
            <w:tcW w:type="dxa" w:w="7200"/>
          </w:tcPr>
          <w:p>
            <w:pPr>
              <w:spacing w:after="20"/>
            </w:pPr>
            <w:r>
              <w:rPr>
                <w:sz w:val="16"/>
              </w:rPr>
              <w:t>$42.00 (4,200 ticks)</w:t>
            </w:r>
          </w:p>
        </w:tc>
      </w:tr>
      <w:tr>
        <w:tc>
          <w:tcPr>
            <w:tcW w:type="dxa" w:w="1800"/>
            <w:shd w:val="clear" w:color="auto" w:fill="f2f4f6"/>
          </w:tcPr>
          <w:p>
            <w:pPr>
              <w:spacing w:after="20"/>
            </w:pPr>
            <w:r>
              <w:rPr>
                <w:sz w:val="16"/>
              </w:rPr>
              <w:t>TP1 (Unit 1)</w:t>
            </w:r>
          </w:p>
        </w:tc>
        <w:tc>
          <w:tcPr>
            <w:tcW w:type="dxa" w:w="7200"/>
            <w:shd w:val="clear" w:color="auto" w:fill="f2f4f6"/>
          </w:tcPr>
          <w:p>
            <w:pPr>
              <w:spacing w:after="20"/>
            </w:pPr>
            <w:r>
              <w:rPr>
                <w:sz w:val="16"/>
              </w:rPr>
              <w:t>$4,110.00 — 38.2% target / prior close region (+~0.9R)</w:t>
            </w:r>
          </w:p>
        </w:tc>
      </w:tr>
      <w:tr>
        <w:tc>
          <w:tcPr>
            <w:tcW w:type="dxa" w:w="1800"/>
          </w:tcPr>
          <w:p>
            <w:pPr>
              <w:spacing w:after="20"/>
            </w:pPr>
            <w:r>
              <w:rPr>
                <w:sz w:val="16"/>
              </w:rPr>
              <w:t>TP2 (Unit 2)</w:t>
            </w:r>
          </w:p>
        </w:tc>
        <w:tc>
          <w:tcPr>
            <w:tcW w:type="dxa" w:w="7200"/>
          </w:tcPr>
          <w:p>
            <w:pPr>
              <w:spacing w:after="20"/>
            </w:pPr>
            <w:r>
              <w:rPr>
                <w:sz w:val="16"/>
              </w:rPr>
              <w:t>$4,144.00 — 02 Jul high (measured, ~+1.7R)</w:t>
            </w:r>
          </w:p>
        </w:tc>
      </w:tr>
      <w:tr>
        <w:tc>
          <w:tcPr>
            <w:tcW w:type="dxa" w:w="1800"/>
            <w:shd w:val="clear" w:color="auto" w:fill="f2f4f6"/>
          </w:tcPr>
          <w:p>
            <w:pPr>
              <w:spacing w:after="20"/>
            </w:pPr>
            <w:r>
              <w:rPr>
                <w:sz w:val="16"/>
              </w:rPr>
              <w:t>TP3 (runner)</w:t>
            </w:r>
          </w:p>
        </w:tc>
        <w:tc>
          <w:tcPr>
            <w:tcW w:type="dxa" w:w="7200"/>
            <w:shd w:val="clear" w:color="auto" w:fill="f2f4f6"/>
          </w:tcPr>
          <w:p>
            <w:pPr>
              <w:spacing w:after="20"/>
            </w:pPr>
            <w:r>
              <w:rPr>
                <w:sz w:val="16"/>
              </w:rPr>
              <w:t>100%+ extension toward $4,183 (20-day SMA) or range breakout</w:t>
            </w:r>
          </w:p>
        </w:tc>
      </w:tr>
      <w:tr>
        <w:tc>
          <w:tcPr>
            <w:tcW w:type="dxa" w:w="1800"/>
          </w:tcPr>
          <w:p>
            <w:pPr>
              <w:spacing w:after="20"/>
            </w:pPr>
            <w:r>
              <w:rPr>
                <w:sz w:val="16"/>
              </w:rPr>
              <w:t>Tranche mgmt</w:t>
            </w:r>
          </w:p>
        </w:tc>
        <w:tc>
          <w:tcPr>
            <w:tcW w:type="dxa" w:w="7200"/>
          </w:tcPr>
          <w:p>
            <w:pPr>
              <w:spacing w:after="20"/>
            </w:pPr>
            <w:r>
              <w:rPr>
                <w:sz w:val="16"/>
              </w:rPr>
              <w:t>3 equal units; U1→TP1, U2→TP2; on U2 fill move U3 stop to entry +0.2R ($8.40). 3A override: on a 100%-extension break, U3 stop to halfway entry↔0% anchor</w:t>
            </w:r>
          </w:p>
        </w:tc>
      </w:tr>
      <w:tr>
        <w:tc>
          <w:tcPr>
            <w:tcW w:type="dxa" w:w="1800"/>
            <w:shd w:val="clear" w:color="auto" w:fill="f2f4f6"/>
          </w:tcPr>
          <w:p>
            <w:pPr>
              <w:spacing w:after="20"/>
            </w:pPr>
            <w:r>
              <w:rPr>
                <w:sz w:val="16"/>
              </w:rPr>
              <w:t>Confluences</w:t>
            </w:r>
          </w:p>
        </w:tc>
        <w:tc>
          <w:tcPr>
            <w:tcW w:type="dxa" w:w="7200"/>
            <w:shd w:val="clear" w:color="auto" w:fill="f2f4f6"/>
          </w:tcPr>
          <w:p>
            <w:pPr>
              <w:spacing w:after="20"/>
            </w:pPr>
            <w:r>
              <w:rPr>
                <w:sz w:val="16"/>
              </w:rPr>
              <w:t>Entry: 38.2% fib + 02 Jul-low shelf (strong confluence). TP2: 02 Jul high. TP3: 20-day SMA.</w:t>
            </w:r>
          </w:p>
        </w:tc>
      </w:tr>
      <w:tr>
        <w:tc>
          <w:tcPr>
            <w:tcW w:type="dxa" w:w="1800"/>
          </w:tcPr>
          <w:p>
            <w:pPr>
              <w:spacing w:after="20"/>
            </w:pPr>
            <w:r>
              <w:rPr>
                <w:sz w:val="16"/>
              </w:rPr>
              <w:t>Thesis invalidation</w:t>
            </w:r>
          </w:p>
        </w:tc>
        <w:tc>
          <w:tcPr>
            <w:tcW w:type="dxa" w:w="7200"/>
          </w:tcPr>
          <w:p>
            <w:pPr>
              <w:spacing w:after="20"/>
            </w:pPr>
            <w:r>
              <w:rPr>
                <w:sz w:val="16"/>
              </w:rPr>
              <w:t>Close back below $4,030 — breaks the bullish-pullback narrative (coincides with SL)</w:t>
            </w:r>
          </w:p>
        </w:tc>
      </w:tr>
      <w:tr>
        <w:tc>
          <w:tcPr>
            <w:tcW w:type="dxa" w:w="1800"/>
            <w:shd w:val="clear" w:color="auto" w:fill="f2f4f6"/>
          </w:tcPr>
          <w:p>
            <w:pPr>
              <w:spacing w:after="20"/>
            </w:pPr>
            <w:r>
              <w:rPr>
                <w:sz w:val="16"/>
              </w:rPr>
              <w:t>Caveats</w:t>
            </w:r>
          </w:p>
        </w:tc>
        <w:tc>
          <w:tcPr>
            <w:tcW w:type="dxa" w:w="7200"/>
            <w:shd w:val="clear" w:color="auto" w:fill="f2f4f6"/>
          </w:tcPr>
          <w:p>
            <w:pPr>
              <w:spacing w:after="20"/>
            </w:pPr>
            <w:r>
              <w:rPr>
                <w:sz w:val="16"/>
              </w:rPr>
              <w:t>single-source-indicative pivots/levels; counter to medium-term bearish regime — tactical only; CPI collision risk (§13d)</w:t>
            </w:r>
          </w:p>
        </w:tc>
      </w:tr>
    </w:tbl>
    <w:p>
      <w:pPr>
        <w:spacing w:after="120"/>
      </w:pPr>
      <w:r>
        <w:rPr>
          <w:b w:val="0"/>
          <w:i/>
          <w:sz w:val="18"/>
        </w:rPr>
        <w:t>Note: Trade 2 (short-fade) and Trade 3A (long-pullback) are deliberately opposing — permitted here because simultaneous long/short across strategies is enabled; they express the same TRANSITION thesis (fade resistance, buy shallow support) with non-overlapping trigger zones.</w:t>
      </w:r>
    </w:p>
    <w:p>
      <w:pPr>
        <w:pStyle w:val="Heading2"/>
      </w:pPr>
      <w:r>
        <w:rPr>
          <w:b/>
          <w:color w:val="9A7D0A"/>
          <w:sz w:val="23"/>
        </w:rPr>
        <w:t>21c · 5-Session No-Leakage Backtest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12"/>
            <w:shd w:val="clear" w:color="auto" w:fill="1f2d3d"/>
          </w:tcPr>
          <w:p>
            <w:pPr>
              <w:spacing w:after="20"/>
            </w:pPr>
            <w:r>
              <w:rPr>
                <w:b/>
                <w:color w:val="FFFFFF"/>
                <w:sz w:val="15"/>
              </w:rPr>
              <w:t>Date (t−N)</w:t>
            </w:r>
          </w:p>
        </w:tc>
        <w:tc>
          <w:tcPr>
            <w:tcW w:type="dxa" w:w="1512"/>
            <w:shd w:val="clear" w:color="auto" w:fill="1f2d3d"/>
          </w:tcPr>
          <w:p>
            <w:pPr>
              <w:spacing w:after="20"/>
            </w:pPr>
            <w:r>
              <w:rPr>
                <w:b/>
                <w:color w:val="FFFFFF"/>
                <w:sz w:val="15"/>
              </w:rPr>
              <w:t>Strategy</w:t>
            </w:r>
          </w:p>
        </w:tc>
        <w:tc>
          <w:tcPr>
            <w:tcW w:type="dxa" w:w="1296"/>
            <w:shd w:val="clear" w:color="auto" w:fill="1f2d3d"/>
          </w:tcPr>
          <w:p>
            <w:pPr>
              <w:spacing w:after="20"/>
            </w:pPr>
            <w:r>
              <w:rPr>
                <w:b/>
                <w:color w:val="FFFFFF"/>
                <w:sz w:val="15"/>
              </w:rPr>
              <w:t>Dir.</w:t>
            </w:r>
          </w:p>
        </w:tc>
        <w:tc>
          <w:tcPr>
            <w:tcW w:type="dxa" w:w="864"/>
            <w:shd w:val="clear" w:color="auto" w:fill="1f2d3d"/>
          </w:tcPr>
          <w:p>
            <w:pPr>
              <w:spacing w:after="20"/>
            </w:pPr>
            <w:r>
              <w:rPr>
                <w:b/>
                <w:color w:val="FFFFFF"/>
                <w:sz w:val="15"/>
              </w:rPr>
              <w:t>Trig.</w:t>
            </w:r>
          </w:p>
        </w:tc>
        <w:tc>
          <w:tcPr>
            <w:tcW w:type="dxa" w:w="1944"/>
            <w:shd w:val="clear" w:color="auto" w:fill="1f2d3d"/>
          </w:tcPr>
          <w:p>
            <w:pPr>
              <w:spacing w:after="20"/>
            </w:pPr>
            <w:r>
              <w:rPr>
                <w:b/>
                <w:color w:val="FFFFFF"/>
                <w:sz w:val="15"/>
              </w:rPr>
              <w:t>Entry / Exit</w:t>
            </w:r>
          </w:p>
        </w:tc>
        <w:tc>
          <w:tcPr>
            <w:tcW w:type="dxa" w:w="1224"/>
            <w:shd w:val="clear" w:color="auto" w:fill="1f2d3d"/>
          </w:tcPr>
          <w:p>
            <w:pPr>
              <w:spacing w:after="20"/>
            </w:pPr>
            <w:r>
              <w:rPr>
                <w:b/>
                <w:color w:val="FFFFFF"/>
                <w:sz w:val="15"/>
              </w:rPr>
              <w:t>Outcome (R)</w:t>
            </w:r>
          </w:p>
        </w:tc>
        <w:tc>
          <w:tcPr>
            <w:tcW w:type="dxa" w:w="792"/>
            <w:shd w:val="clear" w:color="auto" w:fill="1f2d3d"/>
          </w:tcPr>
          <w:p>
            <w:pPr>
              <w:spacing w:after="20"/>
            </w:pPr>
            <w:r>
              <w:rPr>
                <w:b/>
                <w:color w:val="FFFFFF"/>
                <w:sz w:val="15"/>
              </w:rPr>
              <w:t>Days</w:t>
            </w:r>
          </w:p>
        </w:tc>
      </w:tr>
      <w:tr>
        <w:tc>
          <w:tcPr>
            <w:tcW w:type="dxa" w:w="1512"/>
          </w:tcPr>
          <w:p>
            <w:pPr>
              <w:spacing w:after="20"/>
            </w:pPr>
            <w:r>
              <w:rPr>
                <w:sz w:val="15"/>
              </w:rPr>
              <w:t>26 Jun (t−5)</w:t>
            </w:r>
          </w:p>
        </w:tc>
        <w:tc>
          <w:tcPr>
            <w:tcW w:type="dxa" w:w="1512"/>
          </w:tcPr>
          <w:p>
            <w:pPr>
              <w:spacing w:after="20"/>
            </w:pPr>
            <w:r>
              <w:rPr>
                <w:sz w:val="15"/>
              </w:rPr>
              <w:t>Trade 1</w:t>
            </w:r>
          </w:p>
        </w:tc>
        <w:tc>
          <w:tcPr>
            <w:tcW w:type="dxa" w:w="1296"/>
          </w:tcPr>
          <w:p>
            <w:pPr>
              <w:spacing w:after="20"/>
            </w:pPr>
            <w:r>
              <w:rPr>
                <w:sz w:val="15"/>
              </w:rPr>
              <w:t>SUPPRESSED</w:t>
            </w:r>
          </w:p>
        </w:tc>
        <w:tc>
          <w:tcPr>
            <w:tcW w:type="dxa" w:w="864"/>
          </w:tcPr>
          <w:p>
            <w:pPr>
              <w:spacing w:after="20"/>
            </w:pPr>
            <w:r>
              <w:rPr>
                <w:sz w:val="15"/>
              </w:rPr>
              <w:t>—</w:t>
            </w:r>
          </w:p>
        </w:tc>
        <w:tc>
          <w:tcPr>
            <w:tcW w:type="dxa" w:w="1944"/>
          </w:tcPr>
          <w:p>
            <w:pPr>
              <w:spacing w:after="20"/>
            </w:pPr>
            <w:r>
              <w:rPr>
                <w:sz w:val="15"/>
              </w:rPr>
              <w:t>—</w:t>
            </w:r>
          </w:p>
        </w:tc>
        <w:tc>
          <w:tcPr>
            <w:tcW w:type="dxa" w:w="1224"/>
          </w:tcPr>
          <w:p>
            <w:pPr>
              <w:spacing w:after="20"/>
            </w:pPr>
            <w:r>
              <w:rPr>
                <w:sz w:val="15"/>
              </w:rPr>
              <w:t>—</w:t>
            </w:r>
          </w:p>
        </w:tc>
        <w:tc>
          <w:tcPr>
            <w:tcW w:type="dxa" w:w="792"/>
          </w:tcPr>
          <w:p>
            <w:pPr>
              <w:spacing w:after="20"/>
            </w:pPr>
            <w:r>
              <w:rPr>
                <w:sz w:val="15"/>
              </w:rPr>
              <w:t>—</w:t>
            </w:r>
          </w:p>
        </w:tc>
      </w:tr>
      <w:tr>
        <w:tc>
          <w:tcPr>
            <w:tcW w:type="dxa" w:w="1512"/>
            <w:shd w:val="clear" w:color="auto" w:fill="f2f4f6"/>
          </w:tcPr>
          <w:p>
            <w:pPr>
              <w:spacing w:after="20"/>
            </w:pPr>
            <w:r>
              <w:rPr>
                <w:sz w:val="15"/>
              </w:rPr>
              <w:t>26 Jun (t−5)</w:t>
            </w:r>
          </w:p>
        </w:tc>
        <w:tc>
          <w:tcPr>
            <w:tcW w:type="dxa" w:w="1512"/>
            <w:shd w:val="clear" w:color="auto" w:fill="f2f4f6"/>
          </w:tcPr>
          <w:p>
            <w:pPr>
              <w:spacing w:after="20"/>
            </w:pPr>
            <w:r>
              <w:rPr>
                <w:sz w:val="15"/>
              </w:rPr>
              <w:t>Trade 2 (fade)</w:t>
            </w:r>
          </w:p>
        </w:tc>
        <w:tc>
          <w:tcPr>
            <w:tcW w:type="dxa" w:w="1296"/>
            <w:shd w:val="clear" w:color="auto" w:fill="f2f4f6"/>
          </w:tcPr>
          <w:p>
            <w:pPr>
              <w:spacing w:after="20"/>
            </w:pPr>
            <w:r>
              <w:rPr>
                <w:sz w:val="15"/>
              </w:rPr>
              <w:t>SHORT</w:t>
            </w:r>
          </w:p>
        </w:tc>
        <w:tc>
          <w:tcPr>
            <w:tcW w:type="dxa" w:w="864"/>
            <w:shd w:val="clear" w:color="auto" w:fill="f2f4f6"/>
          </w:tcPr>
          <w:p>
            <w:pPr>
              <w:spacing w:after="20"/>
            </w:pPr>
            <w:r>
              <w:rPr>
                <w:sz w:val="15"/>
              </w:rPr>
              <w:t>NO</w:t>
            </w:r>
          </w:p>
        </w:tc>
        <w:tc>
          <w:tcPr>
            <w:tcW w:type="dxa" w:w="1944"/>
            <w:shd w:val="clear" w:color="auto" w:fill="f2f4f6"/>
          </w:tcPr>
          <w:p>
            <w:pPr>
              <w:spacing w:after="20"/>
            </w:pPr>
            <w:r>
              <w:rPr>
                <w:sz w:val="15"/>
              </w:rPr>
              <w:t>limit not reached</w:t>
            </w:r>
          </w:p>
        </w:tc>
        <w:tc>
          <w:tcPr>
            <w:tcW w:type="dxa" w:w="1224"/>
            <w:shd w:val="clear" w:color="auto" w:fill="f2f4f6"/>
          </w:tcPr>
          <w:p>
            <w:pPr>
              <w:spacing w:after="20"/>
            </w:pPr>
            <w:r>
              <w:rPr>
                <w:sz w:val="15"/>
              </w:rPr>
              <w:t>0.00</w:t>
            </w:r>
          </w:p>
        </w:tc>
        <w:tc>
          <w:tcPr>
            <w:tcW w:type="dxa" w:w="792"/>
            <w:shd w:val="clear" w:color="auto" w:fill="f2f4f6"/>
          </w:tcPr>
          <w:p>
            <w:pPr>
              <w:spacing w:after="20"/>
            </w:pPr>
            <w:r>
              <w:rPr>
                <w:sz w:val="15"/>
              </w:rPr>
              <w:t>—</w:t>
            </w:r>
          </w:p>
        </w:tc>
      </w:tr>
      <w:tr>
        <w:tc>
          <w:tcPr>
            <w:tcW w:type="dxa" w:w="1512"/>
          </w:tcPr>
          <w:p>
            <w:pPr>
              <w:spacing w:after="20"/>
            </w:pPr>
            <w:r>
              <w:rPr>
                <w:sz w:val="15"/>
              </w:rPr>
              <w:t>26 Jun (t−5)</w:t>
            </w:r>
          </w:p>
        </w:tc>
        <w:tc>
          <w:tcPr>
            <w:tcW w:type="dxa" w:w="1512"/>
          </w:tcPr>
          <w:p>
            <w:pPr>
              <w:spacing w:after="20"/>
            </w:pPr>
            <w:r>
              <w:rPr>
                <w:sz w:val="15"/>
              </w:rPr>
              <w:t>Trade 3A</w:t>
            </w:r>
          </w:p>
        </w:tc>
        <w:tc>
          <w:tcPr>
            <w:tcW w:type="dxa" w:w="1296"/>
          </w:tcPr>
          <w:p>
            <w:pPr>
              <w:spacing w:after="20"/>
            </w:pPr>
            <w:r>
              <w:rPr>
                <w:sz w:val="15"/>
              </w:rPr>
              <w:t>LONG</w:t>
            </w:r>
          </w:p>
        </w:tc>
        <w:tc>
          <w:tcPr>
            <w:tcW w:type="dxa" w:w="864"/>
          </w:tcPr>
          <w:p>
            <w:pPr>
              <w:spacing w:after="20"/>
            </w:pPr>
            <w:r>
              <w:rPr>
                <w:sz w:val="15"/>
              </w:rPr>
              <w:t>NO</w:t>
            </w:r>
          </w:p>
        </w:tc>
        <w:tc>
          <w:tcPr>
            <w:tcW w:type="dxa" w:w="1944"/>
          </w:tcPr>
          <w:p>
            <w:pPr>
              <w:spacing w:after="20"/>
            </w:pPr>
            <w:r>
              <w:rPr>
                <w:sz w:val="15"/>
              </w:rPr>
              <w:t>no pullback trigger</w:t>
            </w:r>
          </w:p>
        </w:tc>
        <w:tc>
          <w:tcPr>
            <w:tcW w:type="dxa" w:w="1224"/>
          </w:tcPr>
          <w:p>
            <w:pPr>
              <w:spacing w:after="20"/>
            </w:pPr>
            <w:r>
              <w:rPr>
                <w:sz w:val="15"/>
              </w:rPr>
              <w:t>0.00</w:t>
            </w:r>
          </w:p>
        </w:tc>
        <w:tc>
          <w:tcPr>
            <w:tcW w:type="dxa" w:w="792"/>
          </w:tcPr>
          <w:p>
            <w:pPr>
              <w:spacing w:after="20"/>
            </w:pPr>
            <w:r>
              <w:rPr>
                <w:sz w:val="15"/>
              </w:rPr>
              <w:t>—</w:t>
            </w:r>
          </w:p>
        </w:tc>
      </w:tr>
      <w:tr>
        <w:tc>
          <w:tcPr>
            <w:tcW w:type="dxa" w:w="1512"/>
            <w:shd w:val="clear" w:color="auto" w:fill="f2f4f6"/>
          </w:tcPr>
          <w:p>
            <w:pPr>
              <w:spacing w:after="20"/>
            </w:pPr>
            <w:r>
              <w:rPr>
                <w:sz w:val="15"/>
              </w:rPr>
              <w:t>29 Jun (t−4)</w:t>
            </w:r>
          </w:p>
        </w:tc>
        <w:tc>
          <w:tcPr>
            <w:tcW w:type="dxa" w:w="1512"/>
            <w:shd w:val="clear" w:color="auto" w:fill="f2f4f6"/>
          </w:tcPr>
          <w:p>
            <w:pPr>
              <w:spacing w:after="20"/>
            </w:pPr>
            <w:r>
              <w:rPr>
                <w:sz w:val="15"/>
              </w:rPr>
              <w:t>Trade 2 (fade)</w:t>
            </w:r>
          </w:p>
        </w:tc>
        <w:tc>
          <w:tcPr>
            <w:tcW w:type="dxa" w:w="1296"/>
            <w:shd w:val="clear" w:color="auto" w:fill="f2f4f6"/>
          </w:tcPr>
          <w:p>
            <w:pPr>
              <w:spacing w:after="20"/>
            </w:pPr>
            <w:r>
              <w:rPr>
                <w:sz w:val="15"/>
              </w:rPr>
              <w:t>SHORT</w:t>
            </w:r>
          </w:p>
        </w:tc>
        <w:tc>
          <w:tcPr>
            <w:tcW w:type="dxa" w:w="864"/>
            <w:shd w:val="clear" w:color="auto" w:fill="f2f4f6"/>
          </w:tcPr>
          <w:p>
            <w:pPr>
              <w:spacing w:after="20"/>
            </w:pPr>
            <w:r>
              <w:rPr>
                <w:sz w:val="15"/>
              </w:rPr>
              <w:t>YES</w:t>
            </w:r>
          </w:p>
        </w:tc>
        <w:tc>
          <w:tcPr>
            <w:tcW w:type="dxa" w:w="1944"/>
            <w:shd w:val="clear" w:color="auto" w:fill="f2f4f6"/>
          </w:tcPr>
          <w:p>
            <w:pPr>
              <w:spacing w:after="20"/>
            </w:pPr>
            <w:r>
              <w:rPr>
                <w:sz w:val="15"/>
              </w:rPr>
              <w:t>4,088 / 4,062.84</w:t>
            </w:r>
          </w:p>
        </w:tc>
        <w:tc>
          <w:tcPr>
            <w:tcW w:type="dxa" w:w="1224"/>
            <w:shd w:val="clear" w:color="auto" w:fill="f2f4f6"/>
          </w:tcPr>
          <w:p>
            <w:pPr>
              <w:spacing w:after="20"/>
            </w:pPr>
            <w:r>
              <w:rPr>
                <w:sz w:val="15"/>
              </w:rPr>
              <w:t>+0.5R</w:t>
            </w:r>
          </w:p>
        </w:tc>
        <w:tc>
          <w:tcPr>
            <w:tcW w:type="dxa" w:w="792"/>
            <w:shd w:val="clear" w:color="auto" w:fill="f2f4f6"/>
          </w:tcPr>
          <w:p>
            <w:pPr>
              <w:spacing w:after="20"/>
            </w:pPr>
            <w:r>
              <w:rPr>
                <w:sz w:val="15"/>
              </w:rPr>
              <w:t>1</w:t>
            </w:r>
          </w:p>
        </w:tc>
      </w:tr>
      <w:tr>
        <w:tc>
          <w:tcPr>
            <w:tcW w:type="dxa" w:w="1512"/>
          </w:tcPr>
          <w:p>
            <w:pPr>
              <w:spacing w:after="20"/>
            </w:pPr>
            <w:r>
              <w:rPr>
                <w:sz w:val="15"/>
              </w:rPr>
              <w:t>29 Jun (t−4)</w:t>
            </w:r>
          </w:p>
        </w:tc>
        <w:tc>
          <w:tcPr>
            <w:tcW w:type="dxa" w:w="1512"/>
          </w:tcPr>
          <w:p>
            <w:pPr>
              <w:spacing w:after="20"/>
            </w:pPr>
            <w:r>
              <w:rPr>
                <w:sz w:val="15"/>
              </w:rPr>
              <w:t>Trade 3A</w:t>
            </w:r>
          </w:p>
        </w:tc>
        <w:tc>
          <w:tcPr>
            <w:tcW w:type="dxa" w:w="1296"/>
          </w:tcPr>
          <w:p>
            <w:pPr>
              <w:spacing w:after="20"/>
            </w:pPr>
            <w:r>
              <w:rPr>
                <w:sz w:val="15"/>
              </w:rPr>
              <w:t>LONG</w:t>
            </w:r>
          </w:p>
        </w:tc>
        <w:tc>
          <w:tcPr>
            <w:tcW w:type="dxa" w:w="864"/>
          </w:tcPr>
          <w:p>
            <w:pPr>
              <w:spacing w:after="20"/>
            </w:pPr>
            <w:r>
              <w:rPr>
                <w:sz w:val="15"/>
              </w:rPr>
              <w:t>YES</w:t>
            </w:r>
          </w:p>
        </w:tc>
        <w:tc>
          <w:tcPr>
            <w:tcW w:type="dxa" w:w="1944"/>
          </w:tcPr>
          <w:p>
            <w:pPr>
              <w:spacing w:after="20"/>
            </w:pPr>
            <w:r>
              <w:rPr>
                <w:sz w:val="15"/>
              </w:rPr>
              <w:t>3,995 / 4,062.84</w:t>
            </w:r>
          </w:p>
        </w:tc>
        <w:tc>
          <w:tcPr>
            <w:tcW w:type="dxa" w:w="1224"/>
          </w:tcPr>
          <w:p>
            <w:pPr>
              <w:spacing w:after="20"/>
            </w:pPr>
            <w:r>
              <w:rPr>
                <w:sz w:val="15"/>
              </w:rPr>
              <w:t>+1.2R</w:t>
            </w:r>
          </w:p>
        </w:tc>
        <w:tc>
          <w:tcPr>
            <w:tcW w:type="dxa" w:w="792"/>
          </w:tcPr>
          <w:p>
            <w:pPr>
              <w:spacing w:after="20"/>
            </w:pPr>
            <w:r>
              <w:rPr>
                <w:sz w:val="15"/>
              </w:rPr>
              <w:t>1</w:t>
            </w:r>
          </w:p>
        </w:tc>
      </w:tr>
      <w:tr>
        <w:tc>
          <w:tcPr>
            <w:tcW w:type="dxa" w:w="1512"/>
            <w:shd w:val="clear" w:color="auto" w:fill="f2f4f6"/>
          </w:tcPr>
          <w:p>
            <w:pPr>
              <w:spacing w:after="20"/>
            </w:pPr>
            <w:r>
              <w:rPr>
                <w:sz w:val="15"/>
              </w:rPr>
              <w:t>30 Jun (t−3)</w:t>
            </w:r>
          </w:p>
        </w:tc>
        <w:tc>
          <w:tcPr>
            <w:tcW w:type="dxa" w:w="1512"/>
            <w:shd w:val="clear" w:color="auto" w:fill="f2f4f6"/>
          </w:tcPr>
          <w:p>
            <w:pPr>
              <w:spacing w:after="20"/>
            </w:pPr>
            <w:r>
              <w:rPr>
                <w:sz w:val="15"/>
              </w:rPr>
              <w:t>Trade 2 (fade)</w:t>
            </w:r>
          </w:p>
        </w:tc>
        <w:tc>
          <w:tcPr>
            <w:tcW w:type="dxa" w:w="1296"/>
            <w:shd w:val="clear" w:color="auto" w:fill="f2f4f6"/>
          </w:tcPr>
          <w:p>
            <w:pPr>
              <w:spacing w:after="20"/>
            </w:pPr>
            <w:r>
              <w:rPr>
                <w:sz w:val="15"/>
              </w:rPr>
              <w:t>SHORT</w:t>
            </w:r>
          </w:p>
        </w:tc>
        <w:tc>
          <w:tcPr>
            <w:tcW w:type="dxa" w:w="864"/>
            <w:shd w:val="clear" w:color="auto" w:fill="f2f4f6"/>
          </w:tcPr>
          <w:p>
            <w:pPr>
              <w:spacing w:after="20"/>
            </w:pPr>
            <w:r>
              <w:rPr>
                <w:sz w:val="15"/>
              </w:rPr>
              <w:t>YES</w:t>
            </w:r>
          </w:p>
        </w:tc>
        <w:tc>
          <w:tcPr>
            <w:tcW w:type="dxa" w:w="1944"/>
            <w:shd w:val="clear" w:color="auto" w:fill="f2f4f6"/>
          </w:tcPr>
          <w:p>
            <w:pPr>
              <w:spacing w:after="20"/>
            </w:pPr>
            <w:r>
              <w:rPr>
                <w:sz w:val="15"/>
              </w:rPr>
              <w:t>4,070 / 4,008.50</w:t>
            </w:r>
          </w:p>
        </w:tc>
        <w:tc>
          <w:tcPr>
            <w:tcW w:type="dxa" w:w="1224"/>
            <w:shd w:val="clear" w:color="auto" w:fill="f2f4f6"/>
          </w:tcPr>
          <w:p>
            <w:pPr>
              <w:spacing w:after="20"/>
            </w:pPr>
            <w:r>
              <w:rPr>
                <w:sz w:val="15"/>
              </w:rPr>
              <w:t>+1.4R</w:t>
            </w:r>
          </w:p>
        </w:tc>
        <w:tc>
          <w:tcPr>
            <w:tcW w:type="dxa" w:w="792"/>
            <w:shd w:val="clear" w:color="auto" w:fill="f2f4f6"/>
          </w:tcPr>
          <w:p>
            <w:pPr>
              <w:spacing w:after="20"/>
            </w:pPr>
            <w:r>
              <w:rPr>
                <w:sz w:val="15"/>
              </w:rPr>
              <w:t>1</w:t>
            </w:r>
          </w:p>
        </w:tc>
      </w:tr>
      <w:tr>
        <w:tc>
          <w:tcPr>
            <w:tcW w:type="dxa" w:w="1512"/>
          </w:tcPr>
          <w:p>
            <w:pPr>
              <w:spacing w:after="20"/>
            </w:pPr>
            <w:r>
              <w:rPr>
                <w:sz w:val="15"/>
              </w:rPr>
              <w:t>30 Jun (t−3)</w:t>
            </w:r>
          </w:p>
        </w:tc>
        <w:tc>
          <w:tcPr>
            <w:tcW w:type="dxa" w:w="1512"/>
          </w:tcPr>
          <w:p>
            <w:pPr>
              <w:spacing w:after="20"/>
            </w:pPr>
            <w:r>
              <w:rPr>
                <w:sz w:val="15"/>
              </w:rPr>
              <w:t>Trade 3A</w:t>
            </w:r>
          </w:p>
        </w:tc>
        <w:tc>
          <w:tcPr>
            <w:tcW w:type="dxa" w:w="1296"/>
          </w:tcPr>
          <w:p>
            <w:pPr>
              <w:spacing w:after="20"/>
            </w:pPr>
            <w:r>
              <w:rPr>
                <w:sz w:val="15"/>
              </w:rPr>
              <w:t>LONG</w:t>
            </w:r>
          </w:p>
        </w:tc>
        <w:tc>
          <w:tcPr>
            <w:tcW w:type="dxa" w:w="864"/>
          </w:tcPr>
          <w:p>
            <w:pPr>
              <w:spacing w:after="20"/>
            </w:pPr>
            <w:r>
              <w:rPr>
                <w:sz w:val="15"/>
              </w:rPr>
              <w:t>NO</w:t>
            </w:r>
          </w:p>
        </w:tc>
        <w:tc>
          <w:tcPr>
            <w:tcW w:type="dxa" w:w="1944"/>
          </w:tcPr>
          <w:p>
            <w:pPr>
              <w:spacing w:after="20"/>
            </w:pPr>
            <w:r>
              <w:rPr>
                <w:sz w:val="15"/>
              </w:rPr>
              <w:t>stop-first, no fill</w:t>
            </w:r>
          </w:p>
        </w:tc>
        <w:tc>
          <w:tcPr>
            <w:tcW w:type="dxa" w:w="1224"/>
          </w:tcPr>
          <w:p>
            <w:pPr>
              <w:spacing w:after="20"/>
            </w:pPr>
            <w:r>
              <w:rPr>
                <w:sz w:val="15"/>
              </w:rPr>
              <w:t>0.00</w:t>
            </w:r>
          </w:p>
        </w:tc>
        <w:tc>
          <w:tcPr>
            <w:tcW w:type="dxa" w:w="792"/>
          </w:tcPr>
          <w:p>
            <w:pPr>
              <w:spacing w:after="20"/>
            </w:pPr>
            <w:r>
              <w:rPr>
                <w:sz w:val="15"/>
              </w:rPr>
              <w:t>—</w:t>
            </w:r>
          </w:p>
        </w:tc>
      </w:tr>
      <w:tr>
        <w:tc>
          <w:tcPr>
            <w:tcW w:type="dxa" w:w="1512"/>
            <w:shd w:val="clear" w:color="auto" w:fill="f2f4f6"/>
          </w:tcPr>
          <w:p>
            <w:pPr>
              <w:spacing w:after="20"/>
            </w:pPr>
            <w:r>
              <w:rPr>
                <w:sz w:val="15"/>
              </w:rPr>
              <w:t>01 Jul (t−2)</w:t>
            </w:r>
          </w:p>
        </w:tc>
        <w:tc>
          <w:tcPr>
            <w:tcW w:type="dxa" w:w="1512"/>
            <w:shd w:val="clear" w:color="auto" w:fill="f2f4f6"/>
          </w:tcPr>
          <w:p>
            <w:pPr>
              <w:spacing w:after="20"/>
            </w:pPr>
            <w:r>
              <w:rPr>
                <w:sz w:val="15"/>
              </w:rPr>
              <w:t>Trade 2 (fade)</w:t>
            </w:r>
          </w:p>
        </w:tc>
        <w:tc>
          <w:tcPr>
            <w:tcW w:type="dxa" w:w="1296"/>
            <w:shd w:val="clear" w:color="auto" w:fill="f2f4f6"/>
          </w:tcPr>
          <w:p>
            <w:pPr>
              <w:spacing w:after="20"/>
            </w:pPr>
            <w:r>
              <w:rPr>
                <w:sz w:val="15"/>
              </w:rPr>
              <w:t>SHORT</w:t>
            </w:r>
          </w:p>
        </w:tc>
        <w:tc>
          <w:tcPr>
            <w:tcW w:type="dxa" w:w="864"/>
            <w:shd w:val="clear" w:color="auto" w:fill="f2f4f6"/>
          </w:tcPr>
          <w:p>
            <w:pPr>
              <w:spacing w:after="20"/>
            </w:pPr>
            <w:r>
              <w:rPr>
                <w:sz w:val="15"/>
              </w:rPr>
              <w:t>NO</w:t>
            </w:r>
          </w:p>
        </w:tc>
        <w:tc>
          <w:tcPr>
            <w:tcW w:type="dxa" w:w="1944"/>
            <w:shd w:val="clear" w:color="auto" w:fill="f2f4f6"/>
          </w:tcPr>
          <w:p>
            <w:pPr>
              <w:spacing w:after="20"/>
            </w:pPr>
            <w:r>
              <w:rPr>
                <w:sz w:val="15"/>
              </w:rPr>
              <w:t>limit not reached</w:t>
            </w:r>
          </w:p>
        </w:tc>
        <w:tc>
          <w:tcPr>
            <w:tcW w:type="dxa" w:w="1224"/>
            <w:shd w:val="clear" w:color="auto" w:fill="f2f4f6"/>
          </w:tcPr>
          <w:p>
            <w:pPr>
              <w:spacing w:after="20"/>
            </w:pPr>
            <w:r>
              <w:rPr>
                <w:sz w:val="15"/>
              </w:rPr>
              <w:t>0.00</w:t>
            </w:r>
          </w:p>
        </w:tc>
        <w:tc>
          <w:tcPr>
            <w:tcW w:type="dxa" w:w="792"/>
            <w:shd w:val="clear" w:color="auto" w:fill="f2f4f6"/>
          </w:tcPr>
          <w:p>
            <w:pPr>
              <w:spacing w:after="20"/>
            </w:pPr>
            <w:r>
              <w:rPr>
                <w:sz w:val="15"/>
              </w:rPr>
              <w:t>—</w:t>
            </w:r>
          </w:p>
        </w:tc>
      </w:tr>
      <w:tr>
        <w:tc>
          <w:tcPr>
            <w:tcW w:type="dxa" w:w="1512"/>
          </w:tcPr>
          <w:p>
            <w:pPr>
              <w:spacing w:after="20"/>
            </w:pPr>
            <w:r>
              <w:rPr>
                <w:sz w:val="15"/>
              </w:rPr>
              <w:t>01 Jul (t−2)</w:t>
            </w:r>
          </w:p>
        </w:tc>
        <w:tc>
          <w:tcPr>
            <w:tcW w:type="dxa" w:w="1512"/>
          </w:tcPr>
          <w:p>
            <w:pPr>
              <w:spacing w:after="20"/>
            </w:pPr>
            <w:r>
              <w:rPr>
                <w:sz w:val="15"/>
              </w:rPr>
              <w:t>Trade 3A</w:t>
            </w:r>
          </w:p>
        </w:tc>
        <w:tc>
          <w:tcPr>
            <w:tcW w:type="dxa" w:w="1296"/>
          </w:tcPr>
          <w:p>
            <w:pPr>
              <w:spacing w:after="20"/>
            </w:pPr>
            <w:r>
              <w:rPr>
                <w:sz w:val="15"/>
              </w:rPr>
              <w:t>LONG</w:t>
            </w:r>
          </w:p>
        </w:tc>
        <w:tc>
          <w:tcPr>
            <w:tcW w:type="dxa" w:w="864"/>
          </w:tcPr>
          <w:p>
            <w:pPr>
              <w:spacing w:after="20"/>
            </w:pPr>
            <w:r>
              <w:rPr>
                <w:sz w:val="15"/>
              </w:rPr>
              <w:t>YES</w:t>
            </w:r>
          </w:p>
        </w:tc>
        <w:tc>
          <w:tcPr>
            <w:tcW w:type="dxa" w:w="1944"/>
          </w:tcPr>
          <w:p>
            <w:pPr>
              <w:spacing w:after="20"/>
            </w:pPr>
            <w:r>
              <w:rPr>
                <w:sz w:val="15"/>
              </w:rPr>
              <w:t>3,975 / 4,031.29</w:t>
            </w:r>
          </w:p>
        </w:tc>
        <w:tc>
          <w:tcPr>
            <w:tcW w:type="dxa" w:w="1224"/>
          </w:tcPr>
          <w:p>
            <w:pPr>
              <w:spacing w:after="20"/>
            </w:pPr>
            <w:r>
              <w:rPr>
                <w:sz w:val="15"/>
              </w:rPr>
              <w:t>+1.3R</w:t>
            </w:r>
          </w:p>
        </w:tc>
        <w:tc>
          <w:tcPr>
            <w:tcW w:type="dxa" w:w="792"/>
          </w:tcPr>
          <w:p>
            <w:pPr>
              <w:spacing w:after="20"/>
            </w:pPr>
            <w:r>
              <w:rPr>
                <w:sz w:val="15"/>
              </w:rPr>
              <w:t>1</w:t>
            </w:r>
          </w:p>
        </w:tc>
      </w:tr>
      <w:tr>
        <w:tc>
          <w:tcPr>
            <w:tcW w:type="dxa" w:w="1512"/>
            <w:shd w:val="clear" w:color="auto" w:fill="f2f4f6"/>
          </w:tcPr>
          <w:p>
            <w:pPr>
              <w:spacing w:after="20"/>
            </w:pPr>
            <w:r>
              <w:rPr>
                <w:sz w:val="15"/>
              </w:rPr>
              <w:t>02 Jul (t−1)</w:t>
            </w:r>
          </w:p>
        </w:tc>
        <w:tc>
          <w:tcPr>
            <w:tcW w:type="dxa" w:w="1512"/>
            <w:shd w:val="clear" w:color="auto" w:fill="f2f4f6"/>
          </w:tcPr>
          <w:p>
            <w:pPr>
              <w:spacing w:after="20"/>
            </w:pPr>
            <w:r>
              <w:rPr>
                <w:sz w:val="15"/>
              </w:rPr>
              <w:t>Trade 2 (fade)</w:t>
            </w:r>
          </w:p>
        </w:tc>
        <w:tc>
          <w:tcPr>
            <w:tcW w:type="dxa" w:w="1296"/>
            <w:shd w:val="clear" w:color="auto" w:fill="f2f4f6"/>
          </w:tcPr>
          <w:p>
            <w:pPr>
              <w:spacing w:after="20"/>
            </w:pPr>
            <w:r>
              <w:rPr>
                <w:sz w:val="15"/>
              </w:rPr>
              <w:t>SHORT</w:t>
            </w:r>
          </w:p>
        </w:tc>
        <w:tc>
          <w:tcPr>
            <w:tcW w:type="dxa" w:w="864"/>
            <w:shd w:val="clear" w:color="auto" w:fill="f2f4f6"/>
          </w:tcPr>
          <w:p>
            <w:pPr>
              <w:spacing w:after="20"/>
            </w:pPr>
            <w:r>
              <w:rPr>
                <w:sz w:val="15"/>
              </w:rPr>
              <w:t>YES</w:t>
            </w:r>
          </w:p>
        </w:tc>
        <w:tc>
          <w:tcPr>
            <w:tcW w:type="dxa" w:w="1944"/>
            <w:shd w:val="clear" w:color="auto" w:fill="f2f4f6"/>
          </w:tcPr>
          <w:p>
            <w:pPr>
              <w:spacing w:after="20"/>
            </w:pPr>
            <w:r>
              <w:rPr>
                <w:sz w:val="15"/>
              </w:rPr>
              <w:t>4,140 / 4,108 (open)</w:t>
            </w:r>
          </w:p>
        </w:tc>
        <w:tc>
          <w:tcPr>
            <w:tcW w:type="dxa" w:w="1224"/>
            <w:shd w:val="clear" w:color="auto" w:fill="f2f4f6"/>
          </w:tcPr>
          <w:p>
            <w:pPr>
              <w:spacing w:after="20"/>
            </w:pPr>
            <w:r>
              <w:rPr>
                <w:sz w:val="15"/>
              </w:rPr>
              <w:t>OPEN @ −0.2R</w:t>
            </w:r>
          </w:p>
        </w:tc>
        <w:tc>
          <w:tcPr>
            <w:tcW w:type="dxa" w:w="792"/>
            <w:shd w:val="clear" w:color="auto" w:fill="f2f4f6"/>
          </w:tcPr>
          <w:p>
            <w:pPr>
              <w:spacing w:after="20"/>
            </w:pPr>
            <w:r>
              <w:rPr>
                <w:sz w:val="15"/>
              </w:rPr>
              <w:t>1+ (open)</w:t>
            </w:r>
          </w:p>
        </w:tc>
      </w:tr>
      <w:tr>
        <w:tc>
          <w:tcPr>
            <w:tcW w:type="dxa" w:w="1512"/>
          </w:tcPr>
          <w:p>
            <w:pPr>
              <w:spacing w:after="20"/>
            </w:pPr>
            <w:r>
              <w:rPr>
                <w:sz w:val="15"/>
              </w:rPr>
              <w:t>02 Jul (t−1)</w:t>
            </w:r>
          </w:p>
        </w:tc>
        <w:tc>
          <w:tcPr>
            <w:tcW w:type="dxa" w:w="1512"/>
          </w:tcPr>
          <w:p>
            <w:pPr>
              <w:spacing w:after="20"/>
            </w:pPr>
            <w:r>
              <w:rPr>
                <w:sz w:val="15"/>
              </w:rPr>
              <w:t>Trade 3A</w:t>
            </w:r>
          </w:p>
        </w:tc>
        <w:tc>
          <w:tcPr>
            <w:tcW w:type="dxa" w:w="1296"/>
          </w:tcPr>
          <w:p>
            <w:pPr>
              <w:spacing w:after="20"/>
            </w:pPr>
            <w:r>
              <w:rPr>
                <w:sz w:val="15"/>
              </w:rPr>
              <w:t>LONG</w:t>
            </w:r>
          </w:p>
        </w:tc>
        <w:tc>
          <w:tcPr>
            <w:tcW w:type="dxa" w:w="864"/>
          </w:tcPr>
          <w:p>
            <w:pPr>
              <w:spacing w:after="20"/>
            </w:pPr>
            <w:r>
              <w:rPr>
                <w:sz w:val="15"/>
              </w:rPr>
              <w:t>YES</w:t>
            </w:r>
          </w:p>
        </w:tc>
        <w:tc>
          <w:tcPr>
            <w:tcW w:type="dxa" w:w="1944"/>
          </w:tcPr>
          <w:p>
            <w:pPr>
              <w:spacing w:after="20"/>
            </w:pPr>
            <w:r>
              <w:rPr>
                <w:sz w:val="15"/>
              </w:rPr>
              <w:t>4,050 / 4,108.07</w:t>
            </w:r>
          </w:p>
        </w:tc>
        <w:tc>
          <w:tcPr>
            <w:tcW w:type="dxa" w:w="1224"/>
          </w:tcPr>
          <w:p>
            <w:pPr>
              <w:spacing w:after="20"/>
            </w:pPr>
            <w:r>
              <w:rPr>
                <w:sz w:val="15"/>
              </w:rPr>
              <w:t>+1.4R</w:t>
            </w:r>
          </w:p>
        </w:tc>
        <w:tc>
          <w:tcPr>
            <w:tcW w:type="dxa" w:w="792"/>
          </w:tcPr>
          <w:p>
            <w:pPr>
              <w:spacing w:after="20"/>
            </w:pPr>
            <w:r>
              <w:rPr>
                <w:sz w:val="15"/>
              </w:rPr>
              <w:t>1</w:t>
            </w:r>
          </w:p>
        </w:tc>
      </w:tr>
    </w:tbl>
    <w:p>
      <w:pPr>
        <w:spacing w:after="120"/>
      </w:pPr>
      <w:r>
        <w:rPr>
          <w:b w:val="0"/>
          <w:i/>
          <w:sz w:val="17"/>
        </w:rPr>
        <w:t>SL-first tick-priority applied where SL and TP could fill in the same bar; suppressed rows shown for traceability and excluded from the aggregate.</w:t>
      </w:r>
    </w:p>
    <w:p>
      <w:pPr>
        <w:pStyle w:val="Heading2"/>
      </w:pPr>
      <w:r>
        <w:rPr>
          <w:b/>
          <w:color w:val="9A7D0A"/>
          <w:sz w:val="23"/>
        </w:rPr>
        <w:t>21d · 'What Is Working' Aggregate</w:t>
      </w:r>
    </w:p>
    <w:p>
      <w:pPr>
        <w:spacing w:after="120"/>
      </w:pPr>
      <w:r>
        <w:rPr>
          <w:b w:val="0"/>
          <w:i w:val="0"/>
          <w:sz w:val="21"/>
        </w:rPr>
        <w:t>Trade 1 over the last 5 sessions: triggered 0/5 (suppressed on conviction) — no contribution. Trade 2 (pivot range-fade) over the last 5 sessions: triggered 3/5 times, mean R = +0.90 (one still open at −0.2R), TP1/TP2/TP3 hit rates ≈ 67% / 33% / 0%. Trade 3A (momentum-pullback) over the last 5 sessions: triggered 3/5 times, mean R = +1.30, TP1/TP2/TP3 ≈ 100% / 33% / 0%. Strongest performer: Trade 3A (momentum-pullback), mean R +1.30 — the bounce rewarded buying shallow support. Weakest performer: Trade 2 (range-fade), mean R +0.90 and currently exposed at resistance.</w:t>
      </w:r>
    </w:p>
    <w:p>
      <w:pPr>
        <w:spacing w:after="120"/>
      </w:pPr>
      <w:r>
        <w:rPr>
          <w:b w:val="0"/>
          <w:i/>
          <w:sz w:val="18"/>
        </w:rPr>
        <w:t>Five-session windows are too small to support statistical claims. The backtest cannot model intraday tick-level fills, slippage, or commission. Treat as a directional sanity-check, not a strategy-validation framework.</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Gold Daily Report │ 03 July 2026 │ Senior Commodities Analyst — Precious Metals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