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Gold Report — Daily: 05 June 2026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With reference to: Silver · USDX (Dollar Index) · S&amp;P 500 · DAX 40</w:t>
      </w:r>
    </w:p>
    <w:p>
      <w:pPr>
        <w:pBdr>
          <w:bottom w:val="single" w:color="7A5C12" w:sz="8" w:space="2"/>
        </w:pBdr>
        <w:spacing w:after="160"/>
      </w:pPr>
      <w:r>
        <w:t xml:space="preserve"/>
      </w:r>
    </w:p>
    <w:p>
      <w:pPr>
        <w:pStyle w:val="Heading1"/>
        <w:spacing w:after="140" w:before="2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 Executive Snapshot</w:t>
      </w:r>
    </w:p>
    <w:p>
      <w:pPr>
        <w:spacing w:after="120" w:line="264"/>
      </w:pPr>
      <w:r>
        <w:rPr>
          <w:rFonts w:ascii="Arial" w:cs="Arial" w:eastAsia="Arial" w:hAnsi="Arial"/>
          <w:sz w:val="21"/>
          <w:szCs w:val="21"/>
        </w:rPr>
        <w:t xml:space="preserve">Spot gold is assessed at a consensus of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USD 4,497/oz</w:t>
      </w:r>
      <w:r>
        <w:rPr>
          <w:rFonts w:ascii="Arial" w:cs="Arial" w:eastAsia="Arial" w:hAnsi="Arial"/>
          <w:sz w:val="21"/>
          <w:szCs w:val="21"/>
        </w:rPr>
        <w:t xml:space="preserve"> (working range 4,460–4,510/oz), with a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balanced-to-soft near-term tone</w:t>
      </w:r>
      <w:r>
        <w:rPr>
          <w:rFonts w:ascii="Arial" w:cs="Arial" w:eastAsia="Arial" w:hAnsi="Arial"/>
          <w:sz w:val="21"/>
          <w:szCs w:val="21"/>
        </w:rPr>
        <w:t xml:space="preserve">. Three drivers dominate the current level: (i) a wave of profit-taking and a firmer dollar that has pulled bullion down roughly 2% on the week from the late-May 4,540 area; (ii) rising real-yield and rate-hike expectations as an energy-driven inflation impulse from the Middle East conflict forces central banks to lean hawkish; and (iii) a durable structural bid from de-globalisation flows and continued official-sector buying that has repeatedly cushioned declines. The short-term technical state is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Transitional — mixed</w:t>
      </w:r>
      <w:r>
        <w:rPr>
          <w:rFonts w:ascii="Arial" w:cs="Arial" w:eastAsia="Arial" w:hAnsi="Arial"/>
          <w:sz w:val="21"/>
          <w:szCs w:val="21"/>
        </w:rPr>
        <w:t xml:space="preserve"> (a one-session bounce inside a multi-session pullback), while the medium-term 25-session regime is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Ranging with a bottom-of-range bias</w:t>
      </w:r>
      <w:r>
        <w:rPr>
          <w:rFonts w:ascii="Arial" w:cs="Arial" w:eastAsia="Arial" w:hAnsi="Arial"/>
          <w:sz w:val="21"/>
          <w:szCs w:val="21"/>
        </w:rPr>
        <w:t xml:space="preserve">. The Kaufman efficiency read classifies the tape as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Ranging — Downward Bias</w:t>
      </w:r>
      <w:r>
        <w:rPr>
          <w:rFonts w:ascii="Arial" w:cs="Arial" w:eastAsia="Arial" w:hAnsi="Arial"/>
          <w:sz w:val="21"/>
          <w:szCs w:val="21"/>
        </w:rPr>
        <w:t xml:space="preserve">, consistent with the range call. Directional conviction for the session nets to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NEUTRAL (score +0.08)</w:t>
      </w:r>
      <w:r>
        <w:rPr>
          <w:rFonts w:ascii="Arial" w:cs="Arial" w:eastAsia="Arial" w:hAnsi="Arial"/>
          <w:sz w:val="21"/>
          <w:szCs w:val="21"/>
        </w:rPr>
        <w:t xml:space="preserve"> — a bullish last-session candle offsetting bearish sentiment and cross-asset confirmation.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Single most important watch item: </w:t>
      </w:r>
      <w:r>
        <w:rPr>
          <w:rFonts w:ascii="Arial" w:cs="Arial" w:eastAsia="Arial" w:hAnsi="Arial"/>
          <w:sz w:val="21"/>
          <w:szCs w:val="21"/>
        </w:rPr>
        <w:t xml:space="preserve">US JOLTS job openings and the Fed Beige Book this week, either of which can re-price rate-cut odds and move gold sharply through the real-yield channel.</w:t>
      </w:r>
    </w:p>
    <w:p>
      <w:pPr>
        <w:pStyle w:val="Heading1"/>
        <w:spacing w:after="140" w:before="2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 Market Definition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Asset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Gold — spot (XAU/USD); CME front-month futures (GC=F) for corroboration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Product specification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London Good Delivery bar, 99.99% pure, 400-oz spot quote (LBMA standard)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Market scope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Global, 24-hour OTC market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Delivery / price basis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OTC London spot, T+2 settlement; immediate-settlement spot (loco London)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Unit / currency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USD per troy ounce (USD/oz)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As-of date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05 June 2026 (Europe/London); anchored to the 04 June completed session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Lookback window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 trading sessions (execution block); 25 sessions (regime block)</w:t>
            </w:r>
          </w:p>
        </w:tc>
      </w:tr>
    </w:tbl>
    <w:p>
      <w:pPr>
        <w:pStyle w:val="Heading1"/>
        <w:spacing w:after="140" w:before="2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 Consensus Price Call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Consensus price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USD 4,497.29 / oz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Consensus range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USD 4,460 – 4,510 / oz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Basis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Spot, immediate settlement (loco London), USD/oz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Confidence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Medium — recent-session inputs only partially corroborated (see §19)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Market tone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Balanced-to-soft (bearish week, structurally supported)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Rationale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Latest session reclaimed the 4,490s after a three-day slide; price sits near the lower third of the 25-session range, between corroborated weekly pivot support (~4,405) and the weekly pivot (~4,500).</w:t>
            </w:r>
          </w:p>
        </w:tc>
      </w:tr>
    </w:tbl>
    <w:p>
      <w:pPr>
        <w:pStyle w:val="Heading1"/>
        <w:spacing w:after="140" w:before="2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 Price Evidence Table</w:t>
      </w:r>
    </w:p>
    <w:p>
      <w:pPr>
        <w:spacing w:after="120" w:line="264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Observations normalised to USD/oz, spot loco-London basis. Recent sessions (02–04 Jun) carry a single-source / indicative qualifier; older sessions are corroborated against the exchange-linked aggregator table.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50"/>
        <w:gridCol w:w="1150"/>
        <w:gridCol w:w="1150"/>
        <w:gridCol w:w="1300"/>
        <w:gridCol w:w="800"/>
        <w:gridCol w:w="221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Date/Time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Raw quote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Normalized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Basis/Location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Class.</w:t>
            </w:r>
          </w:p>
        </w:tc>
        <w:tc>
          <w:tcPr>
            <w:tcW w:type="dxa" w:w="22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Investing.com (hist.)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04 Jun 2026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4,497.29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4,497.29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Spot / London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Core</w:t>
            </w:r>
          </w:p>
        </w:tc>
        <w:tc>
          <w:tcPr>
            <w:tcW w:type="dxa" w:w="22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Day range 4,424–4,514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Investing.com (live)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04 Jun, 06:22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4,497.29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4,497.29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Spot / London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Core</w:t>
            </w:r>
          </w:p>
        </w:tc>
        <w:tc>
          <w:tcPr>
            <w:tcW w:type="dxa" w:w="22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Real-time tick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CNBC (XAU=)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Intraday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~4,498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4,498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Spot / NY feed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Directional</w:t>
            </w:r>
          </w:p>
        </w:tc>
        <w:tc>
          <w:tcPr>
            <w:tcW w:type="dxa" w:w="22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RT quote corroboration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Trading Economics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04 Jun 2026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~4,450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4,450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CFD spot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Directional</w:t>
            </w:r>
          </w:p>
        </w:tc>
        <w:tc>
          <w:tcPr>
            <w:tcW w:type="dxa" w:w="22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‘around $4,450, −2% wk’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LiteFinance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04 Jun 2026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4,441–4,510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4,475 mid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Spot range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Directional</w:t>
            </w:r>
          </w:p>
        </w:tc>
        <w:tc>
          <w:tcPr>
            <w:tcW w:type="dxa" w:w="22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Daily expected range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CME GC=F (via aggreg.)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04 Jun 2026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4,529.34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~4,500*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Futures front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Directional</w:t>
            </w:r>
          </w:p>
        </w:tc>
        <w:tc>
          <w:tcPr>
            <w:tcW w:type="dxa" w:w="22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*basis-adjusted to spot</w:t>
            </w:r>
          </w:p>
        </w:tc>
      </w:tr>
    </w:tbl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Six independent observations; weighted-median consensus 4,497/oz. Futures shown basis-adjusted toward spot.</w:t>
      </w:r>
    </w:p>
    <w:p>
      <w:pPr>
        <w:pStyle w:val="Heading1"/>
        <w:spacing w:after="140" w:before="2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 Consensus Build Explanation</w:t>
      </w:r>
    </w:p>
    <w:p>
      <w:pPr>
        <w:spacing w:after="120" w:line="264"/>
      </w:pPr>
      <w:r>
        <w:t xml:space="preserve">The consensus applies a recency- and credibility-weighted median. The Investing.com historical and live spot feeds agree on the 04 June close at 4,497.29 and form the spine. CNBC's real-time XAU= quote corroborates the high-4,490s. A Trading Economics CFD read near 4,450 and a LiteFinance expected-range midpoint near 4,475 are retained as directional comparables — both confirm the low-4,400s-to-4,510 band but were down-weighted: the Trading Economics page returned partially stale narrative content (referencing March-2026 and a 5,100 figure) and was excluded from the point estimate. The CME front-month (~4,529) was basis-adjusted toward spot before inclusion. The futures-to-spot basis and the divergence among aggregators are the main sources of imprecision, which is why the call is range-anchored at 4,460–4,510 with a Medium confidence rather than a tighter point band.</w:t>
      </w:r>
    </w:p>
    <w:p>
      <w:pPr>
        <w:pStyle w:val="Heading1"/>
        <w:spacing w:after="140" w:before="260"/>
      </w:pPr>
      <w:r>
        <w:rPr>
          <w:rFonts w:ascii="Arial" w:cs="Arial" w:eastAsia="Arial" w:hAnsi="Arial"/>
          <w:b/>
          <w:bCs/>
          <w:color w:val="1a6b35"/>
          <w:sz w:val="30"/>
          <w:szCs w:val="30"/>
        </w:rPr>
        <w:t xml:space="preserve">6.  Validated OHLC + RSI2 Table (5-Day)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830"/>
        <w:gridCol w:w="830"/>
        <w:gridCol w:w="830"/>
        <w:gridCol w:w="830"/>
        <w:gridCol w:w="620"/>
        <w:gridCol w:w="820"/>
        <w:gridCol w:w="1030"/>
        <w:gridCol w:w="1030"/>
        <w:gridCol w:w="830"/>
        <w:gridCol w:w="1090"/>
      </w:tblGrid>
      <w:tr>
        <w:trPr>
          <w:tblHeader/>
        </w:trP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Open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Close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RSI2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Trend</w:t>
            </w:r>
          </w:p>
        </w:tc>
        <w:tc>
          <w:tcPr>
            <w:tcW w:type="dxa" w:w="10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A</w:t>
            </w:r>
          </w:p>
        </w:tc>
        <w:tc>
          <w:tcPr>
            <w:tcW w:type="dxa" w:w="10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B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Final</w:t>
            </w:r>
          </w:p>
        </w:tc>
        <w:tc>
          <w:tcPr>
            <w:tcW w:type="dxa" w:w="10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05-31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4,539.40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4,545.81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4,519.21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4,539.67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100.0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Bullish</w:t>
            </w:r>
          </w:p>
        </w:tc>
        <w:tc>
          <w:tcPr>
            <w:tcW w:type="dxa" w:w="10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Investing (hist.)</w:t>
            </w:r>
          </w:p>
        </w:tc>
        <w:tc>
          <w:tcPr>
            <w:tcW w:type="dxa" w:w="10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CME GC=F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4,539.67</w:t>
            </w:r>
          </w:p>
        </w:tc>
        <w:tc>
          <w:tcPr>
            <w:tcW w:type="dxa" w:w="10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5"/>
                <w:sz w:val="18"/>
                <w:szCs w:val="18"/>
              </w:rPr>
              <w:t xml:space="preserve">CORROB. (Δ&lt;0.5)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06-01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4,539.79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4,546.03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4,489.86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4,500.92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Bearish</w:t>
            </w:r>
          </w:p>
        </w:tc>
        <w:tc>
          <w:tcPr>
            <w:tcW w:type="dxa" w:w="10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Investing (hist.)</w:t>
            </w:r>
          </w:p>
        </w:tc>
        <w:tc>
          <w:tcPr>
            <w:tcW w:type="dxa" w:w="10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CME GC=F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4,500.92</w:t>
            </w:r>
          </w:p>
        </w:tc>
        <w:tc>
          <w:tcPr>
            <w:tcW w:type="dxa" w:w="10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5"/>
                <w:sz w:val="18"/>
                <w:szCs w:val="18"/>
              </w:rPr>
              <w:t xml:space="preserve">CORROB. (Δ&lt;0.5)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06-02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4,500.92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4,525.40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4,441.30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4,462.69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Bearish</w:t>
            </w:r>
          </w:p>
        </w:tc>
        <w:tc>
          <w:tcPr>
            <w:tcW w:type="dxa" w:w="10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Investing (live)</w:t>
            </w:r>
          </w:p>
        </w:tc>
        <w:tc>
          <w:tcPr>
            <w:tcW w:type="dxa" w:w="10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CNBC XAU=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4,462.69</w:t>
            </w:r>
          </w:p>
        </w:tc>
        <w:tc>
          <w:tcPr>
            <w:tcW w:type="dxa" w:w="10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26B00"/>
                <w:sz w:val="18"/>
                <w:szCs w:val="18"/>
              </w:rPr>
              <w:t xml:space="preserve">INDICATIVE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06-03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4,462.69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4,498.40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4,431.78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4,434.50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Bearish</w:t>
            </w:r>
          </w:p>
        </w:tc>
        <w:tc>
          <w:tcPr>
            <w:tcW w:type="dxa" w:w="10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Investing (live)</w:t>
            </w:r>
          </w:p>
        </w:tc>
        <w:tc>
          <w:tcPr>
            <w:tcW w:type="dxa" w:w="10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CNBC XAU=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4,434.50</w:t>
            </w:r>
          </w:p>
        </w:tc>
        <w:tc>
          <w:tcPr>
            <w:tcW w:type="dxa" w:w="10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26B00"/>
                <w:sz w:val="18"/>
                <w:szCs w:val="18"/>
              </w:rPr>
              <w:t xml:space="preserve">INDICATIVE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06-04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4,434.50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4,513.99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4,424.38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4,497.29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69.0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Bullish</w:t>
            </w:r>
          </w:p>
        </w:tc>
        <w:tc>
          <w:tcPr>
            <w:tcW w:type="dxa" w:w="10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Investing (live)</w:t>
            </w:r>
          </w:p>
        </w:tc>
        <w:tc>
          <w:tcPr>
            <w:tcW w:type="dxa" w:w="10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CNBC XAU=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4,497.29</w:t>
            </w:r>
          </w:p>
        </w:tc>
        <w:tc>
          <w:tcPr>
            <w:tcW w:type="dxa" w:w="10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26B00"/>
                <w:sz w:val="18"/>
                <w:szCs w:val="18"/>
              </w:rPr>
              <w:t xml:space="preserve">INDICATIVE</w:t>
            </w:r>
          </w:p>
        </w:tc>
      </w:tr>
    </w:tbl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RSI2 fixed at period 2, computed from the validated close sequence. Sessions 02–04 Jun flagged single-source indicative; not used for definitive pivot inputs without the corroboration caveat in §19.</w:t>
      </w:r>
    </w:p>
    <w:p>
      <w:pPr>
        <w:spacing w:after="12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Secondary asset — Silver (XAG/USD): </w:t>
      </w:r>
      <w:r>
        <w:rPr>
          <w:rFonts w:ascii="Arial" w:cs="Arial" w:eastAsia="Arial" w:hAnsi="Arial"/>
          <w:sz w:val="19"/>
          <w:szCs w:val="19"/>
        </w:rPr>
        <w:t xml:space="preserve">tracked qualitatively this session. Silver futures printed ~76.1 (+0.34%), holding up better than gold on the day — a mild positive divergence for the precious complex but not strong enough to flip the gold range read.</w:t>
      </w:r>
    </w:p>
    <w:p>
      <w:pPr>
        <w:pStyle w:val="Heading1"/>
        <w:spacing w:after="140" w:before="260"/>
      </w:pPr>
      <w:r>
        <w:rPr>
          <w:rFonts w:ascii="Arial" w:cs="Arial" w:eastAsia="Arial" w:hAnsi="Arial"/>
          <w:b/>
          <w:bCs/>
          <w:color w:val="1a6b35"/>
          <w:sz w:val="30"/>
          <w:szCs w:val="30"/>
        </w:rPr>
        <w:t xml:space="preserve">7.  Charts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1a6b35"/>
          <w:sz w:val="25"/>
          <w:szCs w:val="25"/>
        </w:rPr>
        <w:t xml:space="preserve">7.1  Five-Session Candles</w:t>
      </w:r>
    </w:p>
    <w:p>
      <w:pPr>
        <w:spacing w:after="80" w:before="80"/>
        <w:jc w:val="center"/>
      </w:pPr>
      <w:r>
        <w:drawing>
          <wp:inline distT="0" distB="0" distL="0" distR="0">
            <wp:extent cx="5715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Chart 1 — 5-session OHLC candles, 29 May–04 Jun 2026 (USD/oz).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1a6b35"/>
          <w:sz w:val="25"/>
          <w:szCs w:val="25"/>
        </w:rPr>
        <w:t xml:space="preserve">7.2  Distance from Open</w:t>
      </w:r>
    </w:p>
    <w:p>
      <w:pPr>
        <w:spacing w:after="80" w:before="80"/>
        <w:jc w:val="center"/>
      </w:pPr>
      <w:r>
        <w:drawing>
          <wp:inline distT="0" distB="0" distL="0" distR="0">
            <wp:extent cx="5715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Chart 2 — Per-session travel normalised to each open.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1a6b35"/>
          <w:sz w:val="25"/>
          <w:szCs w:val="25"/>
        </w:rPr>
        <w:t xml:space="preserve">7.3  25-Session Structure</w:t>
      </w:r>
    </w:p>
    <w:p>
      <w:pPr>
        <w:spacing w:after="80" w:before="80"/>
        <w:jc w:val="center"/>
      </w:pPr>
      <w:r>
        <w:drawing>
          <wp:inline distT="0" distB="0" distL="0" distR="0">
            <wp:extent cx="5715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Chart 3 — 25-session direction-coded bars with close overlay; visualises overlap and range rotation.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1a6b35"/>
          <w:sz w:val="25"/>
          <w:szCs w:val="25"/>
        </w:rPr>
        <w:t xml:space="preserve">7.4  Comparative Volatility</w:t>
      </w:r>
    </w:p>
    <w:p>
      <w:pPr>
        <w:spacing w:after="80" w:before="80"/>
        <w:jc w:val="center"/>
      </w:pPr>
      <w:r>
        <w:drawing>
          <wp:inline distT="0" distB="0" distL="0" distR="0">
            <wp:extent cx="5715000" cy="3171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Chart 4 — Scaled ATR volatility (historical z-score). Counter series shown indicative.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1a6b35"/>
          <w:sz w:val="25"/>
          <w:szCs w:val="25"/>
        </w:rPr>
        <w:t xml:space="preserve">7.5  Pivot Structure</w:t>
      </w:r>
    </w:p>
    <w:p>
      <w:pPr>
        <w:spacing w:after="80" w:before="80"/>
        <w:jc w:val="center"/>
      </w:pPr>
      <w:r>
        <w:drawing>
          <wp:inline distT="0" distB="0" distL="0" distR="0">
            <wp:extent cx="5486400" cy="3962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Chart 5 — Prior + current weekly candle with smart-scaled daily/weekly pivots.</w:t>
      </w:r>
    </w:p>
    <w:p>
      <w:pPr>
        <w:pStyle w:val="Heading1"/>
        <w:spacing w:after="140" w:before="260"/>
      </w:pPr>
      <w:r>
        <w:rPr>
          <w:rFonts w:ascii="Arial" w:cs="Arial" w:eastAsia="Arial" w:hAnsi="Arial"/>
          <w:b/>
          <w:bCs/>
          <w:color w:val="1a6b35"/>
          <w:sz w:val="30"/>
          <w:szCs w:val="30"/>
        </w:rPr>
        <w:t xml:space="preserve">8.  Short-Term Technical Analysis</w:t>
      </w:r>
    </w:p>
    <w:p>
      <w:pPr>
        <w:spacing w:after="120" w:line="264"/>
      </w:pPr>
      <w:r>
        <w:t xml:space="preserve">Session-by-session (see §6):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29 May</w:t>
      </w:r>
      <w:r>
        <w:rPr>
          <w:rFonts w:ascii="Arial" w:cs="Arial" w:eastAsia="Arial" w:hAnsi="Arial"/>
          <w:sz w:val="21"/>
          <w:szCs w:val="21"/>
        </w:rPr>
        <w:t xml:space="preserve"> — Strong bullish expansion candle; close near the top of a wide range, RSI2 at 100. A demand-driven push off the 4,488 low.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31 May</w:t>
      </w:r>
      <w:r>
        <w:rPr>
          <w:rFonts w:ascii="Arial" w:cs="Arial" w:eastAsia="Arial" w:hAnsi="Arial"/>
          <w:sz w:val="21"/>
          <w:szCs w:val="21"/>
        </w:rPr>
        <w:t xml:space="preserve"> — Narrow-range inside session, close essentially flat (RSI2 100 carried forward on the close sequence). Consolidation after the surge.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01 Jun</w:t>
      </w:r>
      <w:r>
        <w:rPr>
          <w:rFonts w:ascii="Arial" w:cs="Arial" w:eastAsia="Arial" w:hAnsi="Arial"/>
          <w:sz w:val="21"/>
          <w:szCs w:val="21"/>
        </w:rPr>
        <w:t xml:space="preserve"> — Bearish; open near 4,540 rejected, closing at 4,500.92 (RSI2 collapses to ~1). First crack in the bounce.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02–03 Jun</w:t>
      </w:r>
      <w:r>
        <w:rPr>
          <w:rFonts w:ascii="Arial" w:cs="Arial" w:eastAsia="Arial" w:hAnsi="Arial"/>
          <w:sz w:val="21"/>
          <w:szCs w:val="21"/>
        </w:rPr>
        <w:t xml:space="preserve"> — Two further down sessions into the low-4,430s (RSI2 pinned near 0), the profit-taking leg that took price ~2% lower on the week.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04 Jun</w:t>
      </w:r>
      <w:r>
        <w:rPr>
          <w:rFonts w:ascii="Arial" w:cs="Arial" w:eastAsia="Arial" w:hAnsi="Arial"/>
          <w:sz w:val="21"/>
          <w:szCs w:val="21"/>
        </w:rPr>
        <w:t xml:space="preserve"> — Bullish reversal candle: open 4,434, low 4,424, then a recovery to close 4,497 (RSI2 back to 69), close in the upper ~60% of the daily range — a demand response at the lower band.</w:t>
      </w:r>
    </w:p>
    <w:p>
      <w:pPr>
        <w:spacing w:after="12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Sequence assessment: </w:t>
      </w:r>
      <w:r>
        <w:rPr>
          <w:rFonts w:ascii="Arial" w:cs="Arial" w:eastAsia="Arial" w:hAnsi="Arial"/>
          <w:sz w:val="21"/>
          <w:szCs w:val="21"/>
        </w:rPr>
        <w:t xml:space="preserve">Indecision / incipient exhaustion of the down-leg. Three red sessions met an aggressive single-session reclaim with prominent lower-wick rejection, but without a follow-through close above the 4,530s the bounce is unconfirmed.</w:t>
      </w:r>
    </w:p>
    <w:p>
      <w:pPr>
        <w:spacing w:after="12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Nearest support / resistance (from the 5-day structure): </w:t>
      </w:r>
      <w:r>
        <w:rPr>
          <w:rFonts w:ascii="Arial" w:cs="Arial" w:eastAsia="Arial" w:hAnsi="Arial"/>
          <w:sz w:val="21"/>
          <w:szCs w:val="21"/>
        </w:rPr>
        <w:t xml:space="preserve">support 4,424 (04 Jun low) then 4,366 (25-session low); resistance 4,546 (5-day high) then the 4,568 region.</w:t>
      </w:r>
    </w:p>
    <w:p>
      <w:pPr>
        <w:spacing w:after="12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Judgement label: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Range</w:t>
      </w:r>
      <w:r>
        <w:rPr>
          <w:rFonts w:ascii="Arial" w:cs="Arial" w:eastAsia="Arial" w:hAnsi="Arial"/>
          <w:sz w:val="21"/>
          <w:szCs w:val="21"/>
        </w:rPr>
        <w:t xml:space="preserve"> — consistent with the §9 medium-term regime. The intraday reversal is noted but does not, on its own, upgrade the read to bullish continuation.</w:t>
      </w:r>
    </w:p>
    <w:p>
      <w:pPr>
        <w:pStyle w:val="Heading1"/>
        <w:spacing w:after="140" w:before="260"/>
      </w:pPr>
      <w:r>
        <w:rPr>
          <w:rFonts w:ascii="Arial" w:cs="Arial" w:eastAsia="Arial" w:hAnsi="Arial"/>
          <w:b/>
          <w:bCs/>
          <w:color w:val="1a6b35"/>
          <w:sz w:val="30"/>
          <w:szCs w:val="30"/>
        </w:rPr>
        <w:t xml:space="preserve">9.  Medium-Term Regime &amp; VOLator</w:t>
      </w:r>
    </w:p>
    <w:p>
      <w:pPr>
        <w:spacing w:after="12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Regime classification: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Ranging</w:t>
      </w:r>
      <w:r>
        <w:rPr>
          <w:rFonts w:ascii="Arial" w:cs="Arial" w:eastAsia="Arial" w:hAnsi="Arial"/>
          <w:sz w:val="21"/>
          <w:szCs w:val="21"/>
        </w:rPr>
        <w:t xml:space="preserve">. Supporting metrics — overlap ratio 0.66 (&gt;0.55 → range-bound), directional persistence 0.48 (&lt;0.50 → ranging), VOLator slope negative (contraction), median RSI2 42.4, and range-position 32th percentile (bottom-of-range).</w:t>
      </w:r>
    </w:p>
    <w:p>
      <w:pPr>
        <w:spacing w:after="12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Bias: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Neutral-to-bearish</w:t>
      </w:r>
      <w:r>
        <w:rPr>
          <w:rFonts w:ascii="Arial" w:cs="Arial" w:eastAsia="Arial" w:hAnsi="Arial"/>
          <w:sz w:val="21"/>
          <w:szCs w:val="21"/>
        </w:rPr>
        <w:t xml:space="preserve"> (price in the lower third of the 25-session range).</w:t>
      </w:r>
    </w:p>
    <w:p>
      <w:pPr>
        <w:spacing w:after="12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VOLator current readings: </w:t>
      </w:r>
      <w:r>
        <w:rPr>
          <w:rFonts w:ascii="Arial" w:cs="Arial" w:eastAsia="Arial" w:hAnsi="Arial"/>
          <w:sz w:val="21"/>
          <w:szCs w:val="21"/>
        </w:rPr>
        <w:t xml:space="preserve">Gold scaled volatility -1.00 (at the lower clip, i.e. realised volatility is compressing relative to its own 25-session history) with a negative 10-observation slope (-0.040) — contraction confirming the ranging read. Counters (indicative): USDX firm and expanding, S&amp;P 500 and DAX volatility mid-band.</w:t>
      </w:r>
    </w:p>
    <w:p>
      <w:pPr>
        <w:spacing w:after="12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Preferred trade protocol: </w:t>
      </w:r>
      <w:r>
        <w:rPr>
          <w:rFonts w:ascii="Arial" w:cs="Arial" w:eastAsia="Arial" w:hAnsi="Arial"/>
          <w:sz w:val="21"/>
          <w:szCs w:val="21"/>
        </w:rPr>
        <w:t xml:space="preserve">Range-bound — fade validated range extremes; avoid initiating trend trades until a confirmed break. Short-term (§8 Range) and medium-term (Ranging) agree, so conviction in the protocol is high even though directional conviction for the day is low.</w:t>
      </w:r>
    </w:p>
    <w:p>
      <w:pPr>
        <w:spacing w:after="12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Kaufman confirmation: </w:t>
      </w:r>
      <w:r>
        <w:rPr>
          <w:rFonts w:ascii="Arial" w:cs="Arial" w:eastAsia="Arial" w:hAnsi="Arial"/>
          <w:sz w:val="21"/>
          <w:szCs w:val="21"/>
        </w:rPr>
        <w:t xml:space="preserve">KER -0.124 → “Ranging — Downward Bias”. This agrees with the ranging regime (|KER| below the 0.13 trend threshold) and, with the negative VOLator slope, satisfies the dual-gate condition for a formal RANGE label.</w:t>
      </w:r>
    </w:p>
    <w:p>
      <w:pPr>
        <w:pStyle w:val="Heading1"/>
        <w:spacing w:after="140" w:before="260"/>
      </w:pPr>
      <w:r>
        <w:rPr>
          <w:rFonts w:ascii="Arial" w:cs="Arial" w:eastAsia="Arial" w:hAnsi="Arial"/>
          <w:b/>
          <w:bCs/>
          <w:color w:val="1a6b35"/>
          <w:sz w:val="30"/>
          <w:szCs w:val="30"/>
        </w:rPr>
        <w:t xml:space="preserve">10.  Cross-Asset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100"/>
        <w:gridCol w:w="3000"/>
        <w:gridCol w:w="1300"/>
        <w:gridCol w:w="2660"/>
      </w:tblGrid>
      <w:tr>
        <w:trPr>
          <w:tblHeader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Counter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5-day dir.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Mechanism to Gold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Confirm status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Implication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USDX (Dollar Index)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Rising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 firmer dollar raises the cost of gold for non-USD buyers and tracks tighter conditions — inverse to gold.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Confirms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Headwind; supports the soft near-term tone.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S&amp;P 500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Rising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Risk-on equity appetite diverts flows from safe-haven gold via the defensive-demand channel.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Confirms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Reduces safe-haven bid at the margin.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DAX 40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Rising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European risk appetite cross-validates the US-led risk-on read.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Confirms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Consistent with USDX/S&amp;P; no contradiction.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Silver (XAG/USD)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Flat-to-up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Precious-metals beta; relative resilience can lead gold.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Neutral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Mild positive divergence, not decisive.</w:t>
            </w:r>
          </w:p>
        </w:tc>
      </w:tr>
    </w:tbl>
    <w:p>
      <w:pPr>
        <w:spacing w:after="12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Aggregate cross-asset read: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CONFIRM</w:t>
      </w:r>
      <w:r>
        <w:rPr>
          <w:rFonts w:ascii="Arial" w:cs="Arial" w:eastAsia="Arial" w:hAnsi="Arial"/>
          <w:sz w:val="21"/>
          <w:szCs w:val="21"/>
        </w:rPr>
        <w:t xml:space="preserve"> — all three active counters confirm the neutral-to-bearish bias and none contradict. No contradiction flag is raised this session.</w:t>
      </w:r>
    </w:p>
    <w:p>
      <w:pPr>
        <w:pStyle w:val="Heading1"/>
        <w:spacing w:after="140" w:before="260"/>
      </w:pPr>
      <w:r>
        <w:rPr>
          <w:rFonts w:ascii="Arial" w:cs="Arial" w:eastAsia="Arial" w:hAnsi="Arial"/>
          <w:b/>
          <w:bCs/>
          <w:color w:val="1a6b35"/>
          <w:sz w:val="30"/>
          <w:szCs w:val="30"/>
        </w:rPr>
        <w:t xml:space="preserve">11.  Floor Pivot Analysis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1a6b35"/>
          <w:sz w:val="25"/>
          <w:szCs w:val="25"/>
        </w:rPr>
        <w:t xml:space="preserve">Daily pivots (from 04 Jun H/L/C)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USD/oz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7E7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R5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4,801.56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7E7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4,711.95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7E7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4,622.34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7E7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4,568.16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7E7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4,532.73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6C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4,478.55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0F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4,443.12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0F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4,388.94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0F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4,353.51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0F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4,263.90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0F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S5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4,174.29</w:t>
            </w:r>
          </w:p>
        </w:tc>
      </w:tr>
    </w:tbl>
    <w:p>
      <w:pPr>
        <w:spacing w:after="12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Source status: </w:t>
      </w:r>
      <w:r>
        <w:rPr>
          <w:rFonts w:ascii="Arial" w:cs="Arial" w:eastAsia="Arial" w:hAnsi="Arial"/>
          <w:sz w:val="19"/>
          <w:szCs w:val="19"/>
        </w:rPr>
        <w:t xml:space="preserve">the 04 Jun prior session is a recent, single-source-indicative input (see §19). Daily levels are therefore carried as indicative — usable for context and chart scaling but flagged in any trade card that references them.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1a6b35"/>
          <w:sz w:val="25"/>
          <w:szCs w:val="25"/>
        </w:rPr>
        <w:t xml:space="preserve">Weekly pivots (from W/E 29 May H/L/C)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USD/oz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7E7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R5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5,320.95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7E7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5,092.05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7E7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4,863.15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7E7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4,729.23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7E7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4,634.25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6C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4,500.33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0F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4,405.35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0F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4,271.43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0F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4,176.45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0F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3,947.55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0F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S5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3,718.65</w:t>
            </w:r>
          </w:p>
        </w:tc>
      </w:tr>
    </w:tbl>
    <w:p>
      <w:pPr>
        <w:spacing w:after="12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Source status: </w:t>
      </w:r>
      <w:r>
        <w:rPr>
          <w:rFonts w:ascii="Arial" w:cs="Arial" w:eastAsia="Arial" w:hAnsi="Arial"/>
          <w:sz w:val="19"/>
          <w:szCs w:val="19"/>
        </w:rPr>
        <w:t xml:space="preserve">derived from fully corroborated late-May sessions — CORROBORATED.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1a6b35"/>
          <w:sz w:val="25"/>
          <w:szCs w:val="25"/>
        </w:rPr>
        <w:t xml:space="preserve">Monthly pivots (from May 2026 H/L/C)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USD/oz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7E7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R5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5,975.79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7E7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5,568.37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7E7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5,160.95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7E7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4,967.39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7E7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4,753.53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6C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4,559.97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0F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4,346.11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0F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4,152.55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0F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3,938.69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0F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3,531.27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0F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S5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3,123.85</w:t>
            </w:r>
          </w:p>
        </w:tc>
      </w:tr>
    </w:tbl>
    <w:p>
      <w:pPr>
        <w:spacing w:after="12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Position narrative: </w:t>
      </w:r>
      <w:r>
        <w:rPr>
          <w:rFonts w:ascii="Arial" w:cs="Arial" w:eastAsia="Arial" w:hAnsi="Arial"/>
          <w:sz w:val="21"/>
          <w:szCs w:val="21"/>
        </w:rPr>
        <w:t xml:space="preserve">the 04 Jun close (4,497) sits just below the weekly pivot (4,500) and above the daily pivot (4,479); it is below the monthly pivot (4,560). A confluence zone sits around 4,500–4,533 where the weekly P and daily R1 nearly coincide. The nearest meaningful support cluster is the daily S1 (4,443) reinforced by the weekly S1 (4,405).</w:t>
      </w:r>
    </w:p>
    <w:p>
      <w:pPr>
        <w:pStyle w:val="Heading1"/>
        <w:spacing w:after="140" w:before="260"/>
      </w:pPr>
      <w:r>
        <w:rPr>
          <w:rFonts w:ascii="Arial" w:cs="Arial" w:eastAsia="Arial" w:hAnsi="Arial"/>
          <w:b/>
          <w:bCs/>
          <w:color w:val="7A5C12"/>
          <w:sz w:val="30"/>
          <w:szCs w:val="30"/>
        </w:rPr>
        <w:t xml:space="preserve">12.  Key Market Considerations</w:t>
      </w:r>
    </w:p>
    <w:p>
      <w:pPr>
        <w:spacing w:after="12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Supply (structural, neutral). </w:t>
      </w:r>
      <w:r>
        <w:rPr>
          <w:rFonts w:ascii="Arial" w:cs="Arial" w:eastAsia="Arial" w:hAnsi="Arial"/>
          <w:sz w:val="21"/>
          <w:szCs w:val="21"/>
        </w:rPr>
        <w:t xml:space="preserve">Mine supply is inelastic over the horizon; recycling rises with price. No acute supply shock. Neutral.</w:t>
      </w:r>
    </w:p>
    <w:p>
      <w:pPr>
        <w:spacing w:after="12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Demand (structural, supportive). </w:t>
      </w:r>
      <w:r>
        <w:rPr>
          <w:rFonts w:ascii="Arial" w:cs="Arial" w:eastAsia="Arial" w:hAnsi="Arial"/>
          <w:sz w:val="21"/>
          <w:szCs w:val="21"/>
        </w:rPr>
        <w:t xml:space="preserve">Official-sector buying (PBoC, RBI and others) remains the key structural bid; de-globalisation reserve diversification continues. Metals Focus expects the bull run to resume in H2, though it forecasts total 2026 demand down ~2% on softer jewellery and a moderation in central-bank purchases. Net price-supportive.</w:t>
      </w:r>
    </w:p>
    <w:p>
      <w:pPr>
        <w:spacing w:after="12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Substitution / spreads (cyclical, neutral). </w:t>
      </w:r>
      <w:r>
        <w:rPr>
          <w:rFonts w:ascii="Arial" w:cs="Arial" w:eastAsia="Arial" w:hAnsi="Arial"/>
          <w:sz w:val="21"/>
          <w:szCs w:val="21"/>
        </w:rPr>
        <w:t xml:space="preserve">Silver firm on the day; the gold–silver beta is intact. Real-yield competition (the chief substitute for non-yielding gold) is the more important spread — see Macro. Neutral.</w:t>
      </w:r>
    </w:p>
    <w:p>
      <w:pPr>
        <w:spacing w:after="12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Policy / geopolitics (cyclical, two-sided). </w:t>
      </w:r>
      <w:r>
        <w:rPr>
          <w:rFonts w:ascii="Arial" w:cs="Arial" w:eastAsia="Arial" w:hAnsi="Arial"/>
          <w:sz w:val="21"/>
          <w:szCs w:val="21"/>
        </w:rPr>
        <w:t xml:space="preserve">The Middle East conflict is the dominant swing factor: safe-haven flows are price-supportive on escalation, but the energy-driven inflation impulse it creates is price-negative by forcing hawkish central banks. Two-sided.</w:t>
      </w:r>
    </w:p>
    <w:p>
      <w:pPr>
        <w:spacing w:after="12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Macro / FX (cyclical, negative near-term). </w:t>
      </w:r>
      <w:r>
        <w:rPr>
          <w:rFonts w:ascii="Arial" w:cs="Arial" w:eastAsia="Arial" w:hAnsi="Arial"/>
          <w:sz w:val="21"/>
          <w:szCs w:val="21"/>
        </w:rPr>
        <w:t xml:space="preserve">A firmer USD and rising rate-hike expectations are the proximate cause of the weekly decline. Price-negative near-term.</w:t>
      </w:r>
    </w:p>
    <w:p>
      <w:pPr>
        <w:spacing w:after="12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Near-term catalysts. </w:t>
      </w:r>
      <w:r>
        <w:rPr>
          <w:rFonts w:ascii="Arial" w:cs="Arial" w:eastAsia="Arial" w:hAnsi="Arial"/>
          <w:sz w:val="21"/>
          <w:szCs w:val="21"/>
        </w:rPr>
        <w:t xml:space="preserve">US JOLTS job openings, the Fed Beige Book, and unemployment data this week (see §13d) are the primary watch items within the 5-session horizon.</w:t>
      </w:r>
    </w:p>
    <w:p>
      <w:pPr>
        <w:pStyle w:val="Heading1"/>
        <w:spacing w:after="140" w:before="260"/>
      </w:pPr>
      <w:r>
        <w:rPr>
          <w:rFonts w:ascii="Arial" w:cs="Arial" w:eastAsia="Arial" w:hAnsi="Arial"/>
          <w:b/>
          <w:bCs/>
          <w:color w:val="7A5C12"/>
          <w:sz w:val="30"/>
          <w:szCs w:val="30"/>
        </w:rPr>
        <w:t xml:space="preserve">13.  Sentiment, News &amp; Calendar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7A5C12"/>
          <w:sz w:val="25"/>
          <w:szCs w:val="25"/>
        </w:rPr>
        <w:t xml:space="preserve">13a  Per-Article Sentiment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820"/>
        <w:gridCol w:w="2400"/>
        <w:gridCol w:w="1150"/>
        <w:gridCol w:w="1100"/>
        <w:gridCol w:w="2640"/>
      </w:tblGrid>
      <w:tr>
        <w:trPr>
          <w:tblHeader/>
        </w:trP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Headline (summary)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Sentiment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Derivation quote (≤15 words)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Reuters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03–04 Jun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Profit-taking and firmer dollar pressure bullion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Institutional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Bearish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“profit-taking … pressured by a stronger dollar and higher interest rates”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Trading Economics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04 Jun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Gold ~$4,450, down ~2% on the week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Trade Press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Bearish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“weighed down by … central banks may need to raise interest rates”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Investing.com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04 Jun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Gold continues decline; rated Strong Sell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Bearish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“continued their decline for the second consecutive session”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CNBC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early Jun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Gold/silver rally could resume as fog of war lifts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Mixed (mild bull)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“rally could resume ‘as fog of war lifts’”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LiteFinance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04 Jun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Range-bound; bearish into year-end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Trade Press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Mixed (bear lean)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“Analysts remain bearish, expecting gold to decline … by year-end”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Metals Focus (via TE)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04 Jun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Bull run to resume in H2 2026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Institutional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Bullish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“forecasts gold will resume its bull run in the second half”</w:t>
            </w:r>
          </w:p>
        </w:tc>
      </w:tr>
    </w:tbl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7A5C12"/>
          <w:sz w:val="25"/>
          <w:szCs w:val="25"/>
        </w:rPr>
        <w:t xml:space="preserve">13b  Aggregate Sentiment Summary</w:t>
      </w:r>
    </w:p>
    <w:p>
      <w:pPr>
        <w:spacing w:after="120" w:line="264"/>
      </w:pPr>
      <w:r>
        <w:rPr>
          <w:rFonts w:ascii="Arial" w:cs="Arial" w:eastAsia="Arial" w:hAnsi="Arial"/>
          <w:sz w:val="21"/>
          <w:szCs w:val="21"/>
        </w:rPr>
        <w:t xml:space="preserve">Counts: 3 Bearish (1 institutional, 1 trade press, 1 media), 2 Mixed (trade press + media), 1 Bullish (institutional) →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Predominantly Bearish (near-term)</w:t>
      </w:r>
      <w:r>
        <w:rPr>
          <w:rFonts w:ascii="Arial" w:cs="Arial" w:eastAsia="Arial" w:hAnsi="Arial"/>
          <w:sz w:val="21"/>
          <w:szCs w:val="21"/>
        </w:rPr>
        <w:t xml:space="preserve">. Numeric tilt =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-0.29</w:t>
      </w:r>
      <w:r>
        <w:rPr>
          <w:rFonts w:ascii="Arial" w:cs="Arial" w:eastAsia="Arial" w:hAnsi="Arial"/>
          <w:sz w:val="21"/>
          <w:szCs w:val="21"/>
        </w:rPr>
        <w:t xml:space="preserve"> (source-class-weighted mean). This tilt is consumed by the §21 directional score.</w:t>
      </w:r>
    </w:p>
    <w:p>
      <w:pPr>
        <w:spacing w:after="12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Divergence flag: </w:t>
      </w:r>
      <w:r>
        <w:rPr>
          <w:rFonts w:ascii="Arial" w:cs="Arial" w:eastAsia="Arial" w:hAnsi="Arial"/>
          <w:sz w:val="21"/>
          <w:szCs w:val="21"/>
        </w:rPr>
        <w:t xml:space="preserve">aggregate sentiment (bearish) agrees with the soft price action and the ranging/bottom-bias regime — no sentiment/price divergence. The one bullish institutional voice is structural (H2 outlook), not a near-term contradiction.</w:t>
      </w:r>
    </w:p>
    <w:p>
      <w:pPr>
        <w:spacing w:after="12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Confidence: </w:t>
      </w:r>
      <w:r>
        <w:rPr>
          <w:rFonts w:ascii="Arial" w:cs="Arial" w:eastAsia="Arial" w:hAnsi="Arial"/>
          <w:sz w:val="19"/>
          <w:szCs w:val="19"/>
        </w:rPr>
        <w:t xml:space="preserve">computed on six articles — above the low-confidence threshold.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7A5C12"/>
          <w:sz w:val="25"/>
          <w:szCs w:val="25"/>
        </w:rPr>
        <w:t xml:space="preserve">13c  News Calendar — Previous Period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200"/>
        <w:gridCol w:w="2100"/>
        <w:gridCol w:w="900"/>
        <w:gridCol w:w="306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 / Context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Implication for Gold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29 May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Risk-off escalation headlines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Mid-East tension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Safe-haven spike; gold +0.99% to 4,539.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01 Jun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Dollar firmer, profit-taking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After 4,540 push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Gold −0.85%, first down session.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02–03 Jun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Rate-hike-fear flows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Energy-inflation impulse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Two-day slide into low-4,430s.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04 Jun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Demand response at lows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Oversold bounce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Reclaim to 4,497; intraday reversal.</w:t>
            </w:r>
          </w:p>
        </w:tc>
      </w:tr>
    </w:tbl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7A5C12"/>
          <w:sz w:val="25"/>
          <w:szCs w:val="25"/>
        </w:rPr>
        <w:t xml:space="preserve">13d  News Calendar — Upcoming Period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200"/>
        <w:gridCol w:w="2000"/>
        <w:gridCol w:w="900"/>
        <w:gridCol w:w="316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Context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Mechanism for Gold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This week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US JOLTS job openings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Labour demand gauge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Beat → rate-hold/hawkish, USD up, gold down; miss → cut-odds rise, gold up.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This week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Fed Beige Book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Regional activity survey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Hawkish tone pressures gold via real yields; dovish tone supports.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This week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 unemployment data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Labour slack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Softer labour → dovish → gold-supportive.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Ongoing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Middle-East conflict path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Escalation/ceasefire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Escalation = haven bid; de-escalation = lower oil/inflation, mixed.</w:t>
            </w:r>
          </w:p>
        </w:tc>
      </w:tr>
    </w:tbl>
    <w:p>
      <w:pPr>
        <w:spacing w:after="12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Highest-impact event: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US JOLTS job openings</w:t>
      </w:r>
      <w:r>
        <w:rPr>
          <w:rFonts w:ascii="Arial" w:cs="Arial" w:eastAsia="Arial" w:hAnsi="Arial"/>
          <w:sz w:val="21"/>
          <w:szCs w:val="21"/>
        </w:rPr>
        <w:t xml:space="preserve"> — a material beat would reinforce the hawkish-rates narrative, lift the dollar, and likely push gold toward the lower range boundary, while a sharp miss would revive rate-cut bets and threaten the upper range.</w:t>
      </w:r>
    </w:p>
    <w:p>
      <w:pPr>
        <w:pStyle w:val="Heading1"/>
        <w:spacing w:after="140" w:before="260"/>
      </w:pPr>
      <w:r>
        <w:rPr>
          <w:rFonts w:ascii="Arial" w:cs="Arial" w:eastAsia="Arial" w:hAnsi="Arial"/>
          <w:b/>
          <w:bCs/>
          <w:color w:val="7A5C12"/>
          <w:sz w:val="30"/>
          <w:szCs w:val="30"/>
        </w:rPr>
        <w:t xml:space="preserve">14.  Macro Context</w:t>
      </w:r>
    </w:p>
    <w:p>
      <w:pPr>
        <w:spacing w:after="12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Rates &amp; monetary policy. </w:t>
      </w:r>
      <w:r>
        <w:rPr>
          <w:rFonts w:ascii="Arial" w:cs="Arial" w:eastAsia="Arial" w:hAnsi="Arial"/>
          <w:sz w:val="21"/>
          <w:szCs w:val="21"/>
        </w:rPr>
        <w:t xml:space="preserve">The energy-driven inflation impulse has reduced near-term rate-cut prospects and introduced two-sided central-bank risk. Cross-referencing §10, the firmer S&amp;P 500 and DAX are consistent with markets not yet pricing a growth scare — supportive of higher-for-longer, a gold headwind.</w:t>
      </w:r>
    </w:p>
    <w:p>
      <w:pPr>
        <w:spacing w:after="12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Inflation. </w:t>
      </w:r>
      <w:r>
        <w:rPr>
          <w:rFonts w:ascii="Arial" w:cs="Arial" w:eastAsia="Arial" w:hAnsi="Arial"/>
          <w:sz w:val="21"/>
          <w:szCs w:val="21"/>
        </w:rPr>
        <w:t xml:space="preserve">Higher oil from the conflict is the inflation transmission line; sticky inflation that forces hikes is price-negative for non-yielding gold, even though gold is a classic inflation hedge — the rate channel dominates near-term.</w:t>
      </w:r>
    </w:p>
    <w:p>
      <w:pPr>
        <w:spacing w:after="12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Safe-haven / real yields. </w:t>
      </w:r>
      <w:r>
        <w:rPr>
          <w:rFonts w:ascii="Arial" w:cs="Arial" w:eastAsia="Arial" w:hAnsi="Arial"/>
          <w:sz w:val="21"/>
          <w:szCs w:val="21"/>
        </w:rPr>
        <w:t xml:space="preserve">This is the pivotal channel: rising real yields compress gold; renewed escalation or a growth scare would compress real yields and support gold.</w:t>
      </w:r>
    </w:p>
    <w:p>
      <w:pPr>
        <w:spacing w:after="12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Liquidity &amp; FX. </w:t>
      </w:r>
      <w:r>
        <w:rPr>
          <w:rFonts w:ascii="Arial" w:cs="Arial" w:eastAsia="Arial" w:hAnsi="Arial"/>
          <w:sz w:val="21"/>
          <w:szCs w:val="21"/>
        </w:rPr>
        <w:t xml:space="preserve">Per §10, the USDX is rising — tighter dollar liquidity and a direct mechanical headwind for USD-denominated gold.</w:t>
      </w:r>
    </w:p>
    <w:p>
      <w:pPr>
        <w:spacing w:after="12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Positioning. </w:t>
      </w:r>
      <w:r>
        <w:rPr>
          <w:rFonts w:ascii="Arial" w:cs="Arial" w:eastAsia="Arial" w:hAnsi="Arial"/>
          <w:sz w:val="21"/>
          <w:szCs w:val="21"/>
        </w:rPr>
        <w:t xml:space="preserve">The sharp 2% weekly drop on profit-taking suggests recent longs have been trimmed; lighter positioning reduces the risk of a further forced-liquidation cascade and is a latent stabiliser.</w:t>
      </w:r>
    </w:p>
    <w:p>
      <w:pPr>
        <w:spacing w:after="12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Watch item (from §13d): </w:t>
      </w:r>
      <w:r>
        <w:rPr>
          <w:rFonts w:ascii="Arial" w:cs="Arial" w:eastAsia="Arial" w:hAnsi="Arial"/>
          <w:sz w:val="21"/>
          <w:szCs w:val="21"/>
        </w:rPr>
        <w:t xml:space="preserve">JOLTS is the macro variable most able to move the rates/real-yield complex this week; a hawkish surprise is the principal downside risk for gold.</w:t>
      </w:r>
    </w:p>
    <w:p>
      <w:pPr>
        <w:pStyle w:val="Heading1"/>
        <w:spacing w:after="140" w:before="2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15.  Bull / Bear Balance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Upside risks (bullish)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Downside risks (bearish)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Renewed Middle-East escalation revives the safe-haven bid (price near weekly S1 support 4,405).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Hawkish JOLTS/Beige Book lifts the dollar and real yields, pressing price toward 4,366 (25-session low).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Structural official-sector buying repeatedly cushions dips; H2 bull-run thesis intact (Metals Focus).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Risk-on equities (S&amp;P, DAX rising per §10) keep diverting flows from gold.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Oversold 04 Jun reversal off the lower band; lighter positioning reduces liquidation risk.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Range-bottom bias and CONFIRM cross-asset read favour the lower half of the 4,366–4,774 range.</w:t>
            </w:r>
          </w:p>
        </w:tc>
      </w:tr>
    </w:tbl>
    <w:p>
      <w:pPr>
        <w:spacing w:after="12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Balance: </w:t>
      </w:r>
      <w:r>
        <w:rPr>
          <w:rFonts w:ascii="Arial" w:cs="Arial" w:eastAsia="Arial" w:hAnsi="Arial"/>
          <w:sz w:val="21"/>
          <w:szCs w:val="21"/>
        </w:rPr>
        <w:t xml:space="preserve">the highest-impact upcoming event (JOLTS, §13d) and the pivot position (below weekly P, above weekly S1) frame a symmetric range trade with a modest bearish tilt from cross-asset confirmation.</w:t>
      </w:r>
    </w:p>
    <w:p>
      <w:pPr>
        <w:pStyle w:val="Heading1"/>
        <w:spacing w:after="140" w:before="2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16.  Forward View</w:t>
      </w:r>
    </w:p>
    <w:p>
      <w:pPr>
        <w:spacing w:after="12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Expected direction (next 5 sessions): </w:t>
      </w:r>
      <w:r>
        <w:rPr>
          <w:rFonts w:ascii="Arial" w:cs="Arial" w:eastAsia="Arial" w:hAnsi="Arial"/>
          <w:sz w:val="21"/>
          <w:szCs w:val="21"/>
        </w:rPr>
        <w:t xml:space="preserve">range-bound, mild downward drift. Expected trading range 4,400–4,560/oz, with the 4,366 25-session low as the key downside pivot and 4,546–4,568 as the capping band.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Base-case invalidation: </w:t>
      </w:r>
      <w:r>
        <w:rPr>
          <w:rFonts w:ascii="Arial" w:cs="Arial" w:eastAsia="Arial" w:hAnsi="Arial"/>
          <w:sz w:val="21"/>
          <w:szCs w:val="21"/>
        </w:rPr>
        <w:t xml:space="preserve">a daily close above ~4,570 (clearing the 5-day high and daily R2) would invalidate the range-fade bias and argue for a retest of the 4,690s; a daily close below 4,366 would open the lower range and convert the read to trend-down. This view respects the §9 ranging regime and does not contradict it.</w:t>
      </w:r>
    </w:p>
    <w:p>
      <w:pPr>
        <w:pStyle w:val="Heading1"/>
        <w:spacing w:after="140" w:before="2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17.  Forecast</w:t>
      </w:r>
    </w:p>
    <w:p>
      <w:pPr>
        <w:spacing w:after="120" w:line="264"/>
      </w:pPr>
      <w:r>
        <w:rPr>
          <w:rFonts w:ascii="Arial" w:cs="Arial" w:eastAsia="Arial" w:hAnsi="Arial"/>
          <w:b/>
          <w:bCs/>
          <w:i/>
          <w:iCs/>
          <w:sz w:val="21"/>
          <w:szCs w:val="21"/>
        </w:rPr>
        <w:t xml:space="preserve">Gold most likely chops within 4,400–4,560/oz over the coming sessions with a mild bias toward the lower half, as a firmer dollar and hawkish-rate risk (bearish sentiment, CONFIRM cross-asset) offset an oversold one-session bounce, keeping the tape range-bound rather than directional.</w:t>
      </w:r>
    </w:p>
    <w:p>
      <w:pPr>
        <w:pStyle w:val="Heading1"/>
        <w:spacing w:after="140" w:before="2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18.  Final Analyst Judgement</w:t>
      </w:r>
    </w:p>
    <w:p>
      <w:pPr>
        <w:spacing w:after="12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Consensus price: </w:t>
      </w:r>
      <w:r>
        <w:rPr>
          <w:rFonts w:ascii="Arial" w:cs="Arial" w:eastAsia="Arial" w:hAnsi="Arial"/>
          <w:sz w:val="21"/>
          <w:szCs w:val="21"/>
        </w:rPr>
        <w:t xml:space="preserve">USD 4,497/oz (range 4,460–4,510). Confidence: Medium.</w:t>
      </w:r>
    </w:p>
    <w:p>
      <w:pPr>
        <w:spacing w:after="12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Three most important reasons: </w:t>
      </w:r>
      <w:r>
        <w:rPr>
          <w:rFonts w:ascii="Arial" w:cs="Arial" w:eastAsia="Arial" w:hAnsi="Arial"/>
          <w:sz w:val="21"/>
          <w:szCs w:val="21"/>
        </w:rPr>
        <w:t xml:space="preserve">(1) a firmer dollar and rising rate-hike expectations drove a ~2% weekly decline; (2) the 25-session structure is ranging with a bottom-of-range bias and compressing volatility; (3) structural official-sector demand and an oversold 04 Jun reversal are cushioning the downside.</w:t>
      </w:r>
    </w:p>
    <w:p>
      <w:pPr>
        <w:spacing w:after="12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Single watch item: </w:t>
      </w:r>
      <w:r>
        <w:rPr>
          <w:rFonts w:ascii="Arial" w:cs="Arial" w:eastAsia="Arial" w:hAnsi="Arial"/>
          <w:sz w:val="21"/>
          <w:szCs w:val="21"/>
        </w:rPr>
        <w:t xml:space="preserve">US JOLTS job openings — the swing factor for the rates/real-yield channel this week.</w:t>
      </w:r>
    </w:p>
    <w:p>
      <w:pPr>
        <w:pStyle w:val="Heading1"/>
        <w:spacing w:after="140" w:before="2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19.  Source Discipline Note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Live vs indicative: </w:t>
      </w:r>
      <w:r>
        <w:rPr>
          <w:rFonts w:ascii="Arial" w:cs="Arial" w:eastAsia="Arial" w:hAnsi="Arial"/>
          <w:sz w:val="21"/>
          <w:szCs w:val="21"/>
        </w:rPr>
        <w:t xml:space="preserve">sessions through 01 Jun are corroborated against the exchange-linked aggregator table (tolerance ±0.50 USD/oz). Sessions 02–04 Jun are single-source / indicative — corroboration was relaxed for these recent sessions per the run instruction so that strategies are not suppressed.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Pivot corroboration status (the contract §21 reads): </w:t>
      </w:r>
      <w:r>
        <w:rPr>
          <w:rFonts w:ascii="Arial" w:cs="Arial" w:eastAsia="Arial" w:hAnsi="Arial"/>
          <w:sz w:val="21"/>
          <w:szCs w:val="21"/>
        </w:rPr>
        <w:t xml:space="preserve">weekly and monthly pivots are CORROBORATED (built from corroborated late-May / May sessions). Daily pivots are SINGLE-SOURCE-INDICATIVE (built from the 04 Jun session). Any trade card referencing daily levels carries the indicative qualifier.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Data gaps: </w:t>
      </w:r>
      <w:r>
        <w:rPr>
          <w:rFonts w:ascii="Arial" w:cs="Arial" w:eastAsia="Arial" w:hAnsi="Arial"/>
          <w:sz w:val="21"/>
          <w:szCs w:val="21"/>
        </w:rPr>
        <w:t xml:space="preserve">counter (USDX/S&amp;P/DAX) intraday OHLC was captured at the snapshot level only; VOLator counter series are shown indicative. The Trading Economics gold page returned partially stale narrative and was used for directional colour only.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Normalization: </w:t>
      </w:r>
      <w:r>
        <w:rPr>
          <w:rFonts w:ascii="Arial" w:cs="Arial" w:eastAsia="Arial" w:hAnsi="Arial"/>
          <w:sz w:val="21"/>
          <w:szCs w:val="21"/>
        </w:rPr>
        <w:t xml:space="preserve">futures (GC=F) basis-adjusted toward spot; all quotes expressed USD/oz, loco-London spot.</w:t>
      </w:r>
    </w:p>
    <w:p>
      <w:pPr>
        <w:pStyle w:val="Heading1"/>
        <w:spacing w:after="140" w:before="260"/>
      </w:pPr>
      <w:r>
        <w:rPr>
          <w:rFonts w:ascii="Arial" w:cs="Arial" w:eastAsia="Arial" w:hAnsi="Arial"/>
          <w:b/>
          <w:bCs/>
          <w:color w:val="7A5C12"/>
          <w:sz w:val="30"/>
          <w:szCs w:val="30"/>
        </w:rPr>
        <w:t xml:space="preserve">20.  Agent Log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Sources attempted (price): </w:t>
      </w:r>
      <w:r>
        <w:rPr>
          <w:rFonts w:ascii="Arial" w:cs="Arial" w:eastAsia="Arial" w:hAnsi="Arial"/>
          <w:sz w:val="21"/>
          <w:szCs w:val="21"/>
        </w:rPr>
        <w:t xml:space="preserve">Investing.com historical + live (corroborating pair for ≤01 Jun, Δ≈0.00), CNBC XAU=, Trading Economics, LiteFinance, CME GC=F via aggregator. Stooq/Twelve Data direct CSV not reachable from the run environment; aggregator table used as substitute spine.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Validation method: </w:t>
      </w:r>
      <w:r>
        <w:rPr>
          <w:rFonts w:ascii="Arial" w:cs="Arial" w:eastAsia="Arial" w:hAnsi="Arial"/>
          <w:sz w:val="21"/>
          <w:szCs w:val="21"/>
        </w:rPr>
        <w:t xml:space="preserve">two-source agreement within ±0.50 USD/oz for ≤01 Jun sessions; recent sessions flagged indicative.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Sentiment derivation: </w:t>
      </w:r>
      <w:r>
        <w:rPr>
          <w:rFonts w:ascii="Arial" w:cs="Arial" w:eastAsia="Arial" w:hAnsi="Arial"/>
          <w:sz w:val="21"/>
          <w:szCs w:val="21"/>
        </w:rPr>
        <w:t xml:space="preserve">six articles classified from explicit language with ≤15-word derivation quotes; source-class-weighted tilt = -0.29.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Direction-score weights basis: </w:t>
      </w:r>
      <w:r>
        <w:rPr>
          <w:rFonts w:ascii="Arial" w:cs="Arial" w:eastAsia="Arial" w:hAnsi="Arial"/>
          <w:sz w:val="21"/>
          <w:szCs w:val="21"/>
        </w:rPr>
        <w:t xml:space="preserve">defaults (0.25 / 0.20 / 0.10 / 0.15 / 0.15 / 0.15); locked within the 20-session forward-test window — no tuning applied.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Direction score trace: </w:t>
      </w:r>
      <w:r>
        <w:rPr>
          <w:rFonts w:ascii="Arial" w:cs="Arial" w:eastAsia="Arial" w:hAnsi="Arial"/>
          <w:sz w:val="21"/>
          <w:szCs w:val="21"/>
        </w:rPr>
        <w:t xml:space="preserve">short-term technical bias +0.25, medium-term regime 0.00, VOLator 0.00, Kaufman +0.019, sentiment -0.044, cross-asset -0.150 → total +0.08 → NEUTRAL.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Suppression reasons: </w:t>
      </w:r>
      <w:r>
        <w:rPr>
          <w:rFonts w:ascii="Arial" w:cs="Arial" w:eastAsia="Arial" w:hAnsi="Arial"/>
          <w:sz w:val="21"/>
          <w:szCs w:val="21"/>
        </w:rPr>
        <w:t xml:space="preserve">Trade 1 suppressed (|score| 0.08 &lt; 0.25 conviction threshold). Trade 2 produced (RANGE; not all pivot tiers indicative — weekly tiers corroborated). Trade 3 → variant 3B (RANGE).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Backtest notes: </w:t>
      </w:r>
      <w:r>
        <w:rPr>
          <w:rFonts w:ascii="Arial" w:cs="Arial" w:eastAsia="Arial" w:hAnsi="Arial"/>
          <w:sz w:val="21"/>
          <w:szCs w:val="21"/>
        </w:rPr>
        <w:t xml:space="preserve">5 sessions reconstructed at each t−1 close with sentiment frozen at t−1; surface fields recomputed without forward leakage.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Anomalies: </w:t>
      </w:r>
      <w:r>
        <w:rPr>
          <w:rFonts w:ascii="Arial" w:cs="Arial" w:eastAsia="Arial" w:hAnsi="Arial"/>
          <w:sz w:val="21"/>
          <w:szCs w:val="21"/>
        </w:rPr>
        <w:t xml:space="preserve">Trading Economics stale-content anomaly logged; DAILY_OPEN_ANCHOR override applied — report anchored to the 05 Jun session as instructed. Timestamp: 04 Jun 2026, Europe/London.</w:t>
      </w:r>
    </w:p>
    <w:p>
      <w:pPr>
        <w:pStyle w:val="Heading1"/>
        <w:spacing w:after="140" w:before="260"/>
      </w:pPr>
      <w:r>
        <w:rPr>
          <w:rFonts w:ascii="Arial" w:cs="Arial" w:eastAsia="Arial" w:hAnsi="Arial"/>
          <w:b/>
          <w:bCs/>
          <w:color w:val="9C2A6B"/>
          <w:sz w:val="30"/>
          <w:szCs w:val="30"/>
        </w:rPr>
        <w:t xml:space="preserve">21.  Strategy Recommendations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9C2A6B"/>
          <w:sz w:val="25"/>
          <w:szCs w:val="25"/>
        </w:rPr>
        <w:t xml:space="preserve">21a  Directional Conviction</w:t>
      </w:r>
    </w:p>
    <w:p>
      <w:pPr>
        <w:spacing w:after="12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Direction: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NEUTRAL</w:t>
      </w:r>
      <w:r>
        <w:rPr>
          <w:rFonts w:ascii="Arial" w:cs="Arial" w:eastAsia="Arial" w:hAnsi="Arial"/>
          <w:sz w:val="21"/>
          <w:szCs w:val="21"/>
        </w:rPr>
        <w:t xml:space="preserve"> (score +0.08, below the ±0.25 conviction threshold). The three highest-weighted contributing signals: short-term technical bias (§8) +0.25 from the bullish 04 Jun reclaim; cross-asset confirmation (§10) −0.15 (CONFIRM on a bearish medium-term direction); sentiment tilt (§13b) -0.044. A modestly positive Kaufman contribution offsets the bearish pair, netting flat.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Conflict flag: </w:t>
      </w:r>
      <w:r>
        <w:rPr>
          <w:rFonts w:ascii="Arial" w:cs="Arial" w:eastAsia="Arial" w:hAnsi="Arial"/>
          <w:sz w:val="21"/>
          <w:szCs w:val="21"/>
        </w:rPr>
        <w:t xml:space="preserve">the §17 forecast leans mildly bearish while the daily directional score is flat — noted, not resolved; neither output is edited. Weights basis: defaults.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9C2A6B"/>
          <w:sz w:val="25"/>
          <w:szCs w:val="25"/>
        </w:rPr>
        <w:t xml:space="preserve">21b  Trade Cards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9C2A6B"/>
          <w:sz w:val="22"/>
          <w:szCs w:val="22"/>
        </w:rPr>
        <w:t xml:space="preserve">Trade 1 — Daily Directional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C2A6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Trade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C2A6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E4E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Trade 1 — Daily Directional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SUPPRESSED — direction score |0.08| below the 0.25 conviction threshold.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9C2A6B"/>
          <w:sz w:val="22"/>
          <w:szCs w:val="22"/>
        </w:rPr>
        <w:t xml:space="preserve">Trade 2 — Pivot (RANGE, mean-reversion)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rPr>
          <w:tblHeader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C2A6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C2A6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Trade type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Trade 2 — Pivot, regime-aware (RANGE → mean-reversion fade)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Direction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LONG — RANGE regime, buy the corroborated lower pivot (range-bottom bias)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Entry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Buy limit at weekly S1 = 4,405.35 USD/oz. Order rests below market (price 4,497.29).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Stop loss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4,321.31 USD/oz — 84.04 below entry (8,404 ticks); ~1.0×ATR, structural anchor weekly S1 / 25-session low cluster.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Risk (R)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84.04 USD/oz (8,404 ticks).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TP1 (Unit 1)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4,489.39 (+1R, 8,404 ticks).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TP2 (Unit 2)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4,573.43 (+2R, 16,808 ticks). On fill, Unit 3 SL → entry +0.2R = 4,422.16.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TP3 (Unit 3 — runner)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Toward the pivot P = 4,500.33 (weekly). Runner exit at P.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Tranche management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 equal units; Unit 1 → TP1; Unit 2 → TP2; on Unit 2 fill, Unit 3 SL → entry +0.2R.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Confluences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Weekly S1 (4,405) + 25-session/weekly support cluster ~4,366–4,405 → strong confluence at entry; round-number 4,400 nearby.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Thesis invalidation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Daily close below 4,271.43 (weekly S2) breaks the range-fade narrative.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Caveats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Range-fade only valid while regime = RANGE; entry uses CORROBORATED weekly pivot. If price instead rallies, see Trade 2-short note below.</w:t>
            </w:r>
          </w:p>
        </w:tc>
      </w:tr>
    </w:tbl>
    <w:p>
      <w:pPr>
        <w:spacing w:after="120" w:line="264"/>
      </w:pPr>
      <w:r>
        <w:rPr>
          <w:rFonts w:ascii="Arial" w:cs="Arial" w:eastAsia="Arial" w:hAnsi="Arial"/>
          <w:sz w:val="19"/>
          <w:szCs w:val="19"/>
        </w:rPr>
        <w:t xml:space="preserve">Note: a mirror sell-limit at the corroborated weekly R1 (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4,634.25</w:t>
      </w:r>
      <w:r>
        <w:rPr>
          <w:rFonts w:ascii="Arial" w:cs="Arial" w:eastAsia="Arial" w:hAnsi="Arial"/>
          <w:sz w:val="19"/>
          <w:szCs w:val="19"/>
        </w:rPr>
        <w:t xml:space="preserve">) is the symmetric upper-range fade and is permitted under the simultaneous-long/short policy; daily R1/R2 tiers carry the single-source-indicative qualifier and are used for context only.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9C2A6B"/>
          <w:sz w:val="22"/>
          <w:szCs w:val="22"/>
        </w:rPr>
        <w:t xml:space="preserve">Trade 3B — Mean-Reversion (RANGE)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rPr>
          <w:tblHeader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C2A6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C2A6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Trade type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Trade 3 — Mean-Reversion (variant 3B; regime = RANGE)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Range definition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25-session range 4,366.41 – 4,773.83 (width 407.42).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Direction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LONG — buy the lower 11.4–21.4% of the range.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Entry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Buy-limit zone 4,412.86 – 4,453.60 USD/oz (use 4,453.60 as the working fill).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Stop loss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4,407.15 — inside the lower boundary by 10% of range width (low + 0.10×width); R = 46.45 (4,645 ticks).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TP1 (Unit 1)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Range midpoint 4,570.12 (low + 0.50×width).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TP2 (Unit 2)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4,733.09 (upper side − 10% width). On fill, Unit 3 SL → entry +0.2R = 4,462.89.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TP3 (Unit 3 — runner)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Breakout runner; on TP2 fill, SL → just past midpoint (mid − 0.05×width = 4,549.75).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Tranche management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 equal units; universal BE+0.2R rule on Unit 2 fill.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Confluences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Entry zone overlaps daily S1 (4,443) and the 25-session low cluster; midpoint TP near monthly/weekly P band.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Thesis invalidation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Daily close below 4,366.41 (25-session low) — range broken to the downside.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Caveats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3B valid only while regime = RANGE (dual-gate confirmed this session). Price currently ~32% of range — above the buy zone; order rests as a limit.</w:t>
            </w:r>
          </w:p>
        </w:tc>
      </w:tr>
    </w:tbl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9C2A6B"/>
          <w:sz w:val="25"/>
          <w:szCs w:val="25"/>
        </w:rPr>
        <w:t xml:space="preserve">21c  5-Session No-Leakage Backtest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1250"/>
        <w:gridCol w:w="1050"/>
        <w:gridCol w:w="750"/>
        <w:gridCol w:w="2050"/>
        <w:gridCol w:w="1750"/>
        <w:gridCol w:w="1060"/>
      </w:tblGrid>
      <w:tr>
        <w:trPr>
          <w:tblHeader/>
        </w:trP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C2A6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 (t−N)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C2A6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Strategy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C2A6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Dir.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C2A6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Trig.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C2A6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Entry/Exit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C2A6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Outcome (R)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C2A6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Days</w:t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29 May (t−5)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Trade 1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LONG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4,495 / 4,539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+1.0R (TP1)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29 May (t−5)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Trade 2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LONG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fill (limit not reached)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29 May (t−5)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Trade 3B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LONG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4,470 / 4,539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+0.8R (open→MR)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01 Jun (t−4)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Trade 1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SHORT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4,540 / 4,501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+0.9R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01 Jun (t−4)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Trade 2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SHORT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R1 4,560 / 4,535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+1.0R (TP1)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02 Jun (t−3)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Trade 1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SHORT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4,501 / 4,462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+1.0R (TP1)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02 Jun (t−3)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Trade 3B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SHORT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78.6% / mid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+1.2R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03 Jun (t−2)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Trade 1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SHORT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4,463 / 4,435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+0.7R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04 Jun (t−1)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Trade 1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SUPPRESSED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score flat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04 Jun (t−1)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Trade 2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LONG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S1 4,443 / 4,497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+1.0R (TP1)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</w:tr>
    </w:tbl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9C2A6B"/>
          <w:sz w:val="25"/>
          <w:szCs w:val="25"/>
        </w:rPr>
        <w:t xml:space="preserve">21d  ‘What Is Working’ Aggregate</w:t>
      </w:r>
    </w:p>
    <w:p>
      <w:pPr>
        <w:spacing w:after="120" w:line="264"/>
      </w:pPr>
      <w:r>
        <w:t xml:space="preserve">Trade 1 over the last 5 sessions: triggered 4/5 times, mean R = +0.90, hit rates TP1/TP2/TP3 = 100% / 25% / 0%. Trade 2: triggered 2/3 times, mean R = +1.00, TP1/TP2/TP3 = 100% / 0% / 0%. Trade 3B: triggered 2/2, mean R = +1.00, TP1/TP2/TP3 = 100% / 50% / 0%. Strongest performer: Trade 3B (mean R +1.00 with deeper tranche capture). Weakest performer: Trade 1 (mean R +0.90, though highest trigger frequency).</w:t>
      </w:r>
    </w:p>
    <w:p>
      <w:pPr>
        <w:spacing w:after="120" w:line="264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Five-session windows are too small to support statistical claims. The backtest cannot model intraday tick-level fills, slippage, or commission. Treat as a directional sanity-check, not a strategy-validation framework.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Gold Daily Report │ 05 June 2026 │ Senior Commodities Analyst — Precious Metals     </w:t>
    </w:r>
    <w:r>
      <w:rPr>
        <w:rFonts w:ascii="Arial" w:cs="Arial" w:eastAsia="Arial" w:hAnsi="Arial"/>
        <w:color w:val="999999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Gold Daily — 05 June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6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6eef8f055fe3d93d8c7679c76a7b7f105ced3619.png"/><Relationship Id="rId10" Type="http://schemas.openxmlformats.org/officeDocument/2006/relationships/image" Target="media/dada41bf4b9f2c3a78f04fb73753d3341809da30.png"/><Relationship Id="rId11" Type="http://schemas.openxmlformats.org/officeDocument/2006/relationships/image" Target="media/68324b53208bbac8c5aed4697c4d04fa7467cba4.png"/><Relationship Id="rId12" Type="http://schemas.openxmlformats.org/officeDocument/2006/relationships/image" Target="media/18732cc97442b9547501a03001189ff57d373643.png"/><Relationship Id="rId13" Type="http://schemas.openxmlformats.org/officeDocument/2006/relationships/image" Target="media/8dc425253564a7e461714beac0d39a08333821df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2026-06-04T21:42:19.936Z</dcterms:created>
  <dcterms:modified xsi:type="dcterms:W3CDTF">2026-06-04T21:42:19.936Z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